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14825" w14:textId="77777777" w:rsidR="00E516A5" w:rsidRDefault="00E654BC">
      <w:pPr>
        <w:rPr>
          <w:b/>
          <w:bCs/>
          <w:sz w:val="36"/>
          <w:szCs w:val="36"/>
        </w:rPr>
      </w:pPr>
      <w:r w:rsidRPr="00E516A5">
        <w:rPr>
          <w:b/>
          <w:bCs/>
          <w:sz w:val="36"/>
          <w:szCs w:val="36"/>
        </w:rPr>
        <w:t>Name: Osaheni Nabulele</w:t>
      </w:r>
    </w:p>
    <w:p w14:paraId="3199A0A0" w14:textId="77777777" w:rsidR="00405167" w:rsidRDefault="00405167">
      <w:pPr>
        <w:rPr>
          <w:b/>
          <w:bCs/>
          <w:sz w:val="36"/>
          <w:szCs w:val="36"/>
        </w:rPr>
      </w:pPr>
    </w:p>
    <w:p w14:paraId="79EDF379" w14:textId="02EA1055" w:rsidR="00E654BC" w:rsidRDefault="00E654BC">
      <w:pPr>
        <w:rPr>
          <w:b/>
          <w:bCs/>
          <w:sz w:val="36"/>
          <w:szCs w:val="36"/>
        </w:rPr>
      </w:pPr>
      <w:r w:rsidRPr="00E516A5">
        <w:rPr>
          <w:b/>
          <w:bCs/>
          <w:sz w:val="36"/>
          <w:szCs w:val="36"/>
        </w:rPr>
        <w:t>ID Number: 2335292</w:t>
      </w:r>
    </w:p>
    <w:p w14:paraId="2B2D41B5" w14:textId="77777777" w:rsidR="00405167" w:rsidRPr="00E516A5" w:rsidRDefault="00405167">
      <w:pPr>
        <w:rPr>
          <w:b/>
          <w:bCs/>
          <w:sz w:val="36"/>
          <w:szCs w:val="36"/>
        </w:rPr>
      </w:pPr>
    </w:p>
    <w:p w14:paraId="630E5D26" w14:textId="218C88BF" w:rsidR="00E654BC" w:rsidRDefault="00E654BC">
      <w:pPr>
        <w:rPr>
          <w:b/>
          <w:bCs/>
          <w:sz w:val="36"/>
          <w:szCs w:val="36"/>
        </w:rPr>
      </w:pPr>
      <w:r w:rsidRPr="00E516A5">
        <w:rPr>
          <w:b/>
          <w:bCs/>
          <w:sz w:val="36"/>
          <w:szCs w:val="36"/>
        </w:rPr>
        <w:t>Programme: BSc (Hons) Health and S</w:t>
      </w:r>
      <w:r w:rsidR="00E516A5" w:rsidRPr="00E516A5">
        <w:rPr>
          <w:b/>
          <w:bCs/>
          <w:sz w:val="36"/>
          <w:szCs w:val="36"/>
        </w:rPr>
        <w:t>ocial Care</w:t>
      </w:r>
    </w:p>
    <w:p w14:paraId="32A8FEFC" w14:textId="77777777" w:rsidR="00405167" w:rsidRPr="00E516A5" w:rsidRDefault="00405167">
      <w:pPr>
        <w:rPr>
          <w:b/>
          <w:bCs/>
          <w:sz w:val="36"/>
          <w:szCs w:val="36"/>
        </w:rPr>
      </w:pPr>
    </w:p>
    <w:p w14:paraId="296A82D6" w14:textId="507562D7" w:rsidR="00E516A5" w:rsidRDefault="00E516A5">
      <w:pPr>
        <w:rPr>
          <w:b/>
          <w:bCs/>
          <w:sz w:val="36"/>
          <w:szCs w:val="36"/>
        </w:rPr>
      </w:pPr>
      <w:r w:rsidRPr="00E516A5">
        <w:rPr>
          <w:b/>
          <w:bCs/>
          <w:sz w:val="36"/>
          <w:szCs w:val="36"/>
        </w:rPr>
        <w:t>Module: Psychological Classifications and Provisions</w:t>
      </w:r>
    </w:p>
    <w:p w14:paraId="07EBE4B8" w14:textId="77777777" w:rsidR="00405167" w:rsidRPr="00E516A5" w:rsidRDefault="00405167">
      <w:pPr>
        <w:rPr>
          <w:b/>
          <w:bCs/>
          <w:sz w:val="36"/>
          <w:szCs w:val="36"/>
        </w:rPr>
      </w:pPr>
    </w:p>
    <w:p w14:paraId="2B9FBC02" w14:textId="33FB3E30" w:rsidR="00E516A5" w:rsidRDefault="00E516A5">
      <w:pPr>
        <w:rPr>
          <w:b/>
          <w:bCs/>
          <w:sz w:val="36"/>
          <w:szCs w:val="36"/>
        </w:rPr>
      </w:pPr>
      <w:r w:rsidRPr="00E516A5">
        <w:rPr>
          <w:b/>
          <w:bCs/>
          <w:sz w:val="36"/>
          <w:szCs w:val="36"/>
        </w:rPr>
        <w:t>Module Code: BMHP6029</w:t>
      </w:r>
    </w:p>
    <w:p w14:paraId="6DD0F728" w14:textId="77777777" w:rsidR="00405167" w:rsidRPr="00E516A5" w:rsidRDefault="00405167">
      <w:pPr>
        <w:rPr>
          <w:b/>
          <w:bCs/>
          <w:sz w:val="36"/>
          <w:szCs w:val="36"/>
        </w:rPr>
      </w:pPr>
    </w:p>
    <w:p w14:paraId="22462A4C" w14:textId="22A0F869" w:rsidR="00E516A5" w:rsidRDefault="00E516A5">
      <w:pPr>
        <w:rPr>
          <w:b/>
          <w:bCs/>
          <w:sz w:val="36"/>
          <w:szCs w:val="36"/>
        </w:rPr>
      </w:pPr>
      <w:r w:rsidRPr="00E516A5">
        <w:rPr>
          <w:b/>
          <w:bCs/>
          <w:sz w:val="36"/>
          <w:szCs w:val="36"/>
        </w:rPr>
        <w:t>Lecturer:</w:t>
      </w:r>
    </w:p>
    <w:p w14:paraId="0B752FF1" w14:textId="77777777" w:rsidR="00405167" w:rsidRPr="00E516A5" w:rsidRDefault="00405167">
      <w:pPr>
        <w:rPr>
          <w:b/>
          <w:bCs/>
          <w:sz w:val="36"/>
          <w:szCs w:val="36"/>
        </w:rPr>
      </w:pPr>
    </w:p>
    <w:p w14:paraId="3D7EC426" w14:textId="442D9A2B" w:rsidR="00E516A5" w:rsidRDefault="00E516A5">
      <w:pPr>
        <w:rPr>
          <w:b/>
          <w:bCs/>
          <w:sz w:val="36"/>
          <w:szCs w:val="36"/>
        </w:rPr>
      </w:pPr>
      <w:r w:rsidRPr="00E516A5">
        <w:rPr>
          <w:b/>
          <w:bCs/>
          <w:sz w:val="36"/>
          <w:szCs w:val="36"/>
        </w:rPr>
        <w:t>Assignment Title:</w:t>
      </w:r>
      <w:r w:rsidR="00405167">
        <w:rPr>
          <w:b/>
          <w:bCs/>
          <w:sz w:val="36"/>
          <w:szCs w:val="36"/>
        </w:rPr>
        <w:t xml:space="preserve"> Component 2; Written Assignment (Report)</w:t>
      </w:r>
    </w:p>
    <w:p w14:paraId="51EBAB07" w14:textId="77777777" w:rsidR="00405167" w:rsidRPr="00E516A5" w:rsidRDefault="00405167">
      <w:pPr>
        <w:rPr>
          <w:b/>
          <w:bCs/>
          <w:sz w:val="36"/>
          <w:szCs w:val="36"/>
        </w:rPr>
      </w:pPr>
    </w:p>
    <w:p w14:paraId="7168B7AF" w14:textId="6F7C5E14" w:rsidR="00E516A5" w:rsidRDefault="00E516A5">
      <w:pPr>
        <w:rPr>
          <w:b/>
          <w:bCs/>
          <w:sz w:val="36"/>
          <w:szCs w:val="36"/>
        </w:rPr>
      </w:pPr>
      <w:r w:rsidRPr="00E516A5">
        <w:rPr>
          <w:b/>
          <w:bCs/>
          <w:sz w:val="36"/>
          <w:szCs w:val="36"/>
        </w:rPr>
        <w:t>Submission Date:16/11/2026</w:t>
      </w:r>
    </w:p>
    <w:p w14:paraId="661B152C" w14:textId="77777777" w:rsidR="00405167" w:rsidRPr="00E516A5" w:rsidRDefault="00405167">
      <w:pPr>
        <w:rPr>
          <w:b/>
          <w:bCs/>
          <w:sz w:val="36"/>
          <w:szCs w:val="36"/>
        </w:rPr>
      </w:pPr>
    </w:p>
    <w:p w14:paraId="7FAE33B5" w14:textId="1ED6D0F7" w:rsidR="00405167" w:rsidRPr="00E516A5" w:rsidRDefault="00E516A5" w:rsidP="00E516A5">
      <w:pPr>
        <w:rPr>
          <w:b/>
          <w:bCs/>
          <w:sz w:val="36"/>
          <w:szCs w:val="36"/>
        </w:rPr>
      </w:pPr>
      <w:r w:rsidRPr="00E516A5">
        <w:rPr>
          <w:b/>
          <w:bCs/>
          <w:sz w:val="36"/>
          <w:szCs w:val="36"/>
        </w:rPr>
        <w:t xml:space="preserve">Title: </w:t>
      </w:r>
      <w:r w:rsidRPr="00E516A5">
        <w:rPr>
          <w:b/>
          <w:bCs/>
          <w:sz w:val="36"/>
          <w:szCs w:val="36"/>
        </w:rPr>
        <w:t>Critical Examination of Autism Spectrum Disorder in ICD-11 Chapter 6</w:t>
      </w:r>
      <w:r w:rsidR="00405167">
        <w:rPr>
          <w:b/>
          <w:bCs/>
          <w:sz w:val="36"/>
          <w:szCs w:val="36"/>
        </w:rPr>
        <w:t xml:space="preserve">, </w:t>
      </w:r>
      <w:r w:rsidR="00405167" w:rsidRPr="00E516A5">
        <w:rPr>
          <w:b/>
          <w:bCs/>
          <w:sz w:val="36"/>
          <w:szCs w:val="36"/>
        </w:rPr>
        <w:t>category code: 6A02 – autism spectrum disorder</w:t>
      </w:r>
    </w:p>
    <w:p w14:paraId="48E6002B" w14:textId="2BFF566B" w:rsidR="00E516A5" w:rsidRDefault="00E516A5"/>
    <w:p w14:paraId="625B474D" w14:textId="77777777" w:rsidR="00E516A5" w:rsidRDefault="00E516A5"/>
    <w:p w14:paraId="643626E5" w14:textId="77777777" w:rsidR="00405167" w:rsidRDefault="00405167"/>
    <w:p w14:paraId="54C322BE" w14:textId="24802C74" w:rsidR="00E516A5" w:rsidRDefault="00E516A5">
      <w:r>
        <w:t>Introduction:</w:t>
      </w:r>
    </w:p>
    <w:p w14:paraId="1E034A2D" w14:textId="56DED9DF" w:rsidR="007B57B7" w:rsidRPr="007B57B7" w:rsidRDefault="007B57B7" w:rsidP="007B57B7">
      <w:r w:rsidRPr="007B57B7">
        <w:t xml:space="preserve">Autism spectrum disorder (ASD) is included in the International Classification of illnesses, Eleventh Revision (ICD-11) of the World Health Organization (WHO) under the neurodevelopmental illnesses in Chapter 6, Mental, Behavioural or Neurodevelopmental </w:t>
      </w:r>
      <w:r w:rsidRPr="007B57B7">
        <w:t>diseases.</w:t>
      </w:r>
      <w:r w:rsidRPr="007B57B7">
        <w:t xml:space="preserve"> The primary category code in ICD-11 is 6A02, with additional categories representing intellectual growth, functional language, and loss of previously acquired abilities (World Health Organization, 2024). ICD-11 was adopted by the World Health Assembly in 2019 and has been used as the basis for global health reporting from January 2022 (Kestel and Reed, 2024; World Health Organization, 2024). The ICD-11 Clinical Descriptions and Diagnostic Requirements (CDDR) is a clinical guide for making a diagnosis.</w:t>
      </w:r>
      <w:r w:rsidRPr="007B57B7">
        <w:br/>
      </w:r>
      <w:r w:rsidRPr="007B57B7">
        <w:br/>
        <w:t xml:space="preserve">Autism is a neurodevelopmental syndrome that lasts a lifetime and is defined by impaired social communication and reciprocal interaction and confined, repetitive or rigid patterns of behaviour, interests or hobbies. Sensory differences could potentially be part of the clinical picture (World Health Organization, 2024). However, autism is exceedingly </w:t>
      </w:r>
      <w:r w:rsidRPr="007B57B7">
        <w:t>heterogenous,</w:t>
      </w:r>
      <w:r w:rsidRPr="007B57B7">
        <w:t xml:space="preserve"> and so autistic people may have quite varying abilities, support needs, communication profiles and experiences across the lifespan (Happe and Frith, 2020). This study critically appraises the ICD-11 categorisation and diagnosis of autism, treatment and rehabilitation approaches, contemporary debates around diagnosis and neurodiversity, emergent problems and implications for health and social care practice. It concludes with recommendations for more person-centred, culturally responsive, and outcome-driven services.</w:t>
      </w:r>
    </w:p>
    <w:p w14:paraId="1C8F7305" w14:textId="560E6108" w:rsidR="0033580D" w:rsidRDefault="0033580D" w:rsidP="0033580D">
      <w:pPr>
        <w:rPr>
          <w:b/>
          <w:bCs/>
        </w:rPr>
      </w:pPr>
      <w:r w:rsidRPr="0033580D">
        <w:rPr>
          <w:b/>
          <w:bCs/>
        </w:rPr>
        <w:t>Classification and Diagnosis in ICD-11</w:t>
      </w:r>
    </w:p>
    <w:p w14:paraId="1EEA1E30" w14:textId="77777777" w:rsidR="00F47EF5" w:rsidRPr="00F47EF5" w:rsidRDefault="00F47EF5" w:rsidP="00F47EF5">
      <w:r w:rsidRPr="00F47EF5">
        <w:t>The ICD-11 classification represents a major accomplishment, as autism is perceived as a spectrum and not as several different childhood groupings. The principal category is 6A02, autistic spectrum disease. Also, autism is classified in ICD-11 according to the existence or absence of a condition of intellectual development and according to the degree of functional language impairment. 6A02.0 Autism without intellectual developmental disorder and with mild or no impairment of functional language 6A02.1 Autism with intellectual developmental disorder and mild or no impairment of functional language 6A02.2 Autism without intellectual developmental disorder and with impairment of functional language 6A02.3 Autism with intellectual developmental disorder and poor functional speech; and 6A02.5 Autism with intellectual developmental disorder and total or near-total absence of functional speech. The additional specified and unspecified categories are coded as 6A02.Y and 6A02.Z, respectively (World Health Organization, 2024).</w:t>
      </w:r>
    </w:p>
    <w:p w14:paraId="71E96EA9" w14:textId="11D120F5" w:rsidR="00CD7A63" w:rsidRPr="00CD7A63" w:rsidRDefault="00CD7A63" w:rsidP="00CD7A63">
      <w:r w:rsidRPr="00CD7A63">
        <w:lastRenderedPageBreak/>
        <w:br/>
      </w:r>
      <w:r w:rsidRPr="00CD7A63">
        <w:br/>
        <w:t xml:space="preserve">The practical utility of this coding scheme is that it captures clinically meaningful variations that may impact on support planning. ICD-11 also has specifiers for loss of previously learned abilities; the appropriate code ends in 0 for no loss and 1 for loss (World Health Organization, 2024). This sort of depth information is better than believing all autistic people have the same demands. But classification is a clinical system and cannot fully reflect the complexity of an individual's functioning, identity, surroundings, communication preferences or quality of life. </w:t>
      </w:r>
      <w:r w:rsidR="007C3D69" w:rsidRPr="00CD7A63">
        <w:t>Happe</w:t>
      </w:r>
      <w:r w:rsidRPr="00CD7A63">
        <w:t xml:space="preserve"> and Frith (2020) suggest that shifting views of autism need that research and practice acknowledge considerable variability rather than treating autism as a unitary condition.</w:t>
      </w:r>
      <w:r w:rsidRPr="00CD7A63">
        <w:br/>
      </w:r>
      <w:r w:rsidRPr="00CD7A63">
        <w:br/>
        <w:t xml:space="preserve">The ICD-11 CDDR criteria for diagnosis are: persistent difficulties in initiating and sustaining social communication and reciprocal social interaction; persistent restricted, repetitive and inflexible patterns of behaviour, interests or activities that are clearly atypical or excessive for the person’s developmental and sociocultural context (World Health Organization, 2024). The qualities must occur during the formative </w:t>
      </w:r>
      <w:r w:rsidR="007C3D69" w:rsidRPr="00CD7A63">
        <w:t>period but</w:t>
      </w:r>
      <w:r w:rsidRPr="00CD7A63">
        <w:t xml:space="preserve"> may become more apparent later as social needs increase. Diagnosis is consequently a matter of developmental history and clinical evaluation rather than one laboratory or biologic test. A full examination should include communication, behaviour, sensory experiences, adaptive functioning, developmental history and potential co-occurring problems.</w:t>
      </w:r>
      <w:r w:rsidRPr="00CD7A63">
        <w:br/>
      </w:r>
      <w:r w:rsidRPr="00CD7A63">
        <w:br/>
        <w:t>A issue is that autism might be ignored or diagnosed late in people who do not present in ways that meet typical expectations. Research on sex and gender has highlighted the possibility of autism being under-diagnosed in females due to diagnostic concepts and research samples having historically been based on mostly male presentations (Lai, Baron-Cohen and Buxbaum, 2015). Another recent systematic study and meta-analysis also found evidence of male bias in autism diagnoses though the reasons are complicated and may involve referral patterns, diagnostic techniques, presentation and social factors (Cruz et al., 2024). This shows that standard categorisation can enhance consistency but cannot remove human or system level bias from the diagnosis procedure.</w:t>
      </w:r>
    </w:p>
    <w:p w14:paraId="7A336727" w14:textId="6D246285" w:rsidR="00CD7A63" w:rsidRDefault="00CD7A63" w:rsidP="0033580D">
      <w:pPr>
        <w:rPr>
          <w:b/>
          <w:bCs/>
        </w:rPr>
      </w:pPr>
      <w:r w:rsidRPr="00CD7A63">
        <w:rPr>
          <w:b/>
          <w:bCs/>
        </w:rPr>
        <w:t>Treatment and Rehabilitation</w:t>
      </w:r>
    </w:p>
    <w:p w14:paraId="66DAABF2" w14:textId="016D3A52" w:rsidR="007C3D69" w:rsidRDefault="007C3D69" w:rsidP="007C3D69">
      <w:r w:rsidRPr="007C3D69">
        <w:t xml:space="preserve">Autism is not a condition where treatment is merely about getting rid of autistic traits. Support for communication, involvement, wellbeing, independence and quality of life, while addressing difficulties which cause distress or restrict opportunities, is increasingly emphasised in current practice. Evidence-based psychosocial interventions may promote communication and social functioning, but intervention should be individualised according to developmental stage, communication style, </w:t>
      </w:r>
      <w:r w:rsidRPr="007C3D69">
        <w:lastRenderedPageBreak/>
        <w:t>strengths, preferences and support needs (World Health Organization, 2024).</w:t>
      </w:r>
      <w:r w:rsidRPr="007C3D69">
        <w:br/>
      </w:r>
      <w:r w:rsidRPr="007C3D69">
        <w:br/>
        <w:t xml:space="preserve">Psychosocial therapies have a well-established presence in autism support, however the evidence base varies by age, outcome and intervention type. Bishop-Fitzpatrick et al. (2013) reported evidence for psychosocial therapies for autistic adults, but also noted limitations in the evidence base, including variance in intervention approaches and outcome metrics. More recent research has moved away from defining success solely in terms of observable social </w:t>
      </w:r>
      <w:r w:rsidRPr="007C3D69">
        <w:t>behaviour and</w:t>
      </w:r>
      <w:r w:rsidRPr="007C3D69">
        <w:t xml:space="preserve"> instead has focused on quality of life and mental health outcomes. For example, Timmerman et al. (2024) reported considerable variability in the measurement of quality of life in randomised controlled trials of autistic individuals, underlining the need for more consistent and relevant outcome measures.</w:t>
      </w:r>
      <w:r w:rsidRPr="007C3D69">
        <w:br/>
      </w:r>
      <w:r w:rsidRPr="007C3D69">
        <w:br/>
        <w:t>Rehabilitation should therefore be multi-disciplinary and may involve occupational therapists, speech and language therapists, psychologists, nurses, social workers, educators and other specialists depending on individual needs. help may include communication methods, sensory adaptations, independent living skills, employment help, psychological interventions for co-occurring mental health challenges and reasonable adjustments in health and social care contexts. Research has been conducted on mindfulness-based therapies for autistic people (Simione et al., 2024), but the research remains varied, indicating that such interventions should not be presented as uniformly successful. Rehabilitation planning should instead be based on shared decision-making and on a regular review of whether therapies are improving outcomes that matter to the person.</w:t>
      </w:r>
      <w:r w:rsidRPr="007C3D69">
        <w:br/>
      </w:r>
      <w:r w:rsidRPr="007C3D69">
        <w:br/>
        <w:t xml:space="preserve">For autistic people, care needs to continue beyond childhood programs. Roy and Strate (2023) emphasise the necessity to recognise autism throughout adulthood and to address health, social, occupational and psychosocial issues. Employment, relationships, housing, physical health and mental health can all impact wellbeing. </w:t>
      </w:r>
      <w:r w:rsidRPr="007C3D69">
        <w:t>Therefore,</w:t>
      </w:r>
      <w:r w:rsidRPr="007C3D69">
        <w:t xml:space="preserve"> rehabilitation should be regarded as participation centred and not limited to symptom management. Pellicano and Heyworth (2023) similarly highlight autism thriving, redirecting focus to the circumstances and conditions that allow autistic persons to have meaningful and fulfilling lives.</w:t>
      </w:r>
    </w:p>
    <w:p w14:paraId="1FA6A827" w14:textId="7D5BEA5B" w:rsidR="007C3D69" w:rsidRDefault="007C3D69" w:rsidP="007C3D69">
      <w:pPr>
        <w:rPr>
          <w:b/>
          <w:bCs/>
        </w:rPr>
      </w:pPr>
      <w:r w:rsidRPr="007C3D69">
        <w:rPr>
          <w:b/>
          <w:bCs/>
        </w:rPr>
        <w:t>Current Debates and Emerging Issues</w:t>
      </w:r>
    </w:p>
    <w:p w14:paraId="046457AA" w14:textId="02EC0E40" w:rsidR="007C3D69" w:rsidRDefault="007C3D69" w:rsidP="007C3D69">
      <w:r w:rsidRPr="007C3D69">
        <w:t xml:space="preserve">One significant argument relates to the link between the medical classification of autism and the neurodiversity approach. Health services need agreed vocabulary to assess, record and plan. ICD-11 positions autism within a framework of diagnostic classification. However, from a neurodiversity perspective, neurological abnormalities are part of human variation and disability is constructed by environmental barriers, stigma and inaccessible processes. Pellicano and Heyworth (2023) have spoken in </w:t>
      </w:r>
      <w:r w:rsidRPr="007C3D69">
        <w:lastRenderedPageBreak/>
        <w:t>favour of approaches that encourage autistic thriving rather than only emphasising inadequacies. A balanced clinical approach can keep the value of diagnosis while accepting the autistic identity, abilities, and autonomy as well as the need for acceptable changes.</w:t>
      </w:r>
      <w:r w:rsidRPr="007C3D69">
        <w:br/>
      </w:r>
      <w:r w:rsidRPr="007C3D69">
        <w:br/>
        <w:t xml:space="preserve">Camouflaging or masking is another major growing issue. Camouflaging is the term used to describe tactics some autistic people adopt to hide or compensate for autism features in social circumstances. Camouflaging has significant psychological and societal implications and is methodologically challenging (Cook, 2021). Zhuang and colleagues (2024) also looked at psychological and sociocultural factors of camouflaging in autistic people, showing how social expectations might shape behaviour. Clinically, the urge to not look autistic may be a problem if others working in the field view good masking as evidence that a person has few support needs. Therefore, assessment should </w:t>
      </w:r>
      <w:proofErr w:type="gramStart"/>
      <w:r w:rsidRPr="007C3D69">
        <w:t>take into account</w:t>
      </w:r>
      <w:proofErr w:type="gramEnd"/>
      <w:r w:rsidRPr="007C3D69">
        <w:t xml:space="preserve"> developmental history and internal experience, rather than simply the behaviour shown during a brief session.</w:t>
      </w:r>
      <w:r w:rsidRPr="007C3D69">
        <w:br/>
      </w:r>
      <w:r w:rsidRPr="007C3D69">
        <w:br/>
        <w:t>Sex and gender differences still matter. Lai, Baron-Cohen and Buxbaum (2015) explored how autism may be presented differently across the sexes and genders and stated that research needed to move beyond simplistic assumptions about male and female autism. Cruz et al. (2024) also discovered evidence relevant to diagnostic bias in males. These findings have consequences for practice, in that clinicians should not assume a typical presentation of autism. Improved recognition depends upon awareness of the possibilities of camouflaging, developmental history, disparities in communication and that persons may have established coping methods that mask their issues.</w:t>
      </w:r>
      <w:r w:rsidRPr="007C3D69">
        <w:br/>
      </w:r>
      <w:r w:rsidRPr="007C3D69">
        <w:br/>
        <w:t>Another challenge that is growing is measuring outcomes. In the past, intervention research has largely focused on observable social or behavioural change. However, autistic persons may value things like autonomy, relationships, sensory wellbeing, work, communication access and quality of life more. Timmerman et al. (2024) found substantial heterogeneity in quality-of-life evaluation in trials of autistic individuals, emphasising the significance of more consistent patient-centred outcomes. Outcome measurement should encompass involvement, wellbeing, autonomy and the person’s own goals, rather than focusing on behavioural change.</w:t>
      </w:r>
      <w:r w:rsidRPr="007C3D69">
        <w:br/>
      </w:r>
      <w:r w:rsidRPr="007C3D69">
        <w:br/>
        <w:t xml:space="preserve">The variability of autism also makes planning of services difficult. </w:t>
      </w:r>
      <w:r w:rsidRPr="007C3D69">
        <w:t>Happe</w:t>
      </w:r>
      <w:r w:rsidRPr="007C3D69">
        <w:t xml:space="preserve"> and Frith (2020) note that the idea of autism has changed quite a lot over time, and future research must take into consideration variance within the spectrum. The incorporation of the intellectual development and functional language specifiers in ICD-11 provides for useful clinical differentiation but services still require individual assessment. Diagnostic codes should therefore be used as a starting point for assessment and assistance planning, and not as a full description of the person.</w:t>
      </w:r>
    </w:p>
    <w:p w14:paraId="71A6FD74" w14:textId="77777777" w:rsidR="007C3D69" w:rsidRDefault="007C3D69" w:rsidP="007C3D69"/>
    <w:p w14:paraId="3C1748DD" w14:textId="0604E52A" w:rsidR="007C3D69" w:rsidRDefault="007C3D69" w:rsidP="007C3D69">
      <w:pPr>
        <w:rPr>
          <w:b/>
          <w:bCs/>
        </w:rPr>
      </w:pPr>
      <w:r w:rsidRPr="007C3D69">
        <w:rPr>
          <w:b/>
          <w:bCs/>
        </w:rPr>
        <w:t>Implications for Health and Social Care Practice</w:t>
      </w:r>
    </w:p>
    <w:p w14:paraId="05FF5E97" w14:textId="4AE97F1E" w:rsidR="00DA61B2" w:rsidRDefault="00DA61B2" w:rsidP="00DA61B2">
      <w:r w:rsidRPr="00DA61B2">
        <w:t>The ICD-11 classification has significant consequences for health and social care practice, as correct diagnosis and coding can improve communication between specialists and encourage uniform documentation. The WHO deems the CDDR to be relevant not just for doctors who diagnose, but also for nurses, occupational therapists, social workers and other professionals who need to understand mental, behavioural and neurodevelopmental problems (World Health Organization, 2024). It is therefore essential that professionals understand what 6A02 and its accompanying specifiers entail, but that they don’t assume that the code alone indicates a person’s needs for support.</w:t>
      </w:r>
      <w:r w:rsidRPr="00DA61B2">
        <w:br/>
      </w:r>
      <w:r w:rsidRPr="00DA61B2">
        <w:br/>
        <w:t xml:space="preserve">Practice also </w:t>
      </w:r>
      <w:r w:rsidRPr="00DA61B2">
        <w:t>must</w:t>
      </w:r>
      <w:r w:rsidRPr="00DA61B2">
        <w:t xml:space="preserve"> become more person-centred and accessible. Services can eliminate obstacles by providing straightforward communication, appropriate sensory surroundings, flexible appointments, accessible information and reasonable adaptations. Professionals should ask autistic people how they prefer to communicate and what contextual elements impact their capacity to engage. Training should include diagnostic bias, camouflaging, sex and gender variances and the spectrum of autistic presentations. These modifications can help identify issues early and lower the chances of people only receiving care when their challenges have become serious.</w:t>
      </w:r>
    </w:p>
    <w:p w14:paraId="779DFED7" w14:textId="77777777" w:rsidR="00DA61B2" w:rsidRDefault="00DA61B2" w:rsidP="00DA61B2"/>
    <w:p w14:paraId="3FD34C31" w14:textId="214730D0" w:rsidR="00DA61B2" w:rsidRDefault="00DA61B2" w:rsidP="00DA61B2">
      <w:pPr>
        <w:rPr>
          <w:b/>
          <w:bCs/>
        </w:rPr>
      </w:pPr>
      <w:r w:rsidRPr="00DA61B2">
        <w:rPr>
          <w:b/>
          <w:bCs/>
        </w:rPr>
        <w:t>Recommendations</w:t>
      </w:r>
    </w:p>
    <w:p w14:paraId="36778DD0" w14:textId="77777777" w:rsidR="00DA61B2" w:rsidRDefault="00DA61B2" w:rsidP="00DA61B2">
      <w:r w:rsidRPr="00DA61B2">
        <w:t xml:space="preserve">First, UK health and social care agencies should deliver regular autism training for multidisciplinary workers, with specific emphasis on ICD-11 categorisation, diagnostic presentation across the lifetime, camouflaging, sex and gender variations and acceptable adaptations. Second, assessment services should adopt interdisciplinary and developmental approaches, considering information from the individual and, where relevant, family or carers, whilst preserving autonomy and confidentiality. Third, services should assess outcomes that encompass quality of life, involvement, autonomy and personally specified goals rather than only observable behavioural change (Timmerman et al., 2024). </w:t>
      </w:r>
    </w:p>
    <w:p w14:paraId="7821B5EC" w14:textId="46228C92" w:rsidR="00DA61B2" w:rsidRDefault="00DA61B2" w:rsidP="00DA61B2">
      <w:r w:rsidRPr="00DA61B2">
        <w:t xml:space="preserve">Fourth, autism services need to increase transition and adult </w:t>
      </w:r>
      <w:proofErr w:type="gramStart"/>
      <w:r w:rsidRPr="00DA61B2">
        <w:t>provision</w:t>
      </w:r>
      <w:proofErr w:type="gramEnd"/>
      <w:r w:rsidRPr="00DA61B2">
        <w:t xml:space="preserve"> so assistance does not drop off significantly when persons leave childhood services. Fifth, research should include more diverse autistic communities and enhance representation across sex, gender, age, ethnicity, intellectual capacity and communication features. Finally, autistic persons should be meaningfully involved in service design, research priorities and assessment as lived experience can uncover barriers that may not be seen through diagnostic measures alone (Pellicano and Heyworth, 2023).</w:t>
      </w:r>
    </w:p>
    <w:p w14:paraId="3BB513C4" w14:textId="02E8FB67" w:rsidR="00DA61B2" w:rsidRDefault="00DA61B2" w:rsidP="00DA61B2">
      <w:pPr>
        <w:rPr>
          <w:b/>
          <w:bCs/>
        </w:rPr>
      </w:pPr>
      <w:r w:rsidRPr="00DA61B2">
        <w:rPr>
          <w:b/>
          <w:bCs/>
        </w:rPr>
        <w:lastRenderedPageBreak/>
        <w:t>Conclusion</w:t>
      </w:r>
    </w:p>
    <w:p w14:paraId="5A3DB013" w14:textId="77777777" w:rsidR="00DA61B2" w:rsidRPr="00DA61B2" w:rsidRDefault="00DA61B2" w:rsidP="00DA61B2">
      <w:r w:rsidRPr="00DA61B2">
        <w:t>Autism Spectrum Disorder is classified in ICD-11 Chapter 6, Mental, Behavioural or Neurodevelopmental Disorders, in the group neurodevelopmental disorders, with the major category code 6A02. The ICD-11 framework gives a more complex description of autism including specifiers relating to intellectual development, functional language and loss of previously acquired skills (World Health Organization, 2024). But classification does not give a whole picture of an autistic person’s identity, abilities or support needs.</w:t>
      </w:r>
      <w:r w:rsidRPr="00DA61B2">
        <w:br/>
      </w:r>
      <w:r w:rsidRPr="00DA61B2">
        <w:br/>
        <w:t>Therefore, a critical approach to autism includes both accurate diagnosis and person-centred practice. Challenges identified in current data include diagnostic bias, camouflaging, sex and gender disparities, heterogenous presentations, and measurement of meaningful outcomes (Cook et al., 2021; Cruz et al., 2024; Zhuang et al., 2024). Future UK practice should give uniformity, as with ICD-11, but in a neurodiversity-informed, strengths- and participation-based manner. This approach can help ensure that diagnosis is a gateway to appropriate support rather than a label that limits understanding of the individual.</w:t>
      </w:r>
    </w:p>
    <w:p w14:paraId="2F5FE778" w14:textId="77777777" w:rsidR="00DA61B2" w:rsidRDefault="00DA61B2" w:rsidP="00DA61B2"/>
    <w:p w14:paraId="2CBA4026" w14:textId="77777777" w:rsidR="003B2E56" w:rsidRDefault="003B2E56" w:rsidP="00DA61B2"/>
    <w:p w14:paraId="0D0C7824" w14:textId="77777777" w:rsidR="003B2E56" w:rsidRDefault="003B2E56" w:rsidP="00DA61B2"/>
    <w:p w14:paraId="1A81E4D4" w14:textId="77777777" w:rsidR="003B2E56" w:rsidRDefault="003B2E56" w:rsidP="00DA61B2"/>
    <w:p w14:paraId="67D5A372" w14:textId="77777777" w:rsidR="003B2E56" w:rsidRDefault="003B2E56" w:rsidP="00DA61B2"/>
    <w:p w14:paraId="696B37FF" w14:textId="77777777" w:rsidR="003B2E56" w:rsidRPr="003B2E56" w:rsidRDefault="003B2E56" w:rsidP="003B2E56">
      <w:pPr>
        <w:rPr>
          <w:b/>
          <w:bCs/>
        </w:rPr>
      </w:pPr>
      <w:r w:rsidRPr="003B2E56">
        <w:rPr>
          <w:b/>
          <w:bCs/>
        </w:rPr>
        <w:t>Reference</w:t>
      </w:r>
    </w:p>
    <w:p w14:paraId="44D8FDEC" w14:textId="77777777" w:rsidR="003B2E56" w:rsidRPr="00DA61B2" w:rsidRDefault="003B2E56" w:rsidP="00DA61B2"/>
    <w:p w14:paraId="1A7AA971" w14:textId="77777777" w:rsidR="00DA61B2" w:rsidRPr="00DA61B2" w:rsidRDefault="00DA61B2" w:rsidP="00DA61B2"/>
    <w:p w14:paraId="38C019D8" w14:textId="77777777" w:rsidR="00DA61B2" w:rsidRPr="007C3D69" w:rsidRDefault="00DA61B2" w:rsidP="007C3D69"/>
    <w:p w14:paraId="3694B9A0" w14:textId="77777777" w:rsidR="007C3D69" w:rsidRPr="007C3D69" w:rsidRDefault="007C3D69" w:rsidP="007C3D69"/>
    <w:p w14:paraId="6A874FA9" w14:textId="77777777" w:rsidR="007C3D69" w:rsidRPr="0033580D" w:rsidRDefault="007C3D69" w:rsidP="0033580D"/>
    <w:p w14:paraId="004980E2" w14:textId="77777777" w:rsidR="00405167" w:rsidRDefault="00405167"/>
    <w:sectPr w:rsidR="004051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BC"/>
    <w:rsid w:val="002277D6"/>
    <w:rsid w:val="0033580D"/>
    <w:rsid w:val="003B2E56"/>
    <w:rsid w:val="00405167"/>
    <w:rsid w:val="005D253B"/>
    <w:rsid w:val="00607F1B"/>
    <w:rsid w:val="007B57B7"/>
    <w:rsid w:val="007C3D69"/>
    <w:rsid w:val="00CD7A63"/>
    <w:rsid w:val="00DA61B2"/>
    <w:rsid w:val="00E516A5"/>
    <w:rsid w:val="00E654BC"/>
    <w:rsid w:val="00F47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D360"/>
  <w15:chartTrackingRefBased/>
  <w15:docId w15:val="{CB02BA75-CE2C-429B-8B56-45B9E98DD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4BC"/>
    <w:rPr>
      <w:rFonts w:eastAsiaTheme="majorEastAsia" w:cstheme="majorBidi"/>
      <w:color w:val="272727" w:themeColor="text1" w:themeTint="D8"/>
    </w:rPr>
  </w:style>
  <w:style w:type="paragraph" w:styleId="Title">
    <w:name w:val="Title"/>
    <w:basedOn w:val="Normal"/>
    <w:next w:val="Normal"/>
    <w:link w:val="TitleChar"/>
    <w:uiPriority w:val="10"/>
    <w:qFormat/>
    <w:rsid w:val="00E65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4BC"/>
    <w:pPr>
      <w:spacing w:before="160"/>
      <w:jc w:val="center"/>
    </w:pPr>
    <w:rPr>
      <w:i/>
      <w:iCs/>
      <w:color w:val="404040" w:themeColor="text1" w:themeTint="BF"/>
    </w:rPr>
  </w:style>
  <w:style w:type="character" w:customStyle="1" w:styleId="QuoteChar">
    <w:name w:val="Quote Char"/>
    <w:basedOn w:val="DefaultParagraphFont"/>
    <w:link w:val="Quote"/>
    <w:uiPriority w:val="29"/>
    <w:rsid w:val="00E654BC"/>
    <w:rPr>
      <w:i/>
      <w:iCs/>
      <w:color w:val="404040" w:themeColor="text1" w:themeTint="BF"/>
    </w:rPr>
  </w:style>
  <w:style w:type="paragraph" w:styleId="ListParagraph">
    <w:name w:val="List Paragraph"/>
    <w:basedOn w:val="Normal"/>
    <w:uiPriority w:val="34"/>
    <w:qFormat/>
    <w:rsid w:val="00E654BC"/>
    <w:pPr>
      <w:ind w:left="720"/>
      <w:contextualSpacing/>
    </w:pPr>
  </w:style>
  <w:style w:type="character" w:styleId="IntenseEmphasis">
    <w:name w:val="Intense Emphasis"/>
    <w:basedOn w:val="DefaultParagraphFont"/>
    <w:uiPriority w:val="21"/>
    <w:qFormat/>
    <w:rsid w:val="00E654BC"/>
    <w:rPr>
      <w:i/>
      <w:iCs/>
      <w:color w:val="0F4761" w:themeColor="accent1" w:themeShade="BF"/>
    </w:rPr>
  </w:style>
  <w:style w:type="paragraph" w:styleId="IntenseQuote">
    <w:name w:val="Intense Quote"/>
    <w:basedOn w:val="Normal"/>
    <w:next w:val="Normal"/>
    <w:link w:val="IntenseQuoteChar"/>
    <w:uiPriority w:val="30"/>
    <w:qFormat/>
    <w:rsid w:val="00E65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4BC"/>
    <w:rPr>
      <w:i/>
      <w:iCs/>
      <w:color w:val="0F4761" w:themeColor="accent1" w:themeShade="BF"/>
    </w:rPr>
  </w:style>
  <w:style w:type="character" w:styleId="IntenseReference">
    <w:name w:val="Intense Reference"/>
    <w:basedOn w:val="DefaultParagraphFont"/>
    <w:uiPriority w:val="32"/>
    <w:qFormat/>
    <w:rsid w:val="00E654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3B63CAE-B6CC-417D-84D5-D3BFF9A0D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BCA0BA-BBC7-418C-AEFE-ECA487D8E043}">
  <ds:schemaRefs>
    <ds:schemaRef ds:uri="http://schemas.microsoft.com/sharepoint/v3/contenttype/forms"/>
  </ds:schemaRefs>
</ds:datastoreItem>
</file>

<file path=customXml/itemProps3.xml><?xml version="1.0" encoding="utf-8"?>
<ds:datastoreItem xmlns:ds="http://schemas.openxmlformats.org/officeDocument/2006/customXml" ds:itemID="{2A91A314-2795-485B-890B-E3F93EFE3CC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7</Pages>
  <Words>2330</Words>
  <Characters>13283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4</cp:revision>
  <dcterms:created xsi:type="dcterms:W3CDTF">2026-10-20T07:10:00Z</dcterms:created>
  <dcterms:modified xsi:type="dcterms:W3CDTF">2026-10-20T09:21:00Z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