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29FE4" w14:textId="36DCCAAA" w:rsidR="00A672E8" w:rsidRPr="007540DF" w:rsidRDefault="00AE35FC" w:rsidP="001725A3">
      <w:pPr>
        <w:spacing w:line="360" w:lineRule="auto"/>
        <w:jc w:val="both"/>
        <w:rPr>
          <w:rFonts w:ascii="Arial" w:hAnsi="Arial" w:cs="Arial"/>
          <w:sz w:val="22"/>
          <w:szCs w:val="22"/>
        </w:rPr>
      </w:pPr>
      <w:r w:rsidRPr="007540DF">
        <w:rPr>
          <w:rFonts w:ascii="Arial" w:hAnsi="Arial" w:cs="Arial"/>
          <w:sz w:val="22"/>
          <w:szCs w:val="22"/>
        </w:rPr>
        <w:t>Programme: BA (Hons) Business Management</w:t>
      </w:r>
    </w:p>
    <w:p w14:paraId="735CFA90" w14:textId="12B8496F" w:rsidR="00AE35FC" w:rsidRPr="007540DF" w:rsidRDefault="00AE35FC" w:rsidP="001725A3">
      <w:pPr>
        <w:spacing w:line="360" w:lineRule="auto"/>
        <w:jc w:val="both"/>
        <w:rPr>
          <w:rFonts w:ascii="Arial" w:hAnsi="Arial" w:cs="Arial"/>
          <w:sz w:val="22"/>
          <w:szCs w:val="22"/>
        </w:rPr>
      </w:pPr>
      <w:r w:rsidRPr="007540DF">
        <w:rPr>
          <w:rFonts w:ascii="Arial" w:hAnsi="Arial" w:cs="Arial"/>
          <w:sz w:val="22"/>
          <w:szCs w:val="22"/>
        </w:rPr>
        <w:t>Module: Strategic Management and Sustainability</w:t>
      </w:r>
    </w:p>
    <w:p w14:paraId="0635F117" w14:textId="40F19E74" w:rsidR="00AE35FC" w:rsidRPr="007540DF" w:rsidRDefault="00AE35FC" w:rsidP="001725A3">
      <w:pPr>
        <w:spacing w:line="360" w:lineRule="auto"/>
        <w:jc w:val="both"/>
        <w:rPr>
          <w:rFonts w:ascii="Arial" w:hAnsi="Arial" w:cs="Arial"/>
          <w:sz w:val="22"/>
          <w:szCs w:val="22"/>
        </w:rPr>
      </w:pPr>
      <w:r w:rsidRPr="007540DF">
        <w:rPr>
          <w:rFonts w:ascii="Arial" w:hAnsi="Arial" w:cs="Arial"/>
          <w:sz w:val="22"/>
          <w:szCs w:val="22"/>
        </w:rPr>
        <w:t>Module code: LCBB 6015</w:t>
      </w:r>
    </w:p>
    <w:p w14:paraId="156A017B" w14:textId="367B03A8" w:rsidR="007540DF" w:rsidRPr="007540DF" w:rsidRDefault="007540DF" w:rsidP="001725A3">
      <w:pPr>
        <w:spacing w:line="360" w:lineRule="auto"/>
        <w:jc w:val="both"/>
        <w:rPr>
          <w:rFonts w:ascii="Arial" w:hAnsi="Arial" w:cs="Arial"/>
          <w:sz w:val="22"/>
          <w:szCs w:val="22"/>
        </w:rPr>
      </w:pPr>
      <w:r w:rsidRPr="007540DF">
        <w:rPr>
          <w:rFonts w:ascii="Arial" w:hAnsi="Arial" w:cs="Arial"/>
          <w:sz w:val="22"/>
          <w:szCs w:val="22"/>
        </w:rPr>
        <w:t>Lecturer: Nadeem Mirza</w:t>
      </w:r>
    </w:p>
    <w:p w14:paraId="111F55B8" w14:textId="3EF078BE" w:rsidR="007540DF" w:rsidRPr="007540DF" w:rsidRDefault="007540DF" w:rsidP="001725A3">
      <w:pPr>
        <w:spacing w:line="360" w:lineRule="auto"/>
        <w:jc w:val="both"/>
        <w:rPr>
          <w:rFonts w:ascii="Arial" w:hAnsi="Arial" w:cs="Arial"/>
          <w:sz w:val="22"/>
          <w:szCs w:val="22"/>
        </w:rPr>
      </w:pPr>
      <w:r w:rsidRPr="007540DF">
        <w:rPr>
          <w:rFonts w:ascii="Arial" w:hAnsi="Arial" w:cs="Arial"/>
          <w:sz w:val="22"/>
          <w:szCs w:val="22"/>
        </w:rPr>
        <w:t>Student name: Octavian-George Stoica</w:t>
      </w:r>
    </w:p>
    <w:p w14:paraId="309BEAC4" w14:textId="13FE8860" w:rsidR="00AE35FC" w:rsidRPr="007540DF" w:rsidRDefault="00AE35FC" w:rsidP="001725A3">
      <w:pPr>
        <w:spacing w:line="360" w:lineRule="auto"/>
        <w:jc w:val="both"/>
        <w:rPr>
          <w:rFonts w:ascii="Arial" w:hAnsi="Arial" w:cs="Arial"/>
          <w:sz w:val="22"/>
          <w:szCs w:val="22"/>
        </w:rPr>
      </w:pPr>
      <w:r w:rsidRPr="007540DF">
        <w:rPr>
          <w:rFonts w:ascii="Arial" w:hAnsi="Arial" w:cs="Arial"/>
          <w:sz w:val="22"/>
          <w:szCs w:val="22"/>
        </w:rPr>
        <w:t>Student number:</w:t>
      </w:r>
      <w:r w:rsidR="007540DF" w:rsidRPr="007540DF">
        <w:rPr>
          <w:rFonts w:ascii="Arial" w:hAnsi="Arial" w:cs="Arial"/>
          <w:sz w:val="22"/>
          <w:szCs w:val="22"/>
        </w:rPr>
        <w:t>2330278</w:t>
      </w:r>
    </w:p>
    <w:p w14:paraId="6EC3674E" w14:textId="77777777" w:rsidR="007540DF" w:rsidRPr="007540DF" w:rsidRDefault="007540DF" w:rsidP="001725A3">
      <w:pPr>
        <w:spacing w:line="360" w:lineRule="auto"/>
        <w:jc w:val="both"/>
        <w:rPr>
          <w:rFonts w:ascii="Arial" w:hAnsi="Arial" w:cs="Arial"/>
          <w:sz w:val="22"/>
          <w:szCs w:val="22"/>
        </w:rPr>
      </w:pPr>
    </w:p>
    <w:p w14:paraId="30379450" w14:textId="77777777" w:rsidR="007540DF" w:rsidRPr="007540DF" w:rsidRDefault="007540DF" w:rsidP="001725A3">
      <w:pPr>
        <w:spacing w:line="360" w:lineRule="auto"/>
        <w:jc w:val="both"/>
        <w:rPr>
          <w:rFonts w:ascii="Arial" w:hAnsi="Arial" w:cs="Arial"/>
          <w:sz w:val="22"/>
          <w:szCs w:val="22"/>
        </w:rPr>
      </w:pPr>
    </w:p>
    <w:p w14:paraId="710BD6AB" w14:textId="77777777" w:rsidR="007540DF" w:rsidRPr="007540DF" w:rsidRDefault="007540DF" w:rsidP="001725A3">
      <w:pPr>
        <w:spacing w:line="360" w:lineRule="auto"/>
        <w:jc w:val="both"/>
        <w:rPr>
          <w:rFonts w:ascii="Arial" w:hAnsi="Arial" w:cs="Arial"/>
          <w:sz w:val="22"/>
          <w:szCs w:val="22"/>
        </w:rPr>
      </w:pPr>
    </w:p>
    <w:p w14:paraId="5A47A936" w14:textId="77777777" w:rsidR="007540DF" w:rsidRPr="007540DF" w:rsidRDefault="007540DF" w:rsidP="001725A3">
      <w:pPr>
        <w:spacing w:line="360" w:lineRule="auto"/>
        <w:jc w:val="both"/>
        <w:rPr>
          <w:rFonts w:ascii="Arial" w:hAnsi="Arial" w:cs="Arial"/>
          <w:sz w:val="22"/>
          <w:szCs w:val="22"/>
        </w:rPr>
      </w:pPr>
    </w:p>
    <w:p w14:paraId="6E4F1AC2" w14:textId="77777777" w:rsidR="007540DF" w:rsidRPr="007540DF" w:rsidRDefault="007540DF" w:rsidP="001725A3">
      <w:pPr>
        <w:spacing w:line="360" w:lineRule="auto"/>
        <w:jc w:val="both"/>
        <w:rPr>
          <w:rFonts w:ascii="Arial" w:hAnsi="Arial" w:cs="Arial"/>
          <w:sz w:val="22"/>
          <w:szCs w:val="22"/>
        </w:rPr>
      </w:pPr>
    </w:p>
    <w:p w14:paraId="21320FE8" w14:textId="77777777" w:rsidR="007540DF" w:rsidRPr="007540DF" w:rsidRDefault="007540DF" w:rsidP="001725A3">
      <w:pPr>
        <w:spacing w:line="360" w:lineRule="auto"/>
        <w:jc w:val="both"/>
        <w:rPr>
          <w:rFonts w:ascii="Arial" w:hAnsi="Arial" w:cs="Arial"/>
          <w:sz w:val="22"/>
          <w:szCs w:val="22"/>
        </w:rPr>
      </w:pPr>
    </w:p>
    <w:p w14:paraId="4132FAF4" w14:textId="77777777" w:rsidR="007540DF" w:rsidRPr="007540DF" w:rsidRDefault="007540DF" w:rsidP="001725A3">
      <w:pPr>
        <w:spacing w:line="360" w:lineRule="auto"/>
        <w:jc w:val="both"/>
        <w:rPr>
          <w:rFonts w:ascii="Arial" w:hAnsi="Arial" w:cs="Arial"/>
          <w:sz w:val="22"/>
          <w:szCs w:val="22"/>
        </w:rPr>
      </w:pPr>
    </w:p>
    <w:p w14:paraId="2C08051D" w14:textId="77777777" w:rsidR="007540DF" w:rsidRPr="007540DF" w:rsidRDefault="007540DF" w:rsidP="001725A3">
      <w:pPr>
        <w:spacing w:line="360" w:lineRule="auto"/>
        <w:jc w:val="both"/>
        <w:rPr>
          <w:rFonts w:ascii="Arial" w:hAnsi="Arial" w:cs="Arial"/>
          <w:sz w:val="22"/>
          <w:szCs w:val="22"/>
        </w:rPr>
      </w:pPr>
    </w:p>
    <w:p w14:paraId="369B0D5C" w14:textId="77777777" w:rsidR="007540DF" w:rsidRPr="007540DF" w:rsidRDefault="007540DF" w:rsidP="001725A3">
      <w:pPr>
        <w:spacing w:line="360" w:lineRule="auto"/>
        <w:jc w:val="both"/>
        <w:rPr>
          <w:rFonts w:ascii="Arial" w:hAnsi="Arial" w:cs="Arial"/>
          <w:sz w:val="22"/>
          <w:szCs w:val="22"/>
        </w:rPr>
      </w:pPr>
    </w:p>
    <w:p w14:paraId="7060E9A2" w14:textId="77777777" w:rsidR="007540DF" w:rsidRPr="007540DF" w:rsidRDefault="007540DF" w:rsidP="001725A3">
      <w:pPr>
        <w:spacing w:line="360" w:lineRule="auto"/>
        <w:jc w:val="both"/>
        <w:rPr>
          <w:rFonts w:ascii="Arial" w:hAnsi="Arial" w:cs="Arial"/>
          <w:sz w:val="22"/>
          <w:szCs w:val="22"/>
        </w:rPr>
      </w:pPr>
    </w:p>
    <w:p w14:paraId="1ECCAC02" w14:textId="77777777" w:rsidR="007540DF" w:rsidRPr="007540DF" w:rsidRDefault="007540DF" w:rsidP="001725A3">
      <w:pPr>
        <w:spacing w:line="360" w:lineRule="auto"/>
        <w:jc w:val="both"/>
        <w:rPr>
          <w:rFonts w:ascii="Arial" w:hAnsi="Arial" w:cs="Arial"/>
          <w:sz w:val="22"/>
          <w:szCs w:val="22"/>
        </w:rPr>
      </w:pPr>
    </w:p>
    <w:p w14:paraId="7D2BA9A6" w14:textId="77777777" w:rsidR="007540DF" w:rsidRPr="007540DF" w:rsidRDefault="007540DF" w:rsidP="001725A3">
      <w:pPr>
        <w:spacing w:line="360" w:lineRule="auto"/>
        <w:jc w:val="both"/>
        <w:rPr>
          <w:rFonts w:ascii="Arial" w:hAnsi="Arial" w:cs="Arial"/>
          <w:sz w:val="22"/>
          <w:szCs w:val="22"/>
        </w:rPr>
      </w:pPr>
    </w:p>
    <w:p w14:paraId="32FE2914" w14:textId="77777777" w:rsidR="007540DF" w:rsidRPr="007540DF" w:rsidRDefault="007540DF" w:rsidP="001725A3">
      <w:pPr>
        <w:spacing w:line="360" w:lineRule="auto"/>
        <w:jc w:val="both"/>
        <w:rPr>
          <w:rFonts w:ascii="Arial" w:hAnsi="Arial" w:cs="Arial"/>
          <w:sz w:val="22"/>
          <w:szCs w:val="22"/>
        </w:rPr>
      </w:pPr>
    </w:p>
    <w:p w14:paraId="0D1897CA" w14:textId="77777777" w:rsidR="007540DF" w:rsidRPr="007540DF" w:rsidRDefault="007540DF" w:rsidP="001725A3">
      <w:pPr>
        <w:spacing w:line="360" w:lineRule="auto"/>
        <w:jc w:val="both"/>
        <w:rPr>
          <w:rFonts w:ascii="Arial" w:hAnsi="Arial" w:cs="Arial"/>
          <w:sz w:val="22"/>
          <w:szCs w:val="22"/>
        </w:rPr>
      </w:pPr>
    </w:p>
    <w:p w14:paraId="728BDA4A" w14:textId="77777777" w:rsidR="007540DF" w:rsidRPr="007540DF" w:rsidRDefault="007540DF" w:rsidP="001725A3">
      <w:pPr>
        <w:spacing w:line="360" w:lineRule="auto"/>
        <w:jc w:val="both"/>
        <w:rPr>
          <w:rFonts w:ascii="Arial" w:hAnsi="Arial" w:cs="Arial"/>
          <w:sz w:val="22"/>
          <w:szCs w:val="22"/>
        </w:rPr>
      </w:pPr>
    </w:p>
    <w:p w14:paraId="5C3CBFD7" w14:textId="77777777" w:rsidR="007540DF" w:rsidRPr="007540DF" w:rsidRDefault="007540DF" w:rsidP="001725A3">
      <w:pPr>
        <w:spacing w:line="360" w:lineRule="auto"/>
        <w:jc w:val="both"/>
        <w:rPr>
          <w:rFonts w:ascii="Arial" w:hAnsi="Arial" w:cs="Arial"/>
          <w:sz w:val="22"/>
          <w:szCs w:val="22"/>
        </w:rPr>
      </w:pPr>
    </w:p>
    <w:p w14:paraId="701EC158" w14:textId="77777777" w:rsidR="007540DF" w:rsidRPr="007540DF" w:rsidRDefault="007540DF" w:rsidP="001725A3">
      <w:pPr>
        <w:spacing w:line="360" w:lineRule="auto"/>
        <w:jc w:val="both"/>
        <w:rPr>
          <w:rFonts w:ascii="Arial" w:hAnsi="Arial" w:cs="Arial"/>
          <w:sz w:val="22"/>
          <w:szCs w:val="22"/>
        </w:rPr>
      </w:pPr>
    </w:p>
    <w:p w14:paraId="0F17C83D" w14:textId="77777777" w:rsidR="007540DF" w:rsidRPr="007540DF" w:rsidRDefault="007540DF" w:rsidP="001725A3">
      <w:pPr>
        <w:spacing w:line="360" w:lineRule="auto"/>
        <w:jc w:val="both"/>
        <w:rPr>
          <w:rFonts w:ascii="Arial" w:hAnsi="Arial" w:cs="Arial"/>
          <w:sz w:val="22"/>
          <w:szCs w:val="22"/>
        </w:rPr>
      </w:pPr>
    </w:p>
    <w:p w14:paraId="522CAC8C" w14:textId="77777777" w:rsidR="007540DF" w:rsidRPr="007540DF" w:rsidRDefault="007540DF" w:rsidP="001725A3">
      <w:pPr>
        <w:spacing w:line="360" w:lineRule="auto"/>
        <w:jc w:val="both"/>
        <w:rPr>
          <w:rFonts w:ascii="Arial" w:hAnsi="Arial" w:cs="Arial"/>
          <w:sz w:val="22"/>
          <w:szCs w:val="22"/>
        </w:rPr>
      </w:pPr>
    </w:p>
    <w:p w14:paraId="517CC33D" w14:textId="77777777" w:rsidR="007540DF" w:rsidRPr="007540DF" w:rsidRDefault="007540DF" w:rsidP="001725A3">
      <w:pPr>
        <w:spacing w:line="360" w:lineRule="auto"/>
        <w:jc w:val="both"/>
        <w:rPr>
          <w:rFonts w:ascii="Arial" w:hAnsi="Arial" w:cs="Arial"/>
          <w:sz w:val="22"/>
          <w:szCs w:val="22"/>
        </w:rPr>
      </w:pPr>
    </w:p>
    <w:p w14:paraId="4C75F278" w14:textId="77777777" w:rsidR="007540DF" w:rsidRPr="007540DF" w:rsidRDefault="007540DF" w:rsidP="001725A3">
      <w:pPr>
        <w:spacing w:line="360" w:lineRule="auto"/>
        <w:jc w:val="both"/>
        <w:rPr>
          <w:rFonts w:ascii="Arial" w:hAnsi="Arial" w:cs="Arial"/>
          <w:sz w:val="22"/>
          <w:szCs w:val="22"/>
        </w:rPr>
      </w:pPr>
    </w:p>
    <w:p w14:paraId="792FCF44" w14:textId="77777777" w:rsidR="007540DF" w:rsidRDefault="007540DF" w:rsidP="001725A3">
      <w:pPr>
        <w:spacing w:line="360" w:lineRule="auto"/>
        <w:jc w:val="both"/>
        <w:rPr>
          <w:rFonts w:ascii="Arial" w:hAnsi="Arial" w:cs="Arial"/>
          <w:sz w:val="22"/>
          <w:szCs w:val="22"/>
        </w:rPr>
      </w:pPr>
    </w:p>
    <w:p w14:paraId="13C0F163" w14:textId="77777777" w:rsidR="007540DF" w:rsidRDefault="007540DF" w:rsidP="001725A3">
      <w:pPr>
        <w:spacing w:line="360" w:lineRule="auto"/>
        <w:jc w:val="both"/>
        <w:rPr>
          <w:rFonts w:ascii="Arial" w:hAnsi="Arial" w:cs="Arial"/>
          <w:sz w:val="22"/>
          <w:szCs w:val="22"/>
        </w:rPr>
      </w:pPr>
    </w:p>
    <w:p w14:paraId="5165561D" w14:textId="77777777" w:rsidR="007540DF" w:rsidRDefault="007540DF" w:rsidP="001725A3">
      <w:pPr>
        <w:spacing w:line="360" w:lineRule="auto"/>
        <w:jc w:val="both"/>
        <w:rPr>
          <w:rFonts w:ascii="Arial" w:hAnsi="Arial" w:cs="Arial"/>
          <w:sz w:val="22"/>
          <w:szCs w:val="22"/>
        </w:rPr>
      </w:pPr>
    </w:p>
    <w:p w14:paraId="62505379" w14:textId="77777777" w:rsidR="007540DF" w:rsidRPr="007540DF" w:rsidRDefault="007540DF" w:rsidP="001725A3">
      <w:pPr>
        <w:spacing w:line="360" w:lineRule="auto"/>
        <w:jc w:val="both"/>
        <w:rPr>
          <w:rFonts w:ascii="Arial" w:hAnsi="Arial" w:cs="Arial"/>
          <w:sz w:val="22"/>
          <w:szCs w:val="22"/>
        </w:rPr>
      </w:pPr>
    </w:p>
    <w:p w14:paraId="47326BCA" w14:textId="15D1060D" w:rsidR="007540DF" w:rsidRPr="007540DF" w:rsidRDefault="007540DF" w:rsidP="001725A3">
      <w:pPr>
        <w:spacing w:line="360" w:lineRule="auto"/>
        <w:jc w:val="center"/>
        <w:rPr>
          <w:rFonts w:ascii="Arial" w:hAnsi="Arial" w:cs="Arial"/>
          <w:sz w:val="22"/>
          <w:szCs w:val="22"/>
        </w:rPr>
      </w:pPr>
      <w:r w:rsidRPr="007540DF">
        <w:rPr>
          <w:rFonts w:ascii="Arial" w:hAnsi="Arial" w:cs="Arial"/>
          <w:sz w:val="22"/>
          <w:szCs w:val="22"/>
        </w:rPr>
        <w:t>Strategic Analysis of NEXT plc in the UK Fashion Industry</w:t>
      </w:r>
    </w:p>
    <w:p w14:paraId="08C47822" w14:textId="77777777" w:rsidR="007540DF" w:rsidRPr="007540DF" w:rsidRDefault="007540DF" w:rsidP="001725A3">
      <w:pPr>
        <w:spacing w:line="360" w:lineRule="auto"/>
        <w:jc w:val="both"/>
        <w:rPr>
          <w:rFonts w:ascii="Arial" w:hAnsi="Arial" w:cs="Arial"/>
          <w:sz w:val="22"/>
          <w:szCs w:val="22"/>
        </w:rPr>
      </w:pPr>
    </w:p>
    <w:p w14:paraId="3FA13620" w14:textId="77777777" w:rsidR="007540DF" w:rsidRPr="007540DF" w:rsidRDefault="007540DF" w:rsidP="001725A3">
      <w:pPr>
        <w:spacing w:line="360" w:lineRule="auto"/>
        <w:jc w:val="both"/>
        <w:rPr>
          <w:rFonts w:ascii="Arial" w:hAnsi="Arial" w:cs="Arial"/>
          <w:sz w:val="22"/>
          <w:szCs w:val="22"/>
        </w:rPr>
      </w:pPr>
    </w:p>
    <w:p w14:paraId="516615B3" w14:textId="77777777" w:rsidR="007540DF" w:rsidRPr="007540DF" w:rsidRDefault="007540DF" w:rsidP="001725A3">
      <w:pPr>
        <w:spacing w:line="360" w:lineRule="auto"/>
        <w:jc w:val="both"/>
        <w:rPr>
          <w:rFonts w:ascii="Arial" w:hAnsi="Arial" w:cs="Arial"/>
          <w:sz w:val="22"/>
          <w:szCs w:val="22"/>
        </w:rPr>
      </w:pPr>
    </w:p>
    <w:p w14:paraId="4C5CDF9D" w14:textId="77777777" w:rsidR="007540DF" w:rsidRPr="007540DF" w:rsidRDefault="007540DF" w:rsidP="001725A3">
      <w:pPr>
        <w:spacing w:line="360" w:lineRule="auto"/>
        <w:jc w:val="both"/>
        <w:rPr>
          <w:rFonts w:ascii="Arial" w:hAnsi="Arial" w:cs="Arial"/>
          <w:sz w:val="22"/>
          <w:szCs w:val="22"/>
        </w:rPr>
      </w:pPr>
    </w:p>
    <w:p w14:paraId="4735B763" w14:textId="77777777" w:rsidR="007540DF" w:rsidRPr="007540DF" w:rsidRDefault="007540DF" w:rsidP="001725A3">
      <w:pPr>
        <w:spacing w:line="360" w:lineRule="auto"/>
        <w:jc w:val="both"/>
        <w:rPr>
          <w:rFonts w:ascii="Arial" w:hAnsi="Arial" w:cs="Arial"/>
          <w:sz w:val="22"/>
          <w:szCs w:val="22"/>
        </w:rPr>
      </w:pPr>
    </w:p>
    <w:p w14:paraId="65FE3C0C" w14:textId="532DB0E3" w:rsidR="003F20D5" w:rsidRDefault="007540DF">
      <w:pPr>
        <w:pStyle w:val="TOC1"/>
        <w:tabs>
          <w:tab w:val="right" w:leader="dot" w:pos="9016"/>
        </w:tabs>
        <w:rPr>
          <w:rFonts w:eastAsiaTheme="minorEastAsia"/>
          <w:noProof/>
          <w:lang w:eastAsia="en-GB"/>
        </w:rPr>
      </w:pPr>
      <w:r>
        <w:rPr>
          <w:rFonts w:ascii="Arial" w:hAnsi="Arial" w:cs="Arial"/>
          <w:sz w:val="22"/>
          <w:szCs w:val="22"/>
        </w:rPr>
        <w:fldChar w:fldCharType="begin"/>
      </w:r>
      <w:r>
        <w:rPr>
          <w:rFonts w:ascii="Arial" w:hAnsi="Arial" w:cs="Arial"/>
          <w:sz w:val="22"/>
          <w:szCs w:val="22"/>
        </w:rPr>
        <w:instrText xml:space="preserve"> TOC \o \h \z \u </w:instrText>
      </w:r>
      <w:r>
        <w:rPr>
          <w:rFonts w:ascii="Arial" w:hAnsi="Arial" w:cs="Arial"/>
          <w:sz w:val="22"/>
          <w:szCs w:val="22"/>
        </w:rPr>
        <w:fldChar w:fldCharType="separate"/>
      </w:r>
      <w:hyperlink w:anchor="_Toc242869451" w:history="1">
        <w:r w:rsidR="003F20D5" w:rsidRPr="00065D52">
          <w:rPr>
            <w:rStyle w:val="Hyperlink"/>
            <w:rFonts w:ascii="Arial" w:hAnsi="Arial" w:cs="Arial"/>
            <w:noProof/>
          </w:rPr>
          <w:t>Executive Summary</w:t>
        </w:r>
        <w:r w:rsidR="003F20D5">
          <w:rPr>
            <w:noProof/>
            <w:webHidden/>
          </w:rPr>
          <w:tab/>
        </w:r>
        <w:r w:rsidR="003F20D5">
          <w:rPr>
            <w:noProof/>
            <w:webHidden/>
          </w:rPr>
          <w:fldChar w:fldCharType="begin"/>
        </w:r>
        <w:r w:rsidR="003F20D5">
          <w:rPr>
            <w:noProof/>
            <w:webHidden/>
          </w:rPr>
          <w:instrText xml:space="preserve"> PAGEREF _Toc242869451 \h </w:instrText>
        </w:r>
        <w:r w:rsidR="003F20D5">
          <w:rPr>
            <w:noProof/>
            <w:webHidden/>
          </w:rPr>
        </w:r>
        <w:r w:rsidR="003F20D5">
          <w:rPr>
            <w:noProof/>
            <w:webHidden/>
          </w:rPr>
          <w:fldChar w:fldCharType="separate"/>
        </w:r>
        <w:r w:rsidR="003F20D5">
          <w:rPr>
            <w:noProof/>
            <w:webHidden/>
          </w:rPr>
          <w:t>3</w:t>
        </w:r>
        <w:r w:rsidR="003F20D5">
          <w:rPr>
            <w:noProof/>
            <w:webHidden/>
          </w:rPr>
          <w:fldChar w:fldCharType="end"/>
        </w:r>
      </w:hyperlink>
    </w:p>
    <w:p w14:paraId="65527977" w14:textId="4B97445A" w:rsidR="003F20D5" w:rsidRDefault="003F20D5">
      <w:pPr>
        <w:pStyle w:val="TOC2"/>
        <w:tabs>
          <w:tab w:val="right" w:leader="dot" w:pos="9016"/>
        </w:tabs>
        <w:rPr>
          <w:rFonts w:eastAsiaTheme="minorEastAsia"/>
          <w:noProof/>
          <w:lang w:eastAsia="en-GB"/>
        </w:rPr>
      </w:pPr>
      <w:hyperlink w:anchor="_Toc242869452" w:history="1">
        <w:r w:rsidRPr="00065D52">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_Toc242869452 \h </w:instrText>
        </w:r>
        <w:r>
          <w:rPr>
            <w:noProof/>
            <w:webHidden/>
          </w:rPr>
        </w:r>
        <w:r>
          <w:rPr>
            <w:noProof/>
            <w:webHidden/>
          </w:rPr>
          <w:fldChar w:fldCharType="separate"/>
        </w:r>
        <w:r>
          <w:rPr>
            <w:noProof/>
            <w:webHidden/>
          </w:rPr>
          <w:t>4</w:t>
        </w:r>
        <w:r>
          <w:rPr>
            <w:noProof/>
            <w:webHidden/>
          </w:rPr>
          <w:fldChar w:fldCharType="end"/>
        </w:r>
      </w:hyperlink>
    </w:p>
    <w:p w14:paraId="280AB3A8" w14:textId="1D7AD1F2" w:rsidR="003F20D5" w:rsidRDefault="003F20D5">
      <w:pPr>
        <w:pStyle w:val="TOC3"/>
        <w:tabs>
          <w:tab w:val="right" w:leader="dot" w:pos="9016"/>
        </w:tabs>
        <w:rPr>
          <w:rFonts w:eastAsiaTheme="minorEastAsia"/>
          <w:noProof/>
          <w:lang w:eastAsia="en-GB"/>
        </w:rPr>
      </w:pPr>
      <w:hyperlink w:anchor="_Toc242869453" w:history="1">
        <w:r w:rsidRPr="00065D52">
          <w:rPr>
            <w:rStyle w:val="Hyperlink"/>
            <w:rFonts w:ascii="Arial" w:hAnsi="Arial" w:cs="Arial"/>
            <w:noProof/>
          </w:rPr>
          <w:t>2. External Environment Audit</w:t>
        </w:r>
        <w:r>
          <w:rPr>
            <w:noProof/>
            <w:webHidden/>
          </w:rPr>
          <w:tab/>
        </w:r>
        <w:r>
          <w:rPr>
            <w:noProof/>
            <w:webHidden/>
          </w:rPr>
          <w:fldChar w:fldCharType="begin"/>
        </w:r>
        <w:r>
          <w:rPr>
            <w:noProof/>
            <w:webHidden/>
          </w:rPr>
          <w:instrText xml:space="preserve"> PAGEREF _Toc242869453 \h </w:instrText>
        </w:r>
        <w:r>
          <w:rPr>
            <w:noProof/>
            <w:webHidden/>
          </w:rPr>
        </w:r>
        <w:r>
          <w:rPr>
            <w:noProof/>
            <w:webHidden/>
          </w:rPr>
          <w:fldChar w:fldCharType="separate"/>
        </w:r>
        <w:r>
          <w:rPr>
            <w:noProof/>
            <w:webHidden/>
          </w:rPr>
          <w:t>4</w:t>
        </w:r>
        <w:r>
          <w:rPr>
            <w:noProof/>
            <w:webHidden/>
          </w:rPr>
          <w:fldChar w:fldCharType="end"/>
        </w:r>
      </w:hyperlink>
    </w:p>
    <w:p w14:paraId="3D9AFD50" w14:textId="0532F500" w:rsidR="003F20D5" w:rsidRDefault="003F20D5">
      <w:pPr>
        <w:pStyle w:val="TOC4"/>
        <w:tabs>
          <w:tab w:val="right" w:leader="dot" w:pos="9016"/>
        </w:tabs>
        <w:rPr>
          <w:rFonts w:eastAsiaTheme="minorEastAsia"/>
          <w:noProof/>
          <w:lang w:eastAsia="en-GB"/>
        </w:rPr>
      </w:pPr>
      <w:hyperlink w:anchor="_Toc242869454" w:history="1">
        <w:r w:rsidRPr="00065D52">
          <w:rPr>
            <w:rStyle w:val="Hyperlink"/>
            <w:rFonts w:ascii="Arial" w:hAnsi="Arial" w:cs="Arial"/>
            <w:noProof/>
          </w:rPr>
          <w:t>3. Internal Environment Audit</w:t>
        </w:r>
        <w:r>
          <w:rPr>
            <w:noProof/>
            <w:webHidden/>
          </w:rPr>
          <w:tab/>
        </w:r>
        <w:r>
          <w:rPr>
            <w:noProof/>
            <w:webHidden/>
          </w:rPr>
          <w:fldChar w:fldCharType="begin"/>
        </w:r>
        <w:r>
          <w:rPr>
            <w:noProof/>
            <w:webHidden/>
          </w:rPr>
          <w:instrText xml:space="preserve"> PAGEREF _Toc242869454 \h </w:instrText>
        </w:r>
        <w:r>
          <w:rPr>
            <w:noProof/>
            <w:webHidden/>
          </w:rPr>
        </w:r>
        <w:r>
          <w:rPr>
            <w:noProof/>
            <w:webHidden/>
          </w:rPr>
          <w:fldChar w:fldCharType="separate"/>
        </w:r>
        <w:r>
          <w:rPr>
            <w:noProof/>
            <w:webHidden/>
          </w:rPr>
          <w:t>8</w:t>
        </w:r>
        <w:r>
          <w:rPr>
            <w:noProof/>
            <w:webHidden/>
          </w:rPr>
          <w:fldChar w:fldCharType="end"/>
        </w:r>
      </w:hyperlink>
    </w:p>
    <w:p w14:paraId="7DF4B243" w14:textId="4DECD81E" w:rsidR="003F20D5" w:rsidRDefault="003F20D5">
      <w:pPr>
        <w:pStyle w:val="TOC5"/>
        <w:tabs>
          <w:tab w:val="right" w:leader="dot" w:pos="9016"/>
        </w:tabs>
        <w:rPr>
          <w:rFonts w:eastAsiaTheme="minorEastAsia"/>
          <w:noProof/>
          <w:lang w:eastAsia="en-GB"/>
        </w:rPr>
      </w:pPr>
      <w:hyperlink w:anchor="_Toc242869455" w:history="1">
        <w:r w:rsidRPr="00065D52">
          <w:rPr>
            <w:rStyle w:val="Hyperlink"/>
            <w:rFonts w:ascii="Arial" w:hAnsi="Arial" w:cs="Arial"/>
            <w:noProof/>
          </w:rPr>
          <w:t>4. SWOT Analysis</w:t>
        </w:r>
        <w:r>
          <w:rPr>
            <w:noProof/>
            <w:webHidden/>
          </w:rPr>
          <w:tab/>
        </w:r>
        <w:r>
          <w:rPr>
            <w:noProof/>
            <w:webHidden/>
          </w:rPr>
          <w:fldChar w:fldCharType="begin"/>
        </w:r>
        <w:r>
          <w:rPr>
            <w:noProof/>
            <w:webHidden/>
          </w:rPr>
          <w:instrText xml:space="preserve"> PAGEREF _Toc242869455 \h </w:instrText>
        </w:r>
        <w:r>
          <w:rPr>
            <w:noProof/>
            <w:webHidden/>
          </w:rPr>
        </w:r>
        <w:r>
          <w:rPr>
            <w:noProof/>
            <w:webHidden/>
          </w:rPr>
          <w:fldChar w:fldCharType="separate"/>
        </w:r>
        <w:r>
          <w:rPr>
            <w:noProof/>
            <w:webHidden/>
          </w:rPr>
          <w:t>9</w:t>
        </w:r>
        <w:r>
          <w:rPr>
            <w:noProof/>
            <w:webHidden/>
          </w:rPr>
          <w:fldChar w:fldCharType="end"/>
        </w:r>
      </w:hyperlink>
    </w:p>
    <w:p w14:paraId="2F67AA21" w14:textId="3427C906" w:rsidR="003F20D5" w:rsidRDefault="003F20D5">
      <w:pPr>
        <w:pStyle w:val="TOC6"/>
        <w:tabs>
          <w:tab w:val="right" w:leader="dot" w:pos="9016"/>
        </w:tabs>
        <w:rPr>
          <w:rFonts w:eastAsiaTheme="minorEastAsia"/>
          <w:noProof/>
          <w:lang w:eastAsia="en-GB"/>
        </w:rPr>
      </w:pPr>
      <w:hyperlink w:anchor="_Toc242869456" w:history="1">
        <w:r w:rsidRPr="00065D52">
          <w:rPr>
            <w:rStyle w:val="Hyperlink"/>
            <w:rFonts w:ascii="Arial" w:hAnsi="Arial" w:cs="Arial"/>
            <w:noProof/>
          </w:rPr>
          <w:t>5. Conclusion and Recommendations</w:t>
        </w:r>
        <w:r>
          <w:rPr>
            <w:noProof/>
            <w:webHidden/>
          </w:rPr>
          <w:tab/>
        </w:r>
        <w:r>
          <w:rPr>
            <w:noProof/>
            <w:webHidden/>
          </w:rPr>
          <w:fldChar w:fldCharType="begin"/>
        </w:r>
        <w:r>
          <w:rPr>
            <w:noProof/>
            <w:webHidden/>
          </w:rPr>
          <w:instrText xml:space="preserve"> PAGEREF _Toc242869456 \h </w:instrText>
        </w:r>
        <w:r>
          <w:rPr>
            <w:noProof/>
            <w:webHidden/>
          </w:rPr>
        </w:r>
        <w:r>
          <w:rPr>
            <w:noProof/>
            <w:webHidden/>
          </w:rPr>
          <w:fldChar w:fldCharType="separate"/>
        </w:r>
        <w:r>
          <w:rPr>
            <w:noProof/>
            <w:webHidden/>
          </w:rPr>
          <w:t>10</w:t>
        </w:r>
        <w:r>
          <w:rPr>
            <w:noProof/>
            <w:webHidden/>
          </w:rPr>
          <w:fldChar w:fldCharType="end"/>
        </w:r>
      </w:hyperlink>
    </w:p>
    <w:p w14:paraId="36F67C25" w14:textId="4430D6D9" w:rsidR="003F20D5" w:rsidRDefault="003F20D5">
      <w:pPr>
        <w:pStyle w:val="TOC7"/>
        <w:tabs>
          <w:tab w:val="right" w:leader="dot" w:pos="9016"/>
        </w:tabs>
        <w:rPr>
          <w:noProof/>
        </w:rPr>
      </w:pPr>
      <w:hyperlink w:anchor="_Toc242869457" w:history="1">
        <w:r w:rsidRPr="00065D5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_Toc242869457 \h </w:instrText>
        </w:r>
        <w:r>
          <w:rPr>
            <w:noProof/>
            <w:webHidden/>
          </w:rPr>
        </w:r>
        <w:r>
          <w:rPr>
            <w:noProof/>
            <w:webHidden/>
          </w:rPr>
          <w:fldChar w:fldCharType="separate"/>
        </w:r>
        <w:r>
          <w:rPr>
            <w:noProof/>
            <w:webHidden/>
          </w:rPr>
          <w:t>12</w:t>
        </w:r>
        <w:r>
          <w:rPr>
            <w:noProof/>
            <w:webHidden/>
          </w:rPr>
          <w:fldChar w:fldCharType="end"/>
        </w:r>
      </w:hyperlink>
    </w:p>
    <w:p w14:paraId="2BA12551" w14:textId="29056E36" w:rsidR="007540DF" w:rsidRPr="007540DF" w:rsidRDefault="007540DF" w:rsidP="001725A3">
      <w:pPr>
        <w:spacing w:line="360" w:lineRule="auto"/>
        <w:jc w:val="both"/>
        <w:rPr>
          <w:rFonts w:ascii="Arial" w:hAnsi="Arial" w:cs="Arial"/>
          <w:sz w:val="22"/>
          <w:szCs w:val="22"/>
        </w:rPr>
      </w:pPr>
      <w:r>
        <w:rPr>
          <w:rFonts w:ascii="Arial" w:hAnsi="Arial" w:cs="Arial"/>
          <w:sz w:val="22"/>
          <w:szCs w:val="22"/>
        </w:rPr>
        <w:fldChar w:fldCharType="end"/>
      </w:r>
    </w:p>
    <w:p w14:paraId="7DBDF64D" w14:textId="77777777" w:rsidR="007540DF" w:rsidRPr="007540DF" w:rsidRDefault="007540DF" w:rsidP="001725A3">
      <w:pPr>
        <w:spacing w:line="360" w:lineRule="auto"/>
        <w:jc w:val="both"/>
        <w:rPr>
          <w:rFonts w:ascii="Arial" w:hAnsi="Arial" w:cs="Arial"/>
          <w:sz w:val="22"/>
          <w:szCs w:val="22"/>
        </w:rPr>
      </w:pPr>
    </w:p>
    <w:p w14:paraId="1BCA8640" w14:textId="77777777" w:rsidR="007540DF" w:rsidRPr="007540DF" w:rsidRDefault="007540DF" w:rsidP="001725A3">
      <w:pPr>
        <w:spacing w:line="360" w:lineRule="auto"/>
        <w:jc w:val="both"/>
        <w:rPr>
          <w:rFonts w:ascii="Arial" w:hAnsi="Arial" w:cs="Arial"/>
          <w:sz w:val="22"/>
          <w:szCs w:val="22"/>
        </w:rPr>
      </w:pPr>
    </w:p>
    <w:p w14:paraId="142E723A" w14:textId="77777777" w:rsidR="007540DF" w:rsidRPr="007540DF" w:rsidRDefault="007540DF" w:rsidP="001725A3">
      <w:pPr>
        <w:spacing w:line="360" w:lineRule="auto"/>
        <w:jc w:val="both"/>
        <w:rPr>
          <w:rFonts w:ascii="Arial" w:hAnsi="Arial" w:cs="Arial"/>
          <w:sz w:val="22"/>
          <w:szCs w:val="22"/>
        </w:rPr>
      </w:pPr>
    </w:p>
    <w:p w14:paraId="4E9D2B53" w14:textId="77777777" w:rsidR="007540DF" w:rsidRPr="007540DF" w:rsidRDefault="007540DF" w:rsidP="001725A3">
      <w:pPr>
        <w:spacing w:line="360" w:lineRule="auto"/>
        <w:jc w:val="both"/>
        <w:rPr>
          <w:rFonts w:ascii="Arial" w:hAnsi="Arial" w:cs="Arial"/>
          <w:sz w:val="22"/>
          <w:szCs w:val="22"/>
        </w:rPr>
      </w:pPr>
    </w:p>
    <w:p w14:paraId="0D0D568D" w14:textId="77777777" w:rsidR="007540DF" w:rsidRPr="007540DF" w:rsidRDefault="007540DF" w:rsidP="001725A3">
      <w:pPr>
        <w:spacing w:line="360" w:lineRule="auto"/>
        <w:jc w:val="both"/>
        <w:rPr>
          <w:rFonts w:ascii="Arial" w:hAnsi="Arial" w:cs="Arial"/>
          <w:sz w:val="22"/>
          <w:szCs w:val="22"/>
        </w:rPr>
      </w:pPr>
    </w:p>
    <w:p w14:paraId="3D2836FA" w14:textId="77777777" w:rsidR="007540DF" w:rsidRPr="007540DF" w:rsidRDefault="007540DF" w:rsidP="001725A3">
      <w:pPr>
        <w:spacing w:line="360" w:lineRule="auto"/>
        <w:jc w:val="both"/>
        <w:rPr>
          <w:rFonts w:ascii="Arial" w:hAnsi="Arial" w:cs="Arial"/>
          <w:sz w:val="22"/>
          <w:szCs w:val="22"/>
        </w:rPr>
      </w:pPr>
    </w:p>
    <w:p w14:paraId="71F4641E" w14:textId="77777777" w:rsidR="007540DF" w:rsidRPr="007540DF" w:rsidRDefault="007540DF" w:rsidP="001725A3">
      <w:pPr>
        <w:spacing w:line="360" w:lineRule="auto"/>
        <w:jc w:val="both"/>
        <w:rPr>
          <w:rFonts w:ascii="Arial" w:hAnsi="Arial" w:cs="Arial"/>
          <w:sz w:val="22"/>
          <w:szCs w:val="22"/>
        </w:rPr>
      </w:pPr>
    </w:p>
    <w:p w14:paraId="0927FEC9" w14:textId="77777777" w:rsidR="007540DF" w:rsidRPr="007540DF" w:rsidRDefault="007540DF" w:rsidP="001725A3">
      <w:pPr>
        <w:spacing w:line="360" w:lineRule="auto"/>
        <w:jc w:val="both"/>
        <w:rPr>
          <w:rFonts w:ascii="Arial" w:hAnsi="Arial" w:cs="Arial"/>
          <w:sz w:val="22"/>
          <w:szCs w:val="22"/>
        </w:rPr>
      </w:pPr>
    </w:p>
    <w:p w14:paraId="0F2821E8" w14:textId="77777777" w:rsidR="007540DF" w:rsidRPr="007540DF" w:rsidRDefault="007540DF" w:rsidP="001725A3">
      <w:pPr>
        <w:spacing w:line="360" w:lineRule="auto"/>
        <w:jc w:val="both"/>
        <w:rPr>
          <w:rFonts w:ascii="Arial" w:hAnsi="Arial" w:cs="Arial"/>
          <w:sz w:val="22"/>
          <w:szCs w:val="22"/>
        </w:rPr>
      </w:pPr>
    </w:p>
    <w:p w14:paraId="2BA67706" w14:textId="77777777" w:rsidR="007540DF" w:rsidRPr="007540DF" w:rsidRDefault="007540DF" w:rsidP="001725A3">
      <w:pPr>
        <w:spacing w:line="360" w:lineRule="auto"/>
        <w:jc w:val="both"/>
        <w:rPr>
          <w:rFonts w:ascii="Arial" w:hAnsi="Arial" w:cs="Arial"/>
          <w:sz w:val="22"/>
          <w:szCs w:val="22"/>
        </w:rPr>
      </w:pPr>
    </w:p>
    <w:p w14:paraId="6A520C12" w14:textId="77777777" w:rsidR="007540DF" w:rsidRPr="007540DF" w:rsidRDefault="007540DF" w:rsidP="001725A3">
      <w:pPr>
        <w:spacing w:line="360" w:lineRule="auto"/>
        <w:jc w:val="both"/>
        <w:rPr>
          <w:rFonts w:ascii="Arial" w:hAnsi="Arial" w:cs="Arial"/>
          <w:sz w:val="22"/>
          <w:szCs w:val="22"/>
        </w:rPr>
      </w:pPr>
    </w:p>
    <w:p w14:paraId="74AA970F" w14:textId="77777777" w:rsidR="007540DF" w:rsidRDefault="007540DF" w:rsidP="001725A3">
      <w:pPr>
        <w:spacing w:line="360" w:lineRule="auto"/>
        <w:jc w:val="both"/>
        <w:rPr>
          <w:rFonts w:ascii="Arial" w:hAnsi="Arial" w:cs="Arial"/>
          <w:sz w:val="22"/>
          <w:szCs w:val="22"/>
        </w:rPr>
      </w:pPr>
    </w:p>
    <w:p w14:paraId="58FD9D7B" w14:textId="77777777" w:rsidR="001725A3" w:rsidRDefault="001725A3" w:rsidP="001725A3">
      <w:pPr>
        <w:spacing w:line="360" w:lineRule="auto"/>
        <w:jc w:val="both"/>
        <w:rPr>
          <w:rFonts w:ascii="Arial" w:hAnsi="Arial" w:cs="Arial"/>
          <w:sz w:val="22"/>
          <w:szCs w:val="22"/>
        </w:rPr>
      </w:pPr>
    </w:p>
    <w:p w14:paraId="66F6D01A" w14:textId="77777777" w:rsidR="007540DF" w:rsidRPr="007540DF" w:rsidRDefault="007540DF" w:rsidP="001725A3">
      <w:pPr>
        <w:spacing w:line="360" w:lineRule="auto"/>
        <w:jc w:val="both"/>
        <w:rPr>
          <w:rFonts w:ascii="Arial" w:hAnsi="Arial" w:cs="Arial"/>
          <w:sz w:val="22"/>
          <w:szCs w:val="22"/>
        </w:rPr>
      </w:pPr>
    </w:p>
    <w:p w14:paraId="57CDEEA2" w14:textId="77777777" w:rsidR="007540DF" w:rsidRDefault="007540DF" w:rsidP="003F20D5">
      <w:pPr>
        <w:pStyle w:val="Heading1"/>
        <w:rPr>
          <w:rFonts w:ascii="Arial" w:hAnsi="Arial" w:cs="Arial"/>
          <w:color w:val="auto"/>
          <w:sz w:val="22"/>
          <w:szCs w:val="22"/>
        </w:rPr>
      </w:pPr>
      <w:bookmarkStart w:id="0" w:name="_Toc242869451"/>
      <w:r w:rsidRPr="003F20D5">
        <w:rPr>
          <w:rFonts w:ascii="Arial" w:hAnsi="Arial" w:cs="Arial"/>
          <w:color w:val="auto"/>
          <w:sz w:val="22"/>
          <w:szCs w:val="22"/>
        </w:rPr>
        <w:t>Executive Summary</w:t>
      </w:r>
      <w:bookmarkEnd w:id="0"/>
    </w:p>
    <w:p w14:paraId="3169752C" w14:textId="77777777" w:rsidR="003F20D5" w:rsidRPr="003F20D5" w:rsidRDefault="003F20D5" w:rsidP="003F20D5"/>
    <w:p w14:paraId="3DB38CEC" w14:textId="77777777" w:rsidR="009729AF" w:rsidRDefault="009729AF" w:rsidP="001725A3">
      <w:pPr>
        <w:spacing w:line="360" w:lineRule="auto"/>
        <w:jc w:val="both"/>
        <w:rPr>
          <w:rFonts w:ascii="Arial" w:hAnsi="Arial" w:cs="Arial"/>
          <w:sz w:val="22"/>
          <w:szCs w:val="22"/>
        </w:rPr>
      </w:pPr>
      <w:r w:rsidRPr="009729AF">
        <w:rPr>
          <w:rFonts w:ascii="Arial" w:hAnsi="Arial" w:cs="Arial"/>
          <w:sz w:val="22"/>
          <w:szCs w:val="22"/>
        </w:rPr>
        <w:t>The strategic position of NEXT plc in the UK fashion industry is assessed in this research. Value-chain analysis, the Resource-Based View (RBV), and VRIO are used to assess internal capabilities, while PESTLE and Porter's Five Forces are used to analyse the external environment. A SWOT analysis is used to compile these results and choose an appropriate strategic course.</w:t>
      </w:r>
    </w:p>
    <w:p w14:paraId="6DBEA6BA" w14:textId="786EAB45" w:rsidR="007540DF" w:rsidRPr="007540DF" w:rsidRDefault="009729AF" w:rsidP="001725A3">
      <w:pPr>
        <w:spacing w:line="360" w:lineRule="auto"/>
        <w:jc w:val="both"/>
        <w:rPr>
          <w:rFonts w:ascii="Arial" w:hAnsi="Arial" w:cs="Arial"/>
          <w:sz w:val="22"/>
          <w:szCs w:val="22"/>
        </w:rPr>
      </w:pPr>
      <w:r w:rsidRPr="009729AF">
        <w:rPr>
          <w:rFonts w:ascii="Arial" w:hAnsi="Arial" w:cs="Arial"/>
          <w:sz w:val="22"/>
          <w:szCs w:val="22"/>
        </w:rPr>
        <w:t>Economic volatility, changing consumer expectations, fierce rivalry, digital change, and heightened scrutiny of supply-chain and environmental practices all have an impact on the industry. By the end of 2025, the UK fashion industry is expected to generate £68.7 billion in revenue and spend an average of about £1,003, according to the assignment overview (Spring Fair, 2026).</w:t>
      </w:r>
      <w:r>
        <w:rPr>
          <w:rFonts w:ascii="Arial" w:hAnsi="Arial" w:cs="Arial"/>
          <w:sz w:val="22"/>
          <w:szCs w:val="22"/>
        </w:rPr>
        <w:t xml:space="preserve"> </w:t>
      </w:r>
      <w:r w:rsidRPr="009729AF">
        <w:rPr>
          <w:rFonts w:ascii="Arial" w:hAnsi="Arial" w:cs="Arial"/>
          <w:sz w:val="22"/>
          <w:szCs w:val="22"/>
        </w:rPr>
        <w:t>NEXT's strengths include its well-known brand, well-established online and retail operations, and expertise in managing customer, stock, and product channels. These advantages do not, however, lessen the pressure from consumers who are price conscious, internet rivals, supply chain disruption, or the requirement for real progress in sustainability.</w:t>
      </w:r>
    </w:p>
    <w:p w14:paraId="56825DAB" w14:textId="33A1EE5A" w:rsidR="007540DF" w:rsidRPr="007540DF" w:rsidRDefault="009729AF" w:rsidP="001725A3">
      <w:pPr>
        <w:spacing w:line="360" w:lineRule="auto"/>
        <w:jc w:val="both"/>
        <w:rPr>
          <w:rFonts w:ascii="Arial" w:hAnsi="Arial" w:cs="Arial"/>
          <w:sz w:val="22"/>
          <w:szCs w:val="22"/>
        </w:rPr>
      </w:pPr>
      <w:r w:rsidRPr="009729AF">
        <w:rPr>
          <w:rFonts w:ascii="Arial" w:hAnsi="Arial" w:cs="Arial"/>
          <w:sz w:val="22"/>
          <w:szCs w:val="22"/>
        </w:rPr>
        <w:t>A customer-led approach backed by operational and digital advancements is suggested in the paper. Better demand and stock planning, a more robust and transparent supply chain, and quantifiable environmental activities should be NEXT's main priorities.</w:t>
      </w:r>
      <w:r w:rsidR="007540DF" w:rsidRPr="007540DF">
        <w:rPr>
          <w:rFonts w:ascii="Arial" w:hAnsi="Arial" w:cs="Arial"/>
          <w:sz w:val="22"/>
          <w:szCs w:val="22"/>
        </w:rPr>
        <w:t xml:space="preserve"> </w:t>
      </w:r>
      <w:r w:rsidR="008D5831" w:rsidRPr="008D5831">
        <w:rPr>
          <w:rFonts w:ascii="Arial" w:hAnsi="Arial" w:cs="Arial"/>
          <w:sz w:val="22"/>
          <w:szCs w:val="22"/>
        </w:rPr>
        <w:t>It is essential to conduct a small-scale test of a new service, like resale or repair, and to only roll it out in new markets where there is a proven customer demand and commercial viability.</w:t>
      </w:r>
    </w:p>
    <w:p w14:paraId="3B22F4AE" w14:textId="77777777" w:rsidR="007540DF" w:rsidRPr="007540DF" w:rsidRDefault="007540DF" w:rsidP="001725A3">
      <w:pPr>
        <w:spacing w:line="360" w:lineRule="auto"/>
        <w:jc w:val="both"/>
        <w:rPr>
          <w:rFonts w:ascii="Arial" w:hAnsi="Arial" w:cs="Arial"/>
          <w:sz w:val="22"/>
          <w:szCs w:val="22"/>
        </w:rPr>
      </w:pPr>
    </w:p>
    <w:p w14:paraId="05FC8829" w14:textId="77777777" w:rsidR="007540DF" w:rsidRPr="007540DF" w:rsidRDefault="007540DF" w:rsidP="001725A3">
      <w:pPr>
        <w:spacing w:line="360" w:lineRule="auto"/>
        <w:jc w:val="both"/>
        <w:rPr>
          <w:rFonts w:ascii="Arial" w:hAnsi="Arial" w:cs="Arial"/>
          <w:sz w:val="22"/>
          <w:szCs w:val="22"/>
        </w:rPr>
      </w:pPr>
    </w:p>
    <w:p w14:paraId="5817152A" w14:textId="77777777" w:rsidR="007540DF" w:rsidRPr="007540DF" w:rsidRDefault="007540DF" w:rsidP="001725A3">
      <w:pPr>
        <w:spacing w:line="360" w:lineRule="auto"/>
        <w:jc w:val="both"/>
        <w:rPr>
          <w:rFonts w:ascii="Arial" w:hAnsi="Arial" w:cs="Arial"/>
          <w:sz w:val="22"/>
          <w:szCs w:val="22"/>
        </w:rPr>
      </w:pPr>
    </w:p>
    <w:p w14:paraId="59990EF4" w14:textId="77777777" w:rsidR="001725A3" w:rsidRPr="007540DF" w:rsidRDefault="001725A3" w:rsidP="001725A3">
      <w:pPr>
        <w:spacing w:line="360" w:lineRule="auto"/>
        <w:jc w:val="both"/>
        <w:rPr>
          <w:rFonts w:ascii="Arial" w:hAnsi="Arial" w:cs="Arial"/>
          <w:sz w:val="22"/>
          <w:szCs w:val="22"/>
        </w:rPr>
      </w:pPr>
    </w:p>
    <w:p w14:paraId="16FB74D0" w14:textId="77777777" w:rsidR="007540DF" w:rsidRPr="003F20D5" w:rsidRDefault="007540DF" w:rsidP="003F20D5">
      <w:pPr>
        <w:pStyle w:val="Heading2"/>
        <w:rPr>
          <w:rFonts w:ascii="Arial" w:hAnsi="Arial" w:cs="Arial"/>
          <w:color w:val="auto"/>
          <w:sz w:val="22"/>
          <w:szCs w:val="22"/>
        </w:rPr>
      </w:pPr>
      <w:bookmarkStart w:id="1" w:name="_Toc242869452"/>
      <w:r w:rsidRPr="003F20D5">
        <w:rPr>
          <w:rFonts w:ascii="Arial" w:hAnsi="Arial" w:cs="Arial"/>
          <w:color w:val="auto"/>
          <w:sz w:val="22"/>
          <w:szCs w:val="22"/>
        </w:rPr>
        <w:lastRenderedPageBreak/>
        <w:t>1. Introduction</w:t>
      </w:r>
      <w:bookmarkEnd w:id="1"/>
    </w:p>
    <w:p w14:paraId="10D5F645" w14:textId="77777777" w:rsidR="008D5831" w:rsidRPr="008D5831" w:rsidRDefault="008D5831" w:rsidP="001725A3">
      <w:pPr>
        <w:spacing w:line="360" w:lineRule="auto"/>
        <w:jc w:val="both"/>
        <w:rPr>
          <w:rFonts w:ascii="Arial" w:hAnsi="Arial" w:cs="Arial"/>
          <w:sz w:val="22"/>
          <w:szCs w:val="22"/>
        </w:rPr>
      </w:pPr>
      <w:r w:rsidRPr="008D5831">
        <w:rPr>
          <w:rFonts w:ascii="Arial" w:hAnsi="Arial" w:cs="Arial"/>
          <w:sz w:val="22"/>
          <w:szCs w:val="22"/>
        </w:rPr>
        <w:t xml:space="preserve">The purpose of strategic management is to help organisations have a </w:t>
      </w:r>
      <w:proofErr w:type="gramStart"/>
      <w:r w:rsidRPr="008D5831">
        <w:rPr>
          <w:rFonts w:ascii="Arial" w:hAnsi="Arial" w:cs="Arial"/>
          <w:sz w:val="22"/>
          <w:szCs w:val="22"/>
        </w:rPr>
        <w:t>long term</w:t>
      </w:r>
      <w:proofErr w:type="gramEnd"/>
      <w:r w:rsidRPr="008D5831">
        <w:rPr>
          <w:rFonts w:ascii="Arial" w:hAnsi="Arial" w:cs="Arial"/>
          <w:sz w:val="22"/>
          <w:szCs w:val="22"/>
        </w:rPr>
        <w:t xml:space="preserve"> direction, allocate the required resources and adapt to change. Especially in the field of fashion retail, where customer tastes, expenses and availability can vary significantly. The PESTLE and Porter's Five Forces are two useful analytical frameworks, but they are not meant to be used in place of evidence; they are meant to be used to inform the judgment (Johnson et al., 2023).</w:t>
      </w:r>
    </w:p>
    <w:p w14:paraId="7B555E33" w14:textId="5FF2A255" w:rsidR="008D5831" w:rsidRPr="008D5831" w:rsidRDefault="008D5831" w:rsidP="001725A3">
      <w:pPr>
        <w:spacing w:line="360" w:lineRule="auto"/>
        <w:jc w:val="both"/>
        <w:rPr>
          <w:rFonts w:ascii="Arial" w:hAnsi="Arial" w:cs="Arial"/>
          <w:sz w:val="22"/>
          <w:szCs w:val="22"/>
        </w:rPr>
      </w:pPr>
      <w:r w:rsidRPr="008D5831">
        <w:rPr>
          <w:rFonts w:ascii="Arial" w:hAnsi="Arial" w:cs="Arial"/>
          <w:sz w:val="22"/>
          <w:szCs w:val="22"/>
        </w:rPr>
        <w:t xml:space="preserve">NEXT Plc is a Clothing, Footwear, Accessories and Home Retailer in the UK. Functioning via stores and via digital channels including NEXT Directory, it offers platform related services to third party brands. It outlines priorities in its 2026 publication of the business model, such as enhancing the range, quality and appeal and broadening the range of products (NEXT plc, 2026a). The assignment overview introduces NEXT into a sector of the UK fashion industry which is expected to generate £68.7 billion in revenue by the end of 2026 at an average spend of around £1,003 per person (Spring Fair, 2026). The figures represent only </w:t>
      </w:r>
      <w:r w:rsidRPr="008D5831">
        <w:rPr>
          <w:rFonts w:ascii="Arial" w:hAnsi="Arial" w:cs="Arial"/>
          <w:sz w:val="22"/>
          <w:szCs w:val="22"/>
        </w:rPr>
        <w:t>estimates and</w:t>
      </w:r>
      <w:r w:rsidRPr="008D5831">
        <w:rPr>
          <w:rFonts w:ascii="Arial" w:hAnsi="Arial" w:cs="Arial"/>
          <w:sz w:val="22"/>
          <w:szCs w:val="22"/>
        </w:rPr>
        <w:t xml:space="preserve"> vary according to the definition of the market and consumer spending.</w:t>
      </w:r>
    </w:p>
    <w:p w14:paraId="16938058" w14:textId="77777777" w:rsidR="008D5831" w:rsidRDefault="008D5831" w:rsidP="001725A3">
      <w:pPr>
        <w:spacing w:line="360" w:lineRule="auto"/>
        <w:jc w:val="both"/>
        <w:rPr>
          <w:rFonts w:ascii="Arial" w:hAnsi="Arial" w:cs="Arial"/>
          <w:sz w:val="22"/>
          <w:szCs w:val="22"/>
        </w:rPr>
      </w:pPr>
      <w:r w:rsidRPr="008D5831">
        <w:rPr>
          <w:rFonts w:ascii="Arial" w:hAnsi="Arial" w:cs="Arial"/>
          <w:sz w:val="22"/>
          <w:szCs w:val="22"/>
        </w:rPr>
        <w:t>This report explores NEXT's external and internal environment, its main strategic problems and recommendations for what it should do to enhance its competitiveness.</w:t>
      </w:r>
    </w:p>
    <w:p w14:paraId="656C9351" w14:textId="7A4A7C67" w:rsidR="007540DF" w:rsidRPr="003F20D5" w:rsidRDefault="007540DF" w:rsidP="003F20D5">
      <w:pPr>
        <w:pStyle w:val="Heading3"/>
        <w:rPr>
          <w:rFonts w:ascii="Arial" w:hAnsi="Arial" w:cs="Arial"/>
          <w:color w:val="auto"/>
          <w:sz w:val="22"/>
          <w:szCs w:val="22"/>
        </w:rPr>
      </w:pPr>
      <w:bookmarkStart w:id="2" w:name="_Toc242869453"/>
      <w:r w:rsidRPr="003F20D5">
        <w:rPr>
          <w:rFonts w:ascii="Arial" w:hAnsi="Arial" w:cs="Arial"/>
          <w:color w:val="auto"/>
          <w:sz w:val="22"/>
          <w:szCs w:val="22"/>
        </w:rPr>
        <w:t>2. External Environment Audit</w:t>
      </w:r>
      <w:bookmarkEnd w:id="2"/>
    </w:p>
    <w:p w14:paraId="115C7667" w14:textId="25EBFF61" w:rsidR="007540DF" w:rsidRPr="007540DF" w:rsidRDefault="007540DF" w:rsidP="001725A3">
      <w:pPr>
        <w:spacing w:line="360" w:lineRule="auto"/>
        <w:jc w:val="both"/>
        <w:rPr>
          <w:rFonts w:ascii="Arial" w:hAnsi="Arial" w:cs="Arial"/>
          <w:sz w:val="22"/>
          <w:szCs w:val="22"/>
        </w:rPr>
      </w:pPr>
      <w:r w:rsidRPr="007540DF">
        <w:rPr>
          <w:rFonts w:ascii="Arial" w:hAnsi="Arial" w:cs="Arial"/>
          <w:sz w:val="22"/>
          <w:szCs w:val="22"/>
        </w:rPr>
        <w:t>PESTLE analysis</w:t>
      </w:r>
    </w:p>
    <w:p w14:paraId="678A15B6"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Political. </w:t>
      </w:r>
    </w:p>
    <w:p w14:paraId="376FC753" w14:textId="1FAC0C4E"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NEXT is based on international sourcing and cross border logistics. Product costs and delivery times may change due to changes in trade arrangements, customs procedures, tariffs and/or shipping routes. Political turmoil in countries of origin can also affect supply. Therefore, in the context of NEXT, resilience must not be overlooked in considering the purchase price, such as contingency planning for critical products and supplier diversification to suit it. The fashion industry continues to grapple with uncertainties and supply-chain adaptation, as noted in fashion industry reporting (Vogue Business, 2026).</w:t>
      </w:r>
    </w:p>
    <w:p w14:paraId="563E9DAF"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Economic. </w:t>
      </w:r>
    </w:p>
    <w:p w14:paraId="3B3416F2"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For many households, buying clothes and home products are discretionary items. If people's incomes decline or confidence wanes, demand can weaken. Retailers, meanwhile, have to deal with logistics, materials and property costs, energy and wages. This mix can cause thin margins and make customers more sensitive to pricing. A pertinent retail focus from Strategy&amp; (2026) is that customers might want to balance price, quality and perceived usefulness to achieve “smart value”. NEXT needs to maintain its value proposition whilst avoiding too much discounting, otherwise margins might fall or it can lead to customers delaying their purchase </w:t>
      </w:r>
      <w:r w:rsidRPr="00A8480E">
        <w:rPr>
          <w:rFonts w:ascii="Arial" w:hAnsi="Arial" w:cs="Arial"/>
          <w:sz w:val="22"/>
          <w:szCs w:val="22"/>
        </w:rPr>
        <w:lastRenderedPageBreak/>
        <w:t>until the next promotion. Planning is crucial because overselling will necessitate markdowns and stock outs will mean lost sales.</w:t>
      </w:r>
    </w:p>
    <w:p w14:paraId="5861099F"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Social.</w:t>
      </w:r>
    </w:p>
    <w:p w14:paraId="1DBAEC16" w14:textId="68299E55"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The preferences of customers fluctuate; however, price, quality, fit, style and convenience are relevant in fashion retail. The call for "transparency" and “responsible production” is also becoming more apparent. The Fashion Revolution (2025) draws attention to the concerns of the fashion industry regarding overproduction and waste. NEXT can react by prioritizing quality and giving information about their products and customer service a prominent role in their </w:t>
      </w:r>
      <w:r w:rsidRPr="00A8480E">
        <w:rPr>
          <w:rFonts w:ascii="Arial" w:hAnsi="Arial" w:cs="Arial"/>
          <w:sz w:val="22"/>
          <w:szCs w:val="22"/>
        </w:rPr>
        <w:t>offer and</w:t>
      </w:r>
      <w:r w:rsidRPr="00A8480E">
        <w:rPr>
          <w:rFonts w:ascii="Arial" w:hAnsi="Arial" w:cs="Arial"/>
          <w:sz w:val="22"/>
          <w:szCs w:val="22"/>
        </w:rPr>
        <w:t xml:space="preserve"> clearly communicating about how they source and how they take responsibility. Avoidable returns and satisfaction can be increased if better fit information is provided.</w:t>
      </w:r>
    </w:p>
    <w:p w14:paraId="26FFBADF"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Technological. </w:t>
      </w:r>
    </w:p>
    <w:p w14:paraId="3BB0BD4D" w14:textId="33919808"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Digital tools are able to help in product discovery, customer service, demand forecasting, stock allocation and customisation. While AI tools and analytics can facilitate the flow of information and enhance decision-making, they also carry potential risks in terms of data quality, privacy, cybersecurity, and customer trust. NEXT would need to choose the technology to address specific challenges, and measure the technology based on the criteria like stock availability, forecast accuracy, markdowns, returns, customer satisfaction etc. The technology must be a part of the business </w:t>
      </w:r>
      <w:r w:rsidRPr="00A8480E">
        <w:rPr>
          <w:rFonts w:ascii="Arial" w:hAnsi="Arial" w:cs="Arial"/>
          <w:sz w:val="22"/>
          <w:szCs w:val="22"/>
        </w:rPr>
        <w:t>process and</w:t>
      </w:r>
      <w:r w:rsidRPr="00A8480E">
        <w:rPr>
          <w:rFonts w:ascii="Arial" w:hAnsi="Arial" w:cs="Arial"/>
          <w:sz w:val="22"/>
          <w:szCs w:val="22"/>
        </w:rPr>
        <w:t xml:space="preserve"> not viewed as an investment in isolation (Schultz, 2025).</w:t>
      </w:r>
    </w:p>
    <w:p w14:paraId="065B06F9"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Legal. </w:t>
      </w:r>
    </w:p>
    <w:p w14:paraId="6D272352"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NEXT must meets requirements relating to the protection of consumers, employment, product safety, advertising, data protection and commercial conduct. Responsible dealing with the details of customers is particularly important in online retail. Claims about the environment or ethics should be backed up by evidence and supplier oversight should be able to detect and resolve issues. Ethical and transparent policies and clear monitoring responsibilities can lower legal and reputational risk, and compliance and reliability </w:t>
      </w:r>
      <w:proofErr w:type="gramStart"/>
      <w:r w:rsidRPr="00A8480E">
        <w:rPr>
          <w:rFonts w:ascii="Arial" w:hAnsi="Arial" w:cs="Arial"/>
          <w:sz w:val="22"/>
          <w:szCs w:val="22"/>
        </w:rPr>
        <w:t>is</w:t>
      </w:r>
      <w:proofErr w:type="gramEnd"/>
      <w:r w:rsidRPr="00A8480E">
        <w:rPr>
          <w:rFonts w:ascii="Arial" w:hAnsi="Arial" w:cs="Arial"/>
          <w:sz w:val="22"/>
          <w:szCs w:val="22"/>
        </w:rPr>
        <w:t xml:space="preserve"> a minimum requirement.</w:t>
      </w:r>
    </w:p>
    <w:p w14:paraId="1182E8B8"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Environmental. </w:t>
      </w:r>
    </w:p>
    <w:p w14:paraId="66268BEB" w14:textId="441AA5AB"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The following issues are targeted for fashion businesses: materials, production, transport, packaging, and product lifespan and waste. Environmental performance can impact the risk, cost and trust of the supply chain. NEXT reports on its corporate responsibility and environmental approach (NEXT plc, 2026</w:t>
      </w:r>
      <w:r>
        <w:rPr>
          <w:rFonts w:ascii="Arial" w:hAnsi="Arial" w:cs="Arial"/>
          <w:sz w:val="22"/>
          <w:szCs w:val="22"/>
        </w:rPr>
        <w:t>b</w:t>
      </w:r>
      <w:r w:rsidRPr="00A8480E">
        <w:rPr>
          <w:rFonts w:ascii="Arial" w:hAnsi="Arial" w:cs="Arial"/>
          <w:sz w:val="22"/>
          <w:szCs w:val="22"/>
        </w:rPr>
        <w:t xml:space="preserve">), but there needs to be measurable commitments across operations and suppliers. This can mean working on supplier information, focussing on a more strategic area, cutting down on unnecessary waste or product longevity. Public claims must be specific and backed up. Additionally, the research on fashion supply chain identifies </w:t>
      </w:r>
      <w:r w:rsidRPr="00A8480E">
        <w:rPr>
          <w:rFonts w:ascii="Arial" w:hAnsi="Arial" w:cs="Arial"/>
          <w:sz w:val="22"/>
          <w:szCs w:val="22"/>
        </w:rPr>
        <w:lastRenderedPageBreak/>
        <w:t>the relationship between sustainability and the supply-chain visibility and resilience (Sagar, 2026).</w:t>
      </w:r>
    </w:p>
    <w:p w14:paraId="667D0730" w14:textId="6FD2B599" w:rsidR="007540DF" w:rsidRPr="007540DF" w:rsidRDefault="00A8480E" w:rsidP="001725A3">
      <w:pPr>
        <w:spacing w:line="360" w:lineRule="auto"/>
        <w:jc w:val="both"/>
        <w:rPr>
          <w:rFonts w:ascii="Arial" w:hAnsi="Arial" w:cs="Arial"/>
          <w:sz w:val="22"/>
          <w:szCs w:val="22"/>
        </w:rPr>
      </w:pPr>
      <w:r w:rsidRPr="00A8480E">
        <w:rPr>
          <w:rFonts w:ascii="Arial" w:hAnsi="Arial" w:cs="Arial"/>
          <w:sz w:val="22"/>
          <w:szCs w:val="22"/>
        </w:rPr>
        <w:t>Overall, PESTLE indicates that NEXT will need to create a balance between value, convenience and efficiency, and shifting expectations and supply chain uncertainty.</w:t>
      </w:r>
    </w:p>
    <w:p w14:paraId="6589ADF4" w14:textId="49EB69B5" w:rsidR="007540DF" w:rsidRPr="007540DF" w:rsidRDefault="007540DF" w:rsidP="001725A3">
      <w:pPr>
        <w:spacing w:line="360" w:lineRule="auto"/>
        <w:jc w:val="both"/>
        <w:rPr>
          <w:rFonts w:ascii="Arial" w:hAnsi="Arial" w:cs="Arial"/>
          <w:sz w:val="22"/>
          <w:szCs w:val="22"/>
        </w:rPr>
      </w:pPr>
      <w:r w:rsidRPr="007540DF">
        <w:rPr>
          <w:rFonts w:ascii="Arial" w:hAnsi="Arial" w:cs="Arial"/>
          <w:sz w:val="22"/>
          <w:szCs w:val="22"/>
        </w:rPr>
        <w:t>Porter’s Five Forces</w:t>
      </w:r>
    </w:p>
    <w:p w14:paraId="71DF4EF7"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Political. </w:t>
      </w:r>
    </w:p>
    <w:p w14:paraId="1EE54F85" w14:textId="2660D59E"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NEXT is based on international sourcing and cross border logistics. Product costs and delivery times may change due to changes in trade arrangements, customs procedures, tariffs and/or shipping routes. Political turmoil in countries of origin can also affect supply. Therefore, in the context of NEXT, resilience must not be overlooked in considering the purchase price, such as contingency planning for critical products and supplier diversification to suit it. The fashion industry continues to grapple with uncertainties and supply-chain adaptation, as noted in fashion industry reporting (McKinsey &amp; Company and Business of Fashion, 2025).</w:t>
      </w:r>
    </w:p>
    <w:p w14:paraId="5E286979"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Economic. </w:t>
      </w:r>
    </w:p>
    <w:p w14:paraId="4F631DB9" w14:textId="1A4B1DD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For many households, buying clothes and home products are discretionary items. If people's incomes decline or confidence wanes, demand can weaken. Retailers, meanwhile, have to deal with logistics, materials and property costs, energy and wages. This mix can cause thin margins and make customers more sensitive to pricing. A pertinent retail focus from Strategy</w:t>
      </w:r>
      <w:r>
        <w:rPr>
          <w:rFonts w:ascii="Arial" w:hAnsi="Arial" w:cs="Arial"/>
          <w:sz w:val="22"/>
          <w:szCs w:val="22"/>
        </w:rPr>
        <w:t xml:space="preserve">&amp; </w:t>
      </w:r>
      <w:r w:rsidRPr="00A8480E">
        <w:rPr>
          <w:rFonts w:ascii="Arial" w:hAnsi="Arial" w:cs="Arial"/>
          <w:sz w:val="22"/>
          <w:szCs w:val="22"/>
        </w:rPr>
        <w:t>(2026) is that customers might want to balance price, quality and perceived usefulness to achieve “smart value”. NEXT needs to maintain its value proposition whilst avoiding too much discounting, otherwise margins might fall or it can lead to customers delaying their purchase until the next promotion. Planning is crucial because overselling will necessitate markdowns and stock outs will mean lost sales.</w:t>
      </w:r>
    </w:p>
    <w:p w14:paraId="28782916"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Social.</w:t>
      </w:r>
    </w:p>
    <w:p w14:paraId="24CCF388" w14:textId="3E91A589"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The preferences of customers fluctuate; however, price, quality, fit, style and convenience are relevant in fashion retail. The call for "transparency" and “responsible production” is also becoming more apparent. The Fashion Revolution (2025) draws attention to the concerns of the fashion industry regarding overproduction and waste. NEXT can react by prioritizing quality and giving information about their products and customer service a prominent role in their </w:t>
      </w:r>
      <w:r w:rsidRPr="00A8480E">
        <w:rPr>
          <w:rFonts w:ascii="Arial" w:hAnsi="Arial" w:cs="Arial"/>
          <w:sz w:val="22"/>
          <w:szCs w:val="22"/>
        </w:rPr>
        <w:t>offer and</w:t>
      </w:r>
      <w:r w:rsidRPr="00A8480E">
        <w:rPr>
          <w:rFonts w:ascii="Arial" w:hAnsi="Arial" w:cs="Arial"/>
          <w:sz w:val="22"/>
          <w:szCs w:val="22"/>
        </w:rPr>
        <w:t xml:space="preserve"> clearly communicating about how they source and how they take responsibility. Avoidable returns and satisfaction can be increased if better fit information is provided.</w:t>
      </w:r>
    </w:p>
    <w:p w14:paraId="65A76745"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Technological. </w:t>
      </w:r>
    </w:p>
    <w:p w14:paraId="6231AB1D" w14:textId="5A45EB03"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lastRenderedPageBreak/>
        <w:t xml:space="preserve">Digital tools are able to help in product discovery, customer service, demand forecasting, stock allocation and customisation. While AI tools and analytics can facilitate the flow of information and enhance decision-making, they also carry potential risks in terms of data quality, privacy, cybersecurity, and customer trust. NEXT would need to choose the technology to address specific challenges, and measure the technology based on the criteria like stock availability, forecast accuracy, markdowns, returns, customer satisfaction etc. The technology must be a part of the business </w:t>
      </w:r>
      <w:r w:rsidRPr="00A8480E">
        <w:rPr>
          <w:rFonts w:ascii="Arial" w:hAnsi="Arial" w:cs="Arial"/>
          <w:sz w:val="22"/>
          <w:szCs w:val="22"/>
        </w:rPr>
        <w:t>process and</w:t>
      </w:r>
      <w:r w:rsidRPr="00A8480E">
        <w:rPr>
          <w:rFonts w:ascii="Arial" w:hAnsi="Arial" w:cs="Arial"/>
          <w:sz w:val="22"/>
          <w:szCs w:val="22"/>
        </w:rPr>
        <w:t xml:space="preserve"> not viewed as an investment in isolation (Schultz, 2025).</w:t>
      </w:r>
    </w:p>
    <w:p w14:paraId="267E6AB4"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Legal. </w:t>
      </w:r>
    </w:p>
    <w:p w14:paraId="5AD035D5"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NEXT must meets requirements relating to the protection of consumers, employment, product safety, advertising, data protection and commercial conduct. Responsible dealing with the details of customers is particularly important in online retail. Claims about the environment or ethics should be backed up by evidence and supplier oversight should be able to detect and resolve issues. Ethical and transparent policies and clear monitoring responsibilities can lower legal and reputational risk, and compliance and reliability </w:t>
      </w:r>
      <w:proofErr w:type="gramStart"/>
      <w:r w:rsidRPr="00A8480E">
        <w:rPr>
          <w:rFonts w:ascii="Arial" w:hAnsi="Arial" w:cs="Arial"/>
          <w:sz w:val="22"/>
          <w:szCs w:val="22"/>
        </w:rPr>
        <w:t>is</w:t>
      </w:r>
      <w:proofErr w:type="gramEnd"/>
      <w:r w:rsidRPr="00A8480E">
        <w:rPr>
          <w:rFonts w:ascii="Arial" w:hAnsi="Arial" w:cs="Arial"/>
          <w:sz w:val="22"/>
          <w:szCs w:val="22"/>
        </w:rPr>
        <w:t xml:space="preserve"> a minimum requirement.</w:t>
      </w:r>
    </w:p>
    <w:p w14:paraId="00AE204C"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Environmental. </w:t>
      </w:r>
    </w:p>
    <w:p w14:paraId="3319B703"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The following issues are targeted for fashion businesses: materials, production, transport, packaging, and product lifespan and waste. Environmental performance can impact the risk, cost and trust of the supply chain. NEXT reports on its corporate responsibility and environmental approach (NEXT plc, 2026b), but there needs to be measurable commitments across operations and suppliers. This can mean working on supplier information, focussing on a more strategic area, cutting down on unnecessary waste or product longevity. Public claims must be specific and backed up. Additionally, the research on fashion supply chain identifies the relationship between sustainability and the supply-chain visibility and resilience (Sagar, 2026).</w:t>
      </w:r>
    </w:p>
    <w:p w14:paraId="1959961E" w14:textId="7C8EB8CB" w:rsidR="007540DF" w:rsidRPr="007540DF" w:rsidRDefault="00A8480E" w:rsidP="001725A3">
      <w:pPr>
        <w:spacing w:line="360" w:lineRule="auto"/>
        <w:jc w:val="both"/>
        <w:rPr>
          <w:rFonts w:ascii="Arial" w:hAnsi="Arial" w:cs="Arial"/>
          <w:sz w:val="22"/>
          <w:szCs w:val="22"/>
        </w:rPr>
      </w:pPr>
      <w:r w:rsidRPr="00A8480E">
        <w:rPr>
          <w:rFonts w:ascii="Arial" w:hAnsi="Arial" w:cs="Arial"/>
          <w:sz w:val="22"/>
          <w:szCs w:val="22"/>
        </w:rPr>
        <w:t>Overall, PESTLE indicates that NEXT will need to create a balance between value, convenience and efficiency, and shifting expectations and supply chain uncertainty.</w:t>
      </w:r>
    </w:p>
    <w:p w14:paraId="1CE0ACDB" w14:textId="77777777" w:rsidR="007540DF" w:rsidRPr="003F20D5" w:rsidRDefault="007540DF" w:rsidP="003F20D5">
      <w:pPr>
        <w:pStyle w:val="Heading4"/>
        <w:rPr>
          <w:rFonts w:ascii="Arial" w:hAnsi="Arial" w:cs="Arial"/>
          <w:i w:val="0"/>
          <w:iCs w:val="0"/>
          <w:color w:val="auto"/>
          <w:sz w:val="22"/>
          <w:szCs w:val="22"/>
        </w:rPr>
      </w:pPr>
      <w:bookmarkStart w:id="3" w:name="_Toc242869454"/>
      <w:r w:rsidRPr="003F20D5">
        <w:rPr>
          <w:rFonts w:ascii="Arial" w:hAnsi="Arial" w:cs="Arial"/>
          <w:i w:val="0"/>
          <w:iCs w:val="0"/>
          <w:color w:val="auto"/>
          <w:sz w:val="22"/>
          <w:szCs w:val="22"/>
        </w:rPr>
        <w:t>3. Internal Environment Audit</w:t>
      </w:r>
      <w:bookmarkEnd w:id="3"/>
    </w:p>
    <w:p w14:paraId="72540A9F" w14:textId="5F8CA21D" w:rsidR="007540DF" w:rsidRPr="007540DF" w:rsidRDefault="007540DF" w:rsidP="001725A3">
      <w:pPr>
        <w:spacing w:line="360" w:lineRule="auto"/>
        <w:jc w:val="both"/>
        <w:rPr>
          <w:rFonts w:ascii="Arial" w:hAnsi="Arial" w:cs="Arial"/>
          <w:sz w:val="22"/>
          <w:szCs w:val="22"/>
        </w:rPr>
      </w:pPr>
      <w:r w:rsidRPr="007540DF">
        <w:rPr>
          <w:rFonts w:ascii="Arial" w:hAnsi="Arial" w:cs="Arial"/>
          <w:sz w:val="22"/>
          <w:szCs w:val="22"/>
        </w:rPr>
        <w:t>Value-chain analysis</w:t>
      </w:r>
    </w:p>
    <w:p w14:paraId="4E275D51"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Value-chain analysis focuses on how value is added to the customers and competitive position for the business (Porter, 1985). Product selection, sourcing, logistics, stores, online retail and after-sales service activities are included for NEXT. Technology, procurement, people management, finance and governance are some of the supporting activities.</w:t>
      </w:r>
    </w:p>
    <w:p w14:paraId="5733C54A"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lastRenderedPageBreak/>
        <w:t>Product and sourcing. Whether ranges are attractive, priced according to the market, and available at the right time are a result of product decisions. The priorities identified in NEXT's business-model report are to improve product ranges, quality and appeal (NEXT plc, 2026a). Value to the customer goes beyond price, and includes style, durability and fit. Sourcing should facilitate those outcomes, at an acceptable cost, lead times and supplier standards.</w:t>
      </w:r>
    </w:p>
    <w:p w14:paraId="7824920E"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 xml:space="preserve">Operations and logistics. There must be coordinated stock, efficient order </w:t>
      </w:r>
      <w:proofErr w:type="spellStart"/>
      <w:r w:rsidRPr="00A8480E">
        <w:rPr>
          <w:rFonts w:ascii="Arial" w:hAnsi="Arial" w:cs="Arial"/>
          <w:sz w:val="22"/>
          <w:szCs w:val="22"/>
        </w:rPr>
        <w:t>fulfillment</w:t>
      </w:r>
      <w:proofErr w:type="spellEnd"/>
      <w:r w:rsidRPr="00A8480E">
        <w:rPr>
          <w:rFonts w:ascii="Arial" w:hAnsi="Arial" w:cs="Arial"/>
          <w:sz w:val="22"/>
          <w:szCs w:val="22"/>
        </w:rPr>
        <w:t xml:space="preserve"> and returns. While efficiency may be gained from NEXT's operating experience, it needs to be matched with flexibility. Lack of predictability of fashion demand makes excess inventory, shortages and markdowns a challenge to operational benefits. Improved data and stock visibility would help to align supply and demand.</w:t>
      </w:r>
    </w:p>
    <w:p w14:paraId="2E040BB0" w14:textId="77777777" w:rsidR="00A8480E" w:rsidRPr="00A8480E" w:rsidRDefault="00A8480E" w:rsidP="001725A3">
      <w:pPr>
        <w:spacing w:line="360" w:lineRule="auto"/>
        <w:jc w:val="both"/>
        <w:rPr>
          <w:rFonts w:ascii="Arial" w:hAnsi="Arial" w:cs="Arial"/>
          <w:sz w:val="22"/>
          <w:szCs w:val="22"/>
        </w:rPr>
      </w:pPr>
      <w:r w:rsidRPr="00A8480E">
        <w:rPr>
          <w:rFonts w:ascii="Arial" w:hAnsi="Arial" w:cs="Arial"/>
          <w:sz w:val="22"/>
          <w:szCs w:val="22"/>
        </w:rPr>
        <w:t>Marketing, sales and service. Multiple touchpoints touch consumers across NEXT's brand, stores and online channels. Multi-channel model can be helpful to make it more convenient when channels cooperate. All product information, availability, delivery, returns and customer service information impact satisfaction and loyalty. Suggestions from customers can help to see what problems or improvement opportunities occur repeatedly.</w:t>
      </w:r>
    </w:p>
    <w:p w14:paraId="54D18EE9" w14:textId="6C41284A" w:rsidR="007540DF" w:rsidRPr="007540DF" w:rsidRDefault="00A8480E" w:rsidP="001725A3">
      <w:pPr>
        <w:spacing w:line="360" w:lineRule="auto"/>
        <w:jc w:val="both"/>
        <w:rPr>
          <w:rFonts w:ascii="Arial" w:hAnsi="Arial" w:cs="Arial"/>
          <w:sz w:val="22"/>
          <w:szCs w:val="22"/>
        </w:rPr>
      </w:pPr>
      <w:r w:rsidRPr="00A8480E">
        <w:rPr>
          <w:rFonts w:ascii="Arial" w:hAnsi="Arial" w:cs="Arial"/>
          <w:sz w:val="22"/>
          <w:szCs w:val="22"/>
        </w:rPr>
        <w:t>Supporting activities. Use of technology and data for planning, stock and service decisions. Procurement and supplier management impact cost, continuity and standards. Governance and corporate-responsibility processes contribute to turning pledges into action. While NEXT's reporting serves as a guide to assess its strategy, progress relies on accurate information in its supply chain (NEXT plc, 2026b).</w:t>
      </w:r>
    </w:p>
    <w:p w14:paraId="06645637" w14:textId="0E6099CA" w:rsidR="007540DF" w:rsidRDefault="007540DF" w:rsidP="001725A3">
      <w:pPr>
        <w:spacing w:line="360" w:lineRule="auto"/>
        <w:jc w:val="both"/>
        <w:rPr>
          <w:rFonts w:ascii="Arial" w:hAnsi="Arial" w:cs="Arial"/>
          <w:sz w:val="22"/>
          <w:szCs w:val="22"/>
        </w:rPr>
      </w:pPr>
      <w:r w:rsidRPr="007540DF">
        <w:rPr>
          <w:rFonts w:ascii="Arial" w:hAnsi="Arial" w:cs="Arial"/>
          <w:sz w:val="22"/>
          <w:szCs w:val="22"/>
        </w:rPr>
        <w:t>Resource-Based View and VRIO</w:t>
      </w:r>
    </w:p>
    <w:p w14:paraId="5B5762A7" w14:textId="08B0E703" w:rsidR="00CE50FD" w:rsidRDefault="001725A3" w:rsidP="001725A3">
      <w:pPr>
        <w:spacing w:line="360" w:lineRule="auto"/>
        <w:jc w:val="both"/>
        <w:rPr>
          <w:rFonts w:ascii="Arial" w:hAnsi="Arial" w:cs="Arial"/>
          <w:sz w:val="22"/>
          <w:szCs w:val="22"/>
        </w:rPr>
      </w:pPr>
      <w:r w:rsidRPr="001725A3">
        <w:rPr>
          <w:rFonts w:ascii="Arial" w:hAnsi="Arial" w:cs="Arial"/>
          <w:sz w:val="22"/>
          <w:szCs w:val="22"/>
        </w:rPr>
        <w:t>The RBV asks questions about the potential of internal resources to generate competitive advantage. VRIO is a question that arises: is a resource valuable, rare, hard to imitate and supported by the organisation? An advantage is never permanent: if customer expectations or competitor's change the value of the advantage will change.</w:t>
      </w:r>
    </w:p>
    <w:tbl>
      <w:tblPr>
        <w:tblW w:w="9135" w:type="dxa"/>
        <w:tblInd w:w="-30" w:type="dxa"/>
        <w:tblBorders>
          <w:top w:val="single" w:sz="2" w:space="0" w:color="auto"/>
          <w:left w:val="single" w:sz="2" w:space="0" w:color="auto"/>
          <w:bottom w:val="single" w:sz="2" w:space="0" w:color="auto"/>
          <w:right w:val="single" w:sz="2" w:space="0" w:color="auto"/>
        </w:tblBorders>
        <w:shd w:val="clear" w:color="auto" w:fill="FFFFFF"/>
        <w:tblCellMar>
          <w:left w:w="0" w:type="dxa"/>
          <w:right w:w="0" w:type="dxa"/>
        </w:tblCellMar>
        <w:tblLook w:val="04A0" w:firstRow="1" w:lastRow="0" w:firstColumn="1" w:lastColumn="0" w:noHBand="0" w:noVBand="1"/>
      </w:tblPr>
      <w:tblGrid>
        <w:gridCol w:w="2234"/>
        <w:gridCol w:w="6901"/>
      </w:tblGrid>
      <w:tr w:rsidR="003F20D5" w:rsidRPr="00521401" w14:paraId="6AEBB124" w14:textId="77777777" w:rsidTr="003F20D5">
        <w:trPr>
          <w:trHeight w:val="328"/>
          <w:tblHeader/>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0" w:type="dxa"/>
              <w:left w:w="0" w:type="dxa"/>
              <w:bottom w:w="150" w:type="dxa"/>
              <w:right w:w="240" w:type="dxa"/>
            </w:tcMar>
            <w:vAlign w:val="bottom"/>
            <w:hideMark/>
          </w:tcPr>
          <w:p w14:paraId="37EFE8C6" w14:textId="77777777" w:rsidR="003F20D5" w:rsidRPr="00521401" w:rsidRDefault="003F20D5" w:rsidP="009B2889">
            <w:pPr>
              <w:spacing w:after="0" w:line="240" w:lineRule="auto"/>
              <w:rPr>
                <w:rFonts w:ascii="Segoe UI" w:eastAsia="Times New Roman" w:hAnsi="Segoe UI" w:cs="Segoe UI"/>
                <w:b/>
                <w:bCs/>
                <w:color w:val="0A0A0A"/>
                <w:kern w:val="0"/>
                <w:sz w:val="21"/>
                <w:szCs w:val="21"/>
                <w:lang w:eastAsia="en-GB"/>
                <w14:ligatures w14:val="none"/>
              </w:rPr>
            </w:pPr>
            <w:r w:rsidRPr="00521401">
              <w:rPr>
                <w:rFonts w:ascii="Segoe UI" w:eastAsia="Times New Roman" w:hAnsi="Segoe UI" w:cs="Segoe UI"/>
                <w:b/>
                <w:bCs/>
                <w:color w:val="0A0A0A"/>
                <w:kern w:val="0"/>
                <w:sz w:val="21"/>
                <w:szCs w:val="21"/>
                <w:lang w:eastAsia="en-GB"/>
                <w14:ligatures w14:val="none"/>
              </w:rPr>
              <w:t>Resource or capability</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0" w:type="dxa"/>
              <w:left w:w="240" w:type="dxa"/>
              <w:bottom w:w="150" w:type="dxa"/>
              <w:right w:w="240" w:type="dxa"/>
            </w:tcMar>
            <w:vAlign w:val="bottom"/>
            <w:hideMark/>
          </w:tcPr>
          <w:p w14:paraId="09C1CD3F" w14:textId="77777777" w:rsidR="003F20D5" w:rsidRPr="00521401" w:rsidRDefault="003F20D5" w:rsidP="009B2889">
            <w:pPr>
              <w:spacing w:after="0" w:line="240" w:lineRule="auto"/>
              <w:rPr>
                <w:rFonts w:ascii="Segoe UI" w:eastAsia="Times New Roman" w:hAnsi="Segoe UI" w:cs="Segoe UI"/>
                <w:b/>
                <w:bCs/>
                <w:color w:val="0A0A0A"/>
                <w:kern w:val="0"/>
                <w:sz w:val="21"/>
                <w:szCs w:val="21"/>
                <w:lang w:eastAsia="en-GB"/>
                <w14:ligatures w14:val="none"/>
              </w:rPr>
            </w:pPr>
            <w:r w:rsidRPr="00521401">
              <w:rPr>
                <w:rFonts w:ascii="Segoe UI" w:eastAsia="Times New Roman" w:hAnsi="Segoe UI" w:cs="Segoe UI"/>
                <w:b/>
                <w:bCs/>
                <w:color w:val="0A0A0A"/>
                <w:kern w:val="0"/>
                <w:sz w:val="21"/>
                <w:szCs w:val="21"/>
                <w:bdr w:val="single" w:sz="2" w:space="0" w:color="E4E4E7" w:frame="1"/>
                <w:lang w:eastAsia="en-GB"/>
                <w14:ligatures w14:val="none"/>
              </w:rPr>
              <w:t>Strategic assessment</w:t>
            </w:r>
          </w:p>
        </w:tc>
      </w:tr>
      <w:tr w:rsidR="003F20D5" w:rsidRPr="00521401" w14:paraId="76176BC3" w14:textId="77777777" w:rsidTr="003F20D5">
        <w:trPr>
          <w:trHeight w:val="635"/>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6EF7A850" w14:textId="77777777" w:rsidR="003F20D5" w:rsidRPr="00521401" w:rsidRDefault="003F20D5" w:rsidP="009B2889">
            <w:pPr>
              <w:spacing w:after="0" w:line="240" w:lineRule="auto"/>
              <w:rPr>
                <w:rFonts w:ascii="Segoe UI" w:eastAsia="Times New Roman" w:hAnsi="Segoe UI" w:cs="Segoe UI"/>
                <w:color w:val="3D3D3D"/>
                <w:kern w:val="0"/>
                <w:sz w:val="21"/>
                <w:szCs w:val="21"/>
                <w:lang w:eastAsia="en-GB"/>
                <w14:ligatures w14:val="none"/>
              </w:rPr>
            </w:pPr>
            <w:r w:rsidRPr="00521401">
              <w:rPr>
                <w:rFonts w:ascii="Segoe UI" w:eastAsia="Times New Roman" w:hAnsi="Segoe UI" w:cs="Segoe UI"/>
                <w:color w:val="3D3D3D"/>
                <w:kern w:val="0"/>
                <w:sz w:val="21"/>
                <w:szCs w:val="21"/>
                <w:lang w:eastAsia="en-GB"/>
                <w14:ligatures w14:val="none"/>
              </w:rPr>
              <w:t>Brand and customer relationships</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2E00F72E" w14:textId="77777777" w:rsidR="003F20D5" w:rsidRPr="00521401" w:rsidRDefault="003F20D5" w:rsidP="009B2889">
            <w:pPr>
              <w:spacing w:after="0" w:line="240" w:lineRule="auto"/>
              <w:rPr>
                <w:rFonts w:ascii="Segoe UI" w:eastAsia="Times New Roman" w:hAnsi="Segoe UI" w:cs="Segoe UI"/>
                <w:color w:val="3D3D3D"/>
                <w:kern w:val="0"/>
                <w:sz w:val="21"/>
                <w:szCs w:val="21"/>
                <w:lang w:eastAsia="en-GB"/>
                <w14:ligatures w14:val="none"/>
              </w:rPr>
            </w:pPr>
            <w:r w:rsidRPr="00521401">
              <w:rPr>
                <w:rFonts w:ascii="Segoe UI" w:eastAsia="Times New Roman" w:hAnsi="Segoe UI" w:cs="Segoe UI"/>
                <w:color w:val="3D3D3D"/>
                <w:kern w:val="0"/>
                <w:sz w:val="21"/>
                <w:szCs w:val="21"/>
                <w:lang w:eastAsia="en-GB"/>
                <w14:ligatures w14:val="none"/>
              </w:rPr>
              <w:t>Valuable for awareness and trust, but competitors also have established brands. Advantage depends on consistent product and service.</w:t>
            </w:r>
          </w:p>
        </w:tc>
      </w:tr>
      <w:tr w:rsidR="003F20D5" w:rsidRPr="00521401" w14:paraId="67FBDDDC" w14:textId="77777777" w:rsidTr="003F20D5">
        <w:trPr>
          <w:trHeight w:val="635"/>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7B8DFFB0" w14:textId="77777777" w:rsidR="003F20D5" w:rsidRPr="00521401" w:rsidRDefault="003F20D5" w:rsidP="009B2889">
            <w:pPr>
              <w:spacing w:after="0" w:line="240" w:lineRule="auto"/>
              <w:rPr>
                <w:rFonts w:ascii="Segoe UI" w:eastAsia="Times New Roman" w:hAnsi="Segoe UI" w:cs="Segoe UI"/>
                <w:color w:val="3D3D3D"/>
                <w:kern w:val="0"/>
                <w:sz w:val="21"/>
                <w:szCs w:val="21"/>
                <w:lang w:eastAsia="en-GB"/>
                <w14:ligatures w14:val="none"/>
              </w:rPr>
            </w:pPr>
            <w:r w:rsidRPr="00521401">
              <w:rPr>
                <w:rFonts w:ascii="Segoe UI" w:eastAsia="Times New Roman" w:hAnsi="Segoe UI" w:cs="Segoe UI"/>
                <w:color w:val="3D3D3D"/>
                <w:kern w:val="0"/>
                <w:sz w:val="21"/>
                <w:szCs w:val="21"/>
                <w:lang w:eastAsia="en-GB"/>
                <w14:ligatures w14:val="none"/>
              </w:rPr>
              <w:t>Physical and online operations</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1196F9DA" w14:textId="77777777" w:rsidR="003F20D5" w:rsidRPr="00521401" w:rsidRDefault="003F20D5" w:rsidP="009B2889">
            <w:pPr>
              <w:spacing w:after="0" w:line="240" w:lineRule="auto"/>
              <w:rPr>
                <w:rFonts w:ascii="Segoe UI" w:eastAsia="Times New Roman" w:hAnsi="Segoe UI" w:cs="Segoe UI"/>
                <w:color w:val="3D3D3D"/>
                <w:kern w:val="0"/>
                <w:sz w:val="21"/>
                <w:szCs w:val="21"/>
                <w:lang w:eastAsia="en-GB"/>
                <w14:ligatures w14:val="none"/>
              </w:rPr>
            </w:pPr>
            <w:r w:rsidRPr="00521401">
              <w:rPr>
                <w:rFonts w:ascii="Segoe UI" w:eastAsia="Times New Roman" w:hAnsi="Segoe UI" w:cs="Segoe UI"/>
                <w:color w:val="3D3D3D"/>
                <w:kern w:val="0"/>
                <w:sz w:val="21"/>
                <w:szCs w:val="21"/>
                <w:lang w:eastAsia="en-GB"/>
                <w14:ligatures w14:val="none"/>
              </w:rPr>
              <w:t xml:space="preserve">Valuable because they offer multiple shopping routes. Coordinating them at scale may be difficult to </w:t>
            </w:r>
            <w:proofErr w:type="gramStart"/>
            <w:r w:rsidRPr="00521401">
              <w:rPr>
                <w:rFonts w:ascii="Segoe UI" w:eastAsia="Times New Roman" w:hAnsi="Segoe UI" w:cs="Segoe UI"/>
                <w:color w:val="3D3D3D"/>
                <w:kern w:val="0"/>
                <w:sz w:val="21"/>
                <w:szCs w:val="21"/>
                <w:lang w:eastAsia="en-GB"/>
                <w14:ligatures w14:val="none"/>
              </w:rPr>
              <w:t>reproduce, but</w:t>
            </w:r>
            <w:proofErr w:type="gramEnd"/>
            <w:r w:rsidRPr="00521401">
              <w:rPr>
                <w:rFonts w:ascii="Segoe UI" w:eastAsia="Times New Roman" w:hAnsi="Segoe UI" w:cs="Segoe UI"/>
                <w:color w:val="3D3D3D"/>
                <w:kern w:val="0"/>
                <w:sz w:val="21"/>
                <w:szCs w:val="21"/>
                <w:lang w:eastAsia="en-GB"/>
                <w14:ligatures w14:val="none"/>
              </w:rPr>
              <w:t xml:space="preserve"> requires effective integration.</w:t>
            </w:r>
          </w:p>
        </w:tc>
      </w:tr>
    </w:tbl>
    <w:tbl>
      <w:tblPr>
        <w:tblpPr w:leftFromText="180" w:rightFromText="180" w:vertAnchor="text" w:horzAnchor="margin" w:tblpY="15"/>
        <w:tblW w:w="9086" w:type="dxa"/>
        <w:tblBorders>
          <w:top w:val="single" w:sz="2" w:space="0" w:color="auto"/>
          <w:left w:val="single" w:sz="2" w:space="0" w:color="auto"/>
          <w:bottom w:val="single" w:sz="2" w:space="0" w:color="auto"/>
          <w:right w:val="single" w:sz="2" w:space="0" w:color="auto"/>
        </w:tblBorders>
        <w:shd w:val="clear" w:color="auto" w:fill="FFFFFF"/>
        <w:tblCellMar>
          <w:left w:w="0" w:type="dxa"/>
          <w:right w:w="0" w:type="dxa"/>
        </w:tblCellMar>
        <w:tblLook w:val="04A0" w:firstRow="1" w:lastRow="0" w:firstColumn="1" w:lastColumn="0" w:noHBand="0" w:noVBand="1"/>
      </w:tblPr>
      <w:tblGrid>
        <w:gridCol w:w="2258"/>
        <w:gridCol w:w="6828"/>
      </w:tblGrid>
      <w:tr w:rsidR="003F20D5" w:rsidRPr="00A60887" w14:paraId="64AAABA0" w14:textId="77777777" w:rsidTr="003F20D5">
        <w:trPr>
          <w:trHeight w:val="619"/>
        </w:trPr>
        <w:tc>
          <w:tcPr>
            <w:tcW w:w="2258" w:type="dxa"/>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6AA80E92" w14:textId="77777777" w:rsidR="003F20D5" w:rsidRPr="00A60887" w:rsidRDefault="003F20D5" w:rsidP="003F20D5">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lastRenderedPageBreak/>
              <w:t>Fulfilment and retail experience</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4C43EB67" w14:textId="77777777" w:rsidR="003F20D5" w:rsidRPr="00A60887" w:rsidRDefault="003F20D5" w:rsidP="003F20D5">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Supports availability and service. Experience takes time to develop, though competitors can improve or copy processes.</w:t>
            </w:r>
          </w:p>
        </w:tc>
      </w:tr>
      <w:tr w:rsidR="003F20D5" w:rsidRPr="00A60887" w14:paraId="7BC62E03" w14:textId="77777777" w:rsidTr="003F20D5">
        <w:trPr>
          <w:trHeight w:val="841"/>
        </w:trPr>
        <w:tc>
          <w:tcPr>
            <w:tcW w:w="2258" w:type="dxa"/>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028717D5" w14:textId="77777777" w:rsidR="003F20D5" w:rsidRPr="00A60887" w:rsidRDefault="003F20D5" w:rsidP="003F20D5">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Customer and trading data</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13A9FFC7" w14:textId="77777777" w:rsidR="003F20D5" w:rsidRPr="00A60887" w:rsidRDefault="003F20D5" w:rsidP="003F20D5">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Valuable when used to improve forecasting and relevance. Data quality, analysis and responsible use matter more than possession alone.</w:t>
            </w:r>
          </w:p>
        </w:tc>
      </w:tr>
      <w:tr w:rsidR="003F20D5" w:rsidRPr="00A60887" w14:paraId="0C96BA06" w14:textId="77777777" w:rsidTr="003F20D5">
        <w:trPr>
          <w:trHeight w:val="619"/>
        </w:trPr>
        <w:tc>
          <w:tcPr>
            <w:tcW w:w="2258" w:type="dxa"/>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7CE02D2F" w14:textId="77777777" w:rsidR="003F20D5" w:rsidRPr="00A60887" w:rsidRDefault="003F20D5" w:rsidP="003F20D5">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Supplier relationships</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3F326D45" w14:textId="77777777" w:rsidR="003F20D5" w:rsidRPr="00A60887" w:rsidRDefault="003F20D5" w:rsidP="003F20D5">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Support cost, quality and continuity. Their contribution depends on visibility, resilience and effective oversight.</w:t>
            </w:r>
          </w:p>
        </w:tc>
      </w:tr>
    </w:tbl>
    <w:p w14:paraId="5DD2B5BB" w14:textId="77777777" w:rsidR="00CE50FD" w:rsidRPr="007540DF" w:rsidRDefault="00CE50FD" w:rsidP="001725A3">
      <w:pPr>
        <w:spacing w:line="360" w:lineRule="auto"/>
        <w:jc w:val="both"/>
        <w:rPr>
          <w:rFonts w:ascii="Arial" w:hAnsi="Arial" w:cs="Arial"/>
          <w:sz w:val="22"/>
          <w:szCs w:val="22"/>
        </w:rPr>
      </w:pPr>
    </w:p>
    <w:p w14:paraId="699ED2D9" w14:textId="031E3295" w:rsidR="007540DF" w:rsidRPr="007540DF" w:rsidRDefault="001725A3" w:rsidP="001725A3">
      <w:pPr>
        <w:spacing w:line="360" w:lineRule="auto"/>
        <w:jc w:val="both"/>
        <w:rPr>
          <w:rFonts w:ascii="Arial" w:hAnsi="Arial" w:cs="Arial"/>
          <w:sz w:val="22"/>
          <w:szCs w:val="22"/>
        </w:rPr>
      </w:pPr>
      <w:r w:rsidRPr="001725A3">
        <w:rPr>
          <w:rFonts w:ascii="Arial" w:hAnsi="Arial" w:cs="Arial"/>
          <w:sz w:val="22"/>
          <w:szCs w:val="22"/>
        </w:rPr>
        <w:t>The best opportunity for NEXT is to bring its brand, channels, data and operations together. Information is only useful if it helps you make better decisions, and a store network is only useful if you can leverage it to serve your customers and connect it with the digital channels.</w:t>
      </w:r>
    </w:p>
    <w:p w14:paraId="0D0BB497" w14:textId="77777777" w:rsidR="007540DF" w:rsidRPr="003F20D5" w:rsidRDefault="007540DF" w:rsidP="003F20D5">
      <w:pPr>
        <w:pStyle w:val="Heading5"/>
        <w:rPr>
          <w:rFonts w:ascii="Arial" w:hAnsi="Arial" w:cs="Arial"/>
          <w:color w:val="auto"/>
          <w:sz w:val="22"/>
          <w:szCs w:val="22"/>
        </w:rPr>
      </w:pPr>
      <w:bookmarkStart w:id="4" w:name="_Toc242869455"/>
      <w:r w:rsidRPr="003F20D5">
        <w:rPr>
          <w:rFonts w:ascii="Arial" w:hAnsi="Arial" w:cs="Arial"/>
          <w:color w:val="auto"/>
          <w:sz w:val="22"/>
          <w:szCs w:val="22"/>
        </w:rPr>
        <w:t>4. SWOT Analysis</w:t>
      </w:r>
      <w:bookmarkEnd w:id="4"/>
    </w:p>
    <w:tbl>
      <w:tblPr>
        <w:tblW w:w="9045" w:type="dxa"/>
        <w:tblInd w:w="-30" w:type="dxa"/>
        <w:tblBorders>
          <w:top w:val="single" w:sz="2" w:space="0" w:color="auto"/>
          <w:left w:val="single" w:sz="2" w:space="0" w:color="auto"/>
          <w:bottom w:val="single" w:sz="2" w:space="0" w:color="auto"/>
          <w:right w:val="single" w:sz="2" w:space="0" w:color="auto"/>
        </w:tblBorders>
        <w:shd w:val="clear" w:color="auto" w:fill="FFFFFF"/>
        <w:tblCellMar>
          <w:left w:w="0" w:type="dxa"/>
          <w:right w:w="0" w:type="dxa"/>
        </w:tblCellMar>
        <w:tblLook w:val="04A0" w:firstRow="1" w:lastRow="0" w:firstColumn="1" w:lastColumn="0" w:noHBand="0" w:noVBand="1"/>
      </w:tblPr>
      <w:tblGrid>
        <w:gridCol w:w="3421"/>
        <w:gridCol w:w="5624"/>
      </w:tblGrid>
      <w:tr w:rsidR="00CE50FD" w:rsidRPr="00A60887" w14:paraId="786F0AB7" w14:textId="77777777" w:rsidTr="001725A3">
        <w:trPr>
          <w:trHeight w:val="329"/>
          <w:tblHeader/>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0" w:type="dxa"/>
              <w:left w:w="0" w:type="dxa"/>
              <w:bottom w:w="150" w:type="dxa"/>
              <w:right w:w="240" w:type="dxa"/>
            </w:tcMar>
            <w:vAlign w:val="bottom"/>
            <w:hideMark/>
          </w:tcPr>
          <w:p w14:paraId="480625DC" w14:textId="77777777" w:rsidR="00CE50FD" w:rsidRPr="00A60887" w:rsidRDefault="00CE50FD" w:rsidP="001725A3">
            <w:pPr>
              <w:spacing w:after="0" w:line="360" w:lineRule="auto"/>
              <w:rPr>
                <w:rFonts w:ascii="Segoe UI" w:eastAsia="Times New Roman" w:hAnsi="Segoe UI" w:cs="Segoe UI"/>
                <w:b/>
                <w:bCs/>
                <w:color w:val="0A0A0A"/>
                <w:kern w:val="0"/>
                <w:sz w:val="21"/>
                <w:szCs w:val="21"/>
                <w:lang w:eastAsia="en-GB"/>
                <w14:ligatures w14:val="none"/>
              </w:rPr>
            </w:pPr>
            <w:r w:rsidRPr="00A60887">
              <w:rPr>
                <w:rFonts w:ascii="Segoe UI" w:eastAsia="Times New Roman" w:hAnsi="Segoe UI" w:cs="Segoe UI"/>
                <w:b/>
                <w:bCs/>
                <w:color w:val="0A0A0A"/>
                <w:kern w:val="0"/>
                <w:sz w:val="21"/>
                <w:szCs w:val="21"/>
                <w:lang w:eastAsia="en-GB"/>
                <w14:ligatures w14:val="none"/>
              </w:rPr>
              <w:t>Strengths</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0" w:type="dxa"/>
              <w:left w:w="240" w:type="dxa"/>
              <w:bottom w:w="150" w:type="dxa"/>
              <w:right w:w="240" w:type="dxa"/>
            </w:tcMar>
            <w:vAlign w:val="bottom"/>
            <w:hideMark/>
          </w:tcPr>
          <w:p w14:paraId="2EE73F2A" w14:textId="77777777" w:rsidR="00CE50FD" w:rsidRPr="00A60887" w:rsidRDefault="00CE50FD" w:rsidP="001725A3">
            <w:pPr>
              <w:spacing w:after="0" w:line="360" w:lineRule="auto"/>
              <w:rPr>
                <w:rFonts w:ascii="Segoe UI" w:eastAsia="Times New Roman" w:hAnsi="Segoe UI" w:cs="Segoe UI"/>
                <w:b/>
                <w:bCs/>
                <w:color w:val="0A0A0A"/>
                <w:kern w:val="0"/>
                <w:sz w:val="21"/>
                <w:szCs w:val="21"/>
                <w:lang w:eastAsia="en-GB"/>
                <w14:ligatures w14:val="none"/>
              </w:rPr>
            </w:pPr>
            <w:r w:rsidRPr="00A60887">
              <w:rPr>
                <w:rFonts w:ascii="Segoe UI" w:eastAsia="Times New Roman" w:hAnsi="Segoe UI" w:cs="Segoe UI"/>
                <w:b/>
                <w:bCs/>
                <w:color w:val="0A0A0A"/>
                <w:kern w:val="0"/>
                <w:sz w:val="21"/>
                <w:szCs w:val="21"/>
                <w:bdr w:val="single" w:sz="2" w:space="0" w:color="E4E4E7" w:frame="1"/>
                <w:lang w:eastAsia="en-GB"/>
                <w14:ligatures w14:val="none"/>
              </w:rPr>
              <w:t>Weaknesses</w:t>
            </w:r>
          </w:p>
        </w:tc>
      </w:tr>
      <w:tr w:rsidR="00CE50FD" w:rsidRPr="00A60887" w14:paraId="3AB8C30E" w14:textId="77777777" w:rsidTr="001725A3">
        <w:trPr>
          <w:trHeight w:val="638"/>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56FB143A"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Recognised UK brand and established customer base.</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7943D7BF"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Exposure to a mature and competitive home market.</w:t>
            </w:r>
          </w:p>
        </w:tc>
      </w:tr>
      <w:tr w:rsidR="00CE50FD" w:rsidRPr="00A60887" w14:paraId="20B33F77" w14:textId="77777777" w:rsidTr="001725A3">
        <w:trPr>
          <w:trHeight w:val="638"/>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5D1FD5E9"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Physical stores alongside established digital operations.</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295E4614"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Scale and complexity may make rapid change difficult.</w:t>
            </w:r>
          </w:p>
        </w:tc>
      </w:tr>
      <w:tr w:rsidR="00CE50FD" w:rsidRPr="00A60887" w14:paraId="1813C273" w14:textId="77777777" w:rsidTr="001725A3">
        <w:trPr>
          <w:trHeight w:val="638"/>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179675AD"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Retail, fulfilment and sourcing experience.</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022D1F3B"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Demand uncertainty creates risk of excess stock or shortages.</w:t>
            </w:r>
          </w:p>
        </w:tc>
      </w:tr>
      <w:tr w:rsidR="00CE50FD" w:rsidRPr="00A60887" w14:paraId="754FD26C" w14:textId="77777777" w:rsidTr="001725A3">
        <w:trPr>
          <w:trHeight w:val="626"/>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4917691B"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Potential to use customer and trading data.</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22280B8D"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Supply-chain and environmental performance can be difficult to monitor across multiple tiers.</w:t>
            </w:r>
          </w:p>
        </w:tc>
      </w:tr>
    </w:tbl>
    <w:p w14:paraId="5C786491" w14:textId="77777777" w:rsidR="00CE50FD" w:rsidRDefault="00CE50FD" w:rsidP="001725A3">
      <w:pPr>
        <w:spacing w:line="360" w:lineRule="auto"/>
        <w:jc w:val="both"/>
        <w:rPr>
          <w:rFonts w:ascii="Arial" w:hAnsi="Arial" w:cs="Arial"/>
          <w:sz w:val="22"/>
          <w:szCs w:val="22"/>
        </w:rPr>
      </w:pPr>
    </w:p>
    <w:tbl>
      <w:tblPr>
        <w:tblW w:w="9054" w:type="dxa"/>
        <w:tblInd w:w="-30" w:type="dxa"/>
        <w:tblBorders>
          <w:top w:val="single" w:sz="2" w:space="0" w:color="auto"/>
          <w:left w:val="single" w:sz="2" w:space="0" w:color="auto"/>
          <w:bottom w:val="single" w:sz="2" w:space="0" w:color="auto"/>
          <w:right w:val="single" w:sz="2" w:space="0" w:color="auto"/>
        </w:tblBorders>
        <w:shd w:val="clear" w:color="auto" w:fill="FFFFFF"/>
        <w:tblCellMar>
          <w:left w:w="0" w:type="dxa"/>
          <w:right w:w="0" w:type="dxa"/>
        </w:tblCellMar>
        <w:tblLook w:val="04A0" w:firstRow="1" w:lastRow="0" w:firstColumn="1" w:lastColumn="0" w:noHBand="0" w:noVBand="1"/>
      </w:tblPr>
      <w:tblGrid>
        <w:gridCol w:w="4365"/>
        <w:gridCol w:w="4689"/>
      </w:tblGrid>
      <w:tr w:rsidR="00CE50FD" w:rsidRPr="00A60887" w14:paraId="4D43B6D5" w14:textId="77777777" w:rsidTr="00CE50FD">
        <w:trPr>
          <w:trHeight w:val="302"/>
          <w:tblHeader/>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0" w:type="dxa"/>
              <w:left w:w="0" w:type="dxa"/>
              <w:bottom w:w="150" w:type="dxa"/>
              <w:right w:w="240" w:type="dxa"/>
            </w:tcMar>
            <w:vAlign w:val="bottom"/>
            <w:hideMark/>
          </w:tcPr>
          <w:p w14:paraId="0C2D56D5" w14:textId="77777777" w:rsidR="00CE50FD" w:rsidRPr="00A60887" w:rsidRDefault="00CE50FD" w:rsidP="001725A3">
            <w:pPr>
              <w:spacing w:after="0" w:line="360" w:lineRule="auto"/>
              <w:rPr>
                <w:rFonts w:ascii="Segoe UI" w:eastAsia="Times New Roman" w:hAnsi="Segoe UI" w:cs="Segoe UI"/>
                <w:b/>
                <w:bCs/>
                <w:color w:val="0A0A0A"/>
                <w:kern w:val="0"/>
                <w:sz w:val="21"/>
                <w:szCs w:val="21"/>
                <w:lang w:eastAsia="en-GB"/>
                <w14:ligatures w14:val="none"/>
              </w:rPr>
            </w:pPr>
            <w:r w:rsidRPr="00A60887">
              <w:rPr>
                <w:rFonts w:ascii="Segoe UI" w:eastAsia="Times New Roman" w:hAnsi="Segoe UI" w:cs="Segoe UI"/>
                <w:b/>
                <w:bCs/>
                <w:color w:val="0A0A0A"/>
                <w:kern w:val="0"/>
                <w:sz w:val="21"/>
                <w:szCs w:val="21"/>
                <w:lang w:eastAsia="en-GB"/>
                <w14:ligatures w14:val="none"/>
              </w:rPr>
              <w:lastRenderedPageBreak/>
              <w:t>Opportunities</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0" w:type="dxa"/>
              <w:left w:w="240" w:type="dxa"/>
              <w:bottom w:w="150" w:type="dxa"/>
              <w:right w:w="240" w:type="dxa"/>
            </w:tcMar>
            <w:vAlign w:val="bottom"/>
            <w:hideMark/>
          </w:tcPr>
          <w:p w14:paraId="4268E5C6" w14:textId="77777777" w:rsidR="00CE50FD" w:rsidRPr="00A60887" w:rsidRDefault="00CE50FD" w:rsidP="001725A3">
            <w:pPr>
              <w:spacing w:after="0" w:line="360" w:lineRule="auto"/>
              <w:rPr>
                <w:rFonts w:ascii="Segoe UI" w:eastAsia="Times New Roman" w:hAnsi="Segoe UI" w:cs="Segoe UI"/>
                <w:b/>
                <w:bCs/>
                <w:color w:val="0A0A0A"/>
                <w:kern w:val="0"/>
                <w:sz w:val="21"/>
                <w:szCs w:val="21"/>
                <w:lang w:eastAsia="en-GB"/>
                <w14:ligatures w14:val="none"/>
              </w:rPr>
            </w:pPr>
            <w:r w:rsidRPr="00A60887">
              <w:rPr>
                <w:rFonts w:ascii="Segoe UI" w:eastAsia="Times New Roman" w:hAnsi="Segoe UI" w:cs="Segoe UI"/>
                <w:b/>
                <w:bCs/>
                <w:color w:val="0A0A0A"/>
                <w:kern w:val="0"/>
                <w:sz w:val="21"/>
                <w:szCs w:val="21"/>
                <w:bdr w:val="single" w:sz="2" w:space="0" w:color="E4E4E7" w:frame="1"/>
                <w:lang w:eastAsia="en-GB"/>
                <w14:ligatures w14:val="none"/>
              </w:rPr>
              <w:t>Threats</w:t>
            </w:r>
          </w:p>
        </w:tc>
      </w:tr>
      <w:tr w:rsidR="00CE50FD" w:rsidRPr="00A60887" w14:paraId="293113EB" w14:textId="77777777" w:rsidTr="00CE50FD">
        <w:trPr>
          <w:trHeight w:val="587"/>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39C9F919"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Improve forecasting, stock allocation and service through data and technology.</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14660741"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Strong competition from retailers, online brands and marketplaces.</w:t>
            </w:r>
          </w:p>
        </w:tc>
      </w:tr>
      <w:tr w:rsidR="00CE50FD" w:rsidRPr="00A60887" w14:paraId="5CD4C087" w14:textId="77777777" w:rsidTr="00CE50FD">
        <w:trPr>
          <w:trHeight w:val="587"/>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5AD5E6E6"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Test resale, repair or take-back services where viable.</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5B07FF29"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Household budget pressure may increase price sensitivity.</w:t>
            </w:r>
          </w:p>
        </w:tc>
      </w:tr>
      <w:tr w:rsidR="00CE50FD" w:rsidRPr="00A60887" w14:paraId="2E28079C" w14:textId="77777777" w:rsidTr="00CE50FD">
        <w:trPr>
          <w:trHeight w:val="587"/>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68EAE5D0"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Improve supplier visibility and resilience.</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167F568C"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Disruption, geopolitical uncertainty and input-cost changes.</w:t>
            </w:r>
          </w:p>
        </w:tc>
      </w:tr>
      <w:tr w:rsidR="00CE50FD" w:rsidRPr="00A60887" w14:paraId="70FC1316" w14:textId="77777777" w:rsidTr="00CE50FD">
        <w:trPr>
          <w:trHeight w:val="587"/>
        </w:trPr>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0" w:type="dxa"/>
              <w:bottom w:w="150" w:type="dxa"/>
              <w:right w:w="240" w:type="dxa"/>
            </w:tcMar>
            <w:vAlign w:val="center"/>
            <w:hideMark/>
          </w:tcPr>
          <w:p w14:paraId="50B8C1D7"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Use connected stores and online channels to improve convenience.</w:t>
            </w:r>
          </w:p>
        </w:tc>
        <w:tc>
          <w:tcPr>
            <w:tcW w:w="0" w:type="auto"/>
            <w:tcBorders>
              <w:top w:val="single" w:sz="24" w:space="0" w:color="EFEFEF"/>
              <w:left w:val="single" w:sz="24" w:space="0" w:color="EFEFEF"/>
              <w:bottom w:val="single" w:sz="24" w:space="0" w:color="EFEFEF"/>
              <w:right w:val="single" w:sz="24" w:space="0" w:color="EFEFEF"/>
            </w:tcBorders>
            <w:shd w:val="clear" w:color="auto" w:fill="FFFFFF"/>
            <w:tcMar>
              <w:top w:w="150" w:type="dxa"/>
              <w:left w:w="240" w:type="dxa"/>
              <w:bottom w:w="150" w:type="dxa"/>
              <w:right w:w="240" w:type="dxa"/>
            </w:tcMar>
            <w:vAlign w:val="center"/>
            <w:hideMark/>
          </w:tcPr>
          <w:p w14:paraId="5AF12A99" w14:textId="77777777" w:rsidR="00CE50FD" w:rsidRPr="00A60887" w:rsidRDefault="00CE50FD" w:rsidP="001725A3">
            <w:pPr>
              <w:spacing w:after="0" w:line="360" w:lineRule="auto"/>
              <w:rPr>
                <w:rFonts w:ascii="Segoe UI" w:eastAsia="Times New Roman" w:hAnsi="Segoe UI" w:cs="Segoe UI"/>
                <w:color w:val="3D3D3D"/>
                <w:kern w:val="0"/>
                <w:sz w:val="21"/>
                <w:szCs w:val="21"/>
                <w:lang w:eastAsia="en-GB"/>
                <w14:ligatures w14:val="none"/>
              </w:rPr>
            </w:pPr>
            <w:r w:rsidRPr="00A60887">
              <w:rPr>
                <w:rFonts w:ascii="Segoe UI" w:eastAsia="Times New Roman" w:hAnsi="Segoe UI" w:cs="Segoe UI"/>
                <w:color w:val="3D3D3D"/>
                <w:kern w:val="0"/>
                <w:sz w:val="21"/>
                <w:szCs w:val="21"/>
                <w:lang w:eastAsia="en-GB"/>
                <w14:ligatures w14:val="none"/>
              </w:rPr>
              <w:t>Reputational or regulatory risk from unsupported environmental or labour claims.</w:t>
            </w:r>
          </w:p>
        </w:tc>
      </w:tr>
    </w:tbl>
    <w:p w14:paraId="76DF3977" w14:textId="77777777" w:rsidR="00CE50FD" w:rsidRDefault="00CE50FD" w:rsidP="001725A3">
      <w:pPr>
        <w:spacing w:line="360" w:lineRule="auto"/>
        <w:jc w:val="both"/>
        <w:rPr>
          <w:rFonts w:ascii="Arial" w:hAnsi="Arial" w:cs="Arial"/>
          <w:sz w:val="22"/>
          <w:szCs w:val="22"/>
        </w:rPr>
      </w:pPr>
    </w:p>
    <w:p w14:paraId="5F4B98BA" w14:textId="1A465CDE" w:rsidR="007540DF" w:rsidRPr="007540DF" w:rsidRDefault="001725A3" w:rsidP="001725A3">
      <w:pPr>
        <w:spacing w:line="360" w:lineRule="auto"/>
        <w:jc w:val="both"/>
        <w:rPr>
          <w:rFonts w:ascii="Arial" w:hAnsi="Arial" w:cs="Arial"/>
          <w:sz w:val="22"/>
          <w:szCs w:val="22"/>
        </w:rPr>
      </w:pPr>
      <w:r w:rsidRPr="001725A3">
        <w:rPr>
          <w:rFonts w:ascii="Arial" w:hAnsi="Arial" w:cs="Arial"/>
          <w:sz w:val="22"/>
          <w:szCs w:val="22"/>
        </w:rPr>
        <w:t xml:space="preserve">NEXT has capabilities that are relevant to today's </w:t>
      </w:r>
      <w:r w:rsidRPr="001725A3">
        <w:rPr>
          <w:rFonts w:ascii="Arial" w:hAnsi="Arial" w:cs="Arial"/>
          <w:sz w:val="22"/>
          <w:szCs w:val="22"/>
        </w:rPr>
        <w:t>challenges,</w:t>
      </w:r>
      <w:r w:rsidRPr="001725A3">
        <w:rPr>
          <w:rFonts w:ascii="Arial" w:hAnsi="Arial" w:cs="Arial"/>
          <w:sz w:val="22"/>
          <w:szCs w:val="22"/>
        </w:rPr>
        <w:t xml:space="preserve"> but whose advantages are not guaranteed. It should leverage its scale and channel reach to maximize relevance and resilience and mitigate inventory, competitive, supply-chain risks.</w:t>
      </w:r>
    </w:p>
    <w:p w14:paraId="722F0C28" w14:textId="77777777" w:rsidR="007540DF" w:rsidRPr="003F20D5" w:rsidRDefault="007540DF" w:rsidP="003F20D5">
      <w:pPr>
        <w:pStyle w:val="Heading6"/>
        <w:rPr>
          <w:rFonts w:ascii="Arial" w:hAnsi="Arial" w:cs="Arial"/>
          <w:i w:val="0"/>
          <w:iCs w:val="0"/>
          <w:color w:val="auto"/>
          <w:sz w:val="22"/>
          <w:szCs w:val="22"/>
        </w:rPr>
      </w:pPr>
      <w:bookmarkStart w:id="5" w:name="_Toc242869456"/>
      <w:r w:rsidRPr="003F20D5">
        <w:rPr>
          <w:rFonts w:ascii="Arial" w:hAnsi="Arial" w:cs="Arial"/>
          <w:i w:val="0"/>
          <w:iCs w:val="0"/>
          <w:color w:val="auto"/>
          <w:sz w:val="22"/>
          <w:szCs w:val="22"/>
        </w:rPr>
        <w:t>5. Conclusion and Recommendations</w:t>
      </w:r>
      <w:bookmarkEnd w:id="5"/>
    </w:p>
    <w:p w14:paraId="42B55E6D" w14:textId="77777777"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NEXT's brand and retailing experience along with its offline and online presence makes it well placed. But it is beset by consumer choice, cost pressure, technological change, scrutiny of supply chains and environmental performance, as well as high rivalry. Its potential value is that it can coordinate assets, not one in particular. The right direction is adaptation that is customer-driven, backed by practices of digital capability, operational discipline and measurable responsibility.</w:t>
      </w:r>
    </w:p>
    <w:p w14:paraId="42F4507E" w14:textId="77777777"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 xml:space="preserve">Enhance data-driven business planning and customer experience. NEXT should strategically invest in tools to enhance forecasting, stock allocation, product suggestions and service. Each investment should be used to solve a specific problem and have a baseline measurement. Some of the indicators which are relevant include forecast accuracy, availability, markdowns, returns and customer feedback. Customer information should be used </w:t>
      </w:r>
      <w:proofErr w:type="gramStart"/>
      <w:r w:rsidRPr="001725A3">
        <w:rPr>
          <w:rFonts w:ascii="Arial" w:hAnsi="Arial" w:cs="Arial"/>
          <w:sz w:val="22"/>
          <w:szCs w:val="22"/>
        </w:rPr>
        <w:t>responsibly</w:t>
      </w:r>
      <w:proofErr w:type="gramEnd"/>
      <w:r w:rsidRPr="001725A3">
        <w:rPr>
          <w:rFonts w:ascii="Arial" w:hAnsi="Arial" w:cs="Arial"/>
          <w:sz w:val="22"/>
          <w:szCs w:val="22"/>
        </w:rPr>
        <w:t xml:space="preserve"> and technology should be used to simplify the shopping process, not make it more complicated (Schultz, 2025).</w:t>
      </w:r>
    </w:p>
    <w:p w14:paraId="31C0CF5C" w14:textId="77777777"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 xml:space="preserve">Improve the resilience and management of supply chains. NEXT should outline key supplier and product relationships, risk of disruption and contingency plans. Clear expectations of relevant labour and environmental standards should be included in supplier monitoring. The </w:t>
      </w:r>
      <w:r w:rsidRPr="001725A3">
        <w:rPr>
          <w:rFonts w:ascii="Arial" w:hAnsi="Arial" w:cs="Arial"/>
          <w:sz w:val="22"/>
          <w:szCs w:val="22"/>
        </w:rPr>
        <w:lastRenderedPageBreak/>
        <w:t>ability to select lowest cost source is not sufficient for resilience; visibility, collaboration, and alternative arrangements are also important elements of resilience (QIMA, 2026; Sagar, 2026).</w:t>
      </w:r>
    </w:p>
    <w:p w14:paraId="4CDFD13E" w14:textId="77777777"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 xml:space="preserve">Bring sustainability action to measurable. Product life cycle, waste minimisation and supply chain information should be given more attention to NEXT. In some categories, there could be a test program for resale, repair or take-back services before being broadly available. Customer uptake, operational costs, products recovered and evidence of environmental benefit should be </w:t>
      </w:r>
      <w:proofErr w:type="gramStart"/>
      <w:r w:rsidRPr="001725A3">
        <w:rPr>
          <w:rFonts w:ascii="Arial" w:hAnsi="Arial" w:cs="Arial"/>
          <w:sz w:val="22"/>
          <w:szCs w:val="22"/>
        </w:rPr>
        <w:t>taken into account</w:t>
      </w:r>
      <w:proofErr w:type="gramEnd"/>
      <w:r w:rsidRPr="001725A3">
        <w:rPr>
          <w:rFonts w:ascii="Arial" w:hAnsi="Arial" w:cs="Arial"/>
          <w:sz w:val="22"/>
          <w:szCs w:val="22"/>
        </w:rPr>
        <w:t xml:space="preserve"> in evaluation. The public claims should be clear and substantiated (NEXT plc, 2026b).</w:t>
      </w:r>
    </w:p>
    <w:p w14:paraId="416B02AD" w14:textId="77777777"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Ensure the protection of the value while avoiding over-discontinue. NEXT need to take a customer insight approach to understanding the value of price, quality, style and convenience to different groups. Information and range planning should aid in informed buying. A well-rounded suite of metrics should be used to gauge performance: customer satisfaction, availability, repeat purchases, markdowns and financial results.</w:t>
      </w:r>
    </w:p>
    <w:p w14:paraId="415287CE" w14:textId="77777777"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Named owners, milestones and regular senior-management review should be included in implementation. If there are not verified company baselines, then targets should be set using company baselines that are established by NEXT before setting numerical targets.</w:t>
      </w:r>
    </w:p>
    <w:p w14:paraId="1630C554" w14:textId="77777777" w:rsidR="001725A3" w:rsidRPr="001725A3" w:rsidRDefault="001725A3" w:rsidP="001725A3">
      <w:pPr>
        <w:spacing w:line="360" w:lineRule="auto"/>
        <w:jc w:val="both"/>
        <w:rPr>
          <w:rFonts w:ascii="Arial" w:hAnsi="Arial" w:cs="Arial"/>
          <w:sz w:val="22"/>
          <w:szCs w:val="22"/>
        </w:rPr>
      </w:pPr>
    </w:p>
    <w:p w14:paraId="68FD80EB" w14:textId="680ED2AC" w:rsidR="007540DF" w:rsidRPr="007540DF" w:rsidRDefault="001725A3" w:rsidP="001725A3">
      <w:pPr>
        <w:spacing w:line="360" w:lineRule="auto"/>
        <w:jc w:val="both"/>
        <w:rPr>
          <w:rFonts w:ascii="Arial" w:hAnsi="Arial" w:cs="Arial"/>
          <w:sz w:val="22"/>
          <w:szCs w:val="22"/>
        </w:rPr>
      </w:pPr>
      <w:r w:rsidRPr="001725A3">
        <w:rPr>
          <w:rFonts w:ascii="Arial" w:hAnsi="Arial" w:cs="Arial"/>
          <w:sz w:val="22"/>
          <w:szCs w:val="22"/>
        </w:rPr>
        <w:t>Finally, NEXT can adapt to sector change by further developing its operating model and enhancing data utilization, increasing the resilience of its supply-chains and enabling greater measurability of responsibility initiatives. If you have a change you want to make, it is better if it has been carefully tested, rather than an untested change as you are likely to encounter issues with it. These priorities need to be realised through customer value and ongoing action and implementation if they are to be successful over the longer term.</w:t>
      </w:r>
    </w:p>
    <w:p w14:paraId="0A261A72" w14:textId="77777777" w:rsidR="001725A3" w:rsidRDefault="001725A3" w:rsidP="001725A3">
      <w:pPr>
        <w:spacing w:line="360" w:lineRule="auto"/>
        <w:jc w:val="both"/>
        <w:rPr>
          <w:rFonts w:ascii="Arial" w:hAnsi="Arial" w:cs="Arial"/>
          <w:sz w:val="22"/>
          <w:szCs w:val="22"/>
        </w:rPr>
      </w:pPr>
    </w:p>
    <w:p w14:paraId="02840753" w14:textId="77777777" w:rsidR="003F20D5" w:rsidRDefault="003F20D5" w:rsidP="001725A3">
      <w:pPr>
        <w:spacing w:line="360" w:lineRule="auto"/>
        <w:jc w:val="both"/>
        <w:rPr>
          <w:rFonts w:ascii="Arial" w:hAnsi="Arial" w:cs="Arial"/>
          <w:sz w:val="22"/>
          <w:szCs w:val="22"/>
        </w:rPr>
      </w:pPr>
    </w:p>
    <w:p w14:paraId="593EF451" w14:textId="77777777" w:rsidR="003F20D5" w:rsidRDefault="003F20D5" w:rsidP="001725A3">
      <w:pPr>
        <w:spacing w:line="360" w:lineRule="auto"/>
        <w:jc w:val="both"/>
        <w:rPr>
          <w:rFonts w:ascii="Arial" w:hAnsi="Arial" w:cs="Arial"/>
          <w:sz w:val="22"/>
          <w:szCs w:val="22"/>
        </w:rPr>
      </w:pPr>
    </w:p>
    <w:p w14:paraId="6047B94C" w14:textId="1BB5024E" w:rsidR="007540DF" w:rsidRDefault="007540DF" w:rsidP="003F20D5">
      <w:pPr>
        <w:pStyle w:val="Heading7"/>
        <w:rPr>
          <w:rFonts w:ascii="Arial" w:hAnsi="Arial" w:cs="Arial"/>
          <w:color w:val="auto"/>
          <w:sz w:val="22"/>
          <w:szCs w:val="22"/>
        </w:rPr>
      </w:pPr>
      <w:bookmarkStart w:id="6" w:name="_Toc242869457"/>
      <w:r w:rsidRPr="003F20D5">
        <w:rPr>
          <w:rFonts w:ascii="Arial" w:hAnsi="Arial" w:cs="Arial"/>
          <w:color w:val="auto"/>
          <w:sz w:val="22"/>
          <w:szCs w:val="22"/>
        </w:rPr>
        <w:t>References</w:t>
      </w:r>
      <w:bookmarkEnd w:id="6"/>
    </w:p>
    <w:p w14:paraId="65B35960" w14:textId="77777777" w:rsidR="003F20D5" w:rsidRPr="003F20D5" w:rsidRDefault="003F20D5" w:rsidP="003F20D5"/>
    <w:p w14:paraId="1B4F1AA0" w14:textId="5F5F5716"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Fashion Revolution (2025) Fashion Transparency Index 2025. Available at: https://www.fashionrevolution.org/ (Accessed: 14 October 2026).</w:t>
      </w:r>
    </w:p>
    <w:p w14:paraId="286931FD" w14:textId="679CCD6B"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lastRenderedPageBreak/>
        <w:t xml:space="preserve">Johnson, G., Whittington, R., </w:t>
      </w:r>
      <w:proofErr w:type="spellStart"/>
      <w:r w:rsidRPr="001725A3">
        <w:rPr>
          <w:rFonts w:ascii="Arial" w:hAnsi="Arial" w:cs="Arial"/>
          <w:sz w:val="22"/>
          <w:szCs w:val="22"/>
        </w:rPr>
        <w:t>Regnér</w:t>
      </w:r>
      <w:proofErr w:type="spellEnd"/>
      <w:r w:rsidRPr="001725A3">
        <w:rPr>
          <w:rFonts w:ascii="Arial" w:hAnsi="Arial" w:cs="Arial"/>
          <w:sz w:val="22"/>
          <w:szCs w:val="22"/>
        </w:rPr>
        <w:t xml:space="preserve">, P., Angwin, D. and Scholes, K. (2023) Exploring Strategy: Text and Cases. 13th </w:t>
      </w:r>
      <w:proofErr w:type="spellStart"/>
      <w:r w:rsidRPr="001725A3">
        <w:rPr>
          <w:rFonts w:ascii="Arial" w:hAnsi="Arial" w:cs="Arial"/>
          <w:sz w:val="22"/>
          <w:szCs w:val="22"/>
        </w:rPr>
        <w:t>edn</w:t>
      </w:r>
      <w:proofErr w:type="spellEnd"/>
      <w:r w:rsidRPr="001725A3">
        <w:rPr>
          <w:rFonts w:ascii="Arial" w:hAnsi="Arial" w:cs="Arial"/>
          <w:sz w:val="22"/>
          <w:szCs w:val="22"/>
        </w:rPr>
        <w:t>. Harlow: Pearson.</w:t>
      </w:r>
    </w:p>
    <w:p w14:paraId="73A7FD17" w14:textId="05816754"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McKinsey &amp; Company and The Business of Fashion (2025) The State of Fashion 2026: When the Rules Change. Available at: https://www.mckinsey.com/industries/retail/our-insights/state-of-fashion (Accessed: 14 October 2026).</w:t>
      </w:r>
    </w:p>
    <w:p w14:paraId="763B0B59" w14:textId="5065B2BE"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NEXT plc (2026a) Business Model 2026. Available at: https://www.nextplc.co.uk/~/media/Files/N/next-plc-v4/documents/2026/business-model-2026.pdf (Accessed: 14 October 2026).</w:t>
      </w:r>
    </w:p>
    <w:p w14:paraId="7D785482" w14:textId="688709D3"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NEXT plc (2026b) Corporate Responsibility Report to January 2026. Available at: https://www.nextplc.co.uk/~/media/Files/N/next-plc-v4/documents/corporate-responsibility/corporate-responsibility-report-2026.pdf (Accessed: 14 October 2026).</w:t>
      </w:r>
    </w:p>
    <w:p w14:paraId="4F677CBD" w14:textId="571606FE"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NEXT plc (2026c) Annual Report and Accounts January 2026. Available at: https://www.nextplc.co.uk/~/media/Files/N/next-plc-v4/about-next/annual-report-and-a</w:t>
      </w:r>
      <w:r>
        <w:rPr>
          <w:rFonts w:ascii="Arial" w:hAnsi="Arial" w:cs="Arial"/>
          <w:sz w:val="22"/>
          <w:szCs w:val="22"/>
        </w:rPr>
        <w:t>c</w:t>
      </w:r>
      <w:r w:rsidRPr="001725A3">
        <w:rPr>
          <w:rFonts w:ascii="Arial" w:hAnsi="Arial" w:cs="Arial"/>
          <w:sz w:val="22"/>
          <w:szCs w:val="22"/>
        </w:rPr>
        <w:t>counts-jan-2026.pdf (Accessed: 14 October 2026).</w:t>
      </w:r>
    </w:p>
    <w:p w14:paraId="56B18BF5" w14:textId="031734F7"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Porter, M.E. (2008) ‘The five competitive forces that shape strategy’, Harvard Business Review, 86(1), pp. 78–93. Note: this source falls outside the five-year limit.</w:t>
      </w:r>
    </w:p>
    <w:p w14:paraId="34036714" w14:textId="2C57906B"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QIMA (2026) Supply chain strategy for the fashion industry. Available at: https://www.qima.com/blog/textile/fashion-supply-chain-strategies (Accessed: 14 October 2026).</w:t>
      </w:r>
    </w:p>
    <w:p w14:paraId="7AE826B0" w14:textId="364C248D"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Sagar, A.H. (2026) ‘Resilience practices and environmental sustainability in fashion supply chains’, Corporate Social Responsibility and Environmental Management. Available at: https://onlinelibrary.wiley.com/doi/full/10.1002/csr.70208 (Accessed: 14 October 2026).</w:t>
      </w:r>
    </w:p>
    <w:p w14:paraId="0CAF527E" w14:textId="2223113D"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Schultz, C.D. (2025) ‘Reimagining retail: Technology at the frontline, across the organisation and beyond’, Journal of Retailing and Consumer Services. Available at: https://www.sciencedirect.com/science/article/pii/S0969698925002280 (Accessed: 14 October 2026).</w:t>
      </w:r>
    </w:p>
    <w:p w14:paraId="37F61666" w14:textId="365906BC"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Spring Fair (2026) UK fashion revenue and consumer-spending estimates. Publication details and source URL to be confirmed.</w:t>
      </w:r>
    </w:p>
    <w:p w14:paraId="281FB76E" w14:textId="10642F45"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t>Strategy&amp; (2026) Fashion retail outlook 2026. Available at: https://www.strategyand.pwc.com/de/en/industries/consumer-markets/fashion-retail-outlook.html (Accessed: 14 October 2026).</w:t>
      </w:r>
    </w:p>
    <w:p w14:paraId="3E1AD7B4" w14:textId="6E761CCA" w:rsidR="001725A3" w:rsidRPr="001725A3" w:rsidRDefault="001725A3" w:rsidP="001725A3">
      <w:pPr>
        <w:spacing w:line="360" w:lineRule="auto"/>
        <w:jc w:val="both"/>
        <w:rPr>
          <w:rFonts w:ascii="Arial" w:hAnsi="Arial" w:cs="Arial"/>
          <w:sz w:val="22"/>
          <w:szCs w:val="22"/>
        </w:rPr>
      </w:pPr>
      <w:r w:rsidRPr="001725A3">
        <w:rPr>
          <w:rFonts w:ascii="Arial" w:hAnsi="Arial" w:cs="Arial"/>
          <w:sz w:val="22"/>
          <w:szCs w:val="22"/>
        </w:rPr>
        <w:lastRenderedPageBreak/>
        <w:t>Vogue Business (2026) The forces that will shape fashion’s supply chains in 2026. Available at: https://www.vogue.com/article/the-forces-that-will-shape-fashions-supply-chains-in-2026 (Accessed: 14 October 2026).</w:t>
      </w:r>
    </w:p>
    <w:p w14:paraId="04DBA13C" w14:textId="26D1F2E1" w:rsidR="007540DF" w:rsidRPr="007540DF" w:rsidRDefault="001725A3" w:rsidP="001725A3">
      <w:pPr>
        <w:spacing w:line="360" w:lineRule="auto"/>
        <w:jc w:val="both"/>
        <w:rPr>
          <w:rFonts w:ascii="Arial" w:hAnsi="Arial" w:cs="Arial"/>
          <w:sz w:val="22"/>
          <w:szCs w:val="22"/>
        </w:rPr>
      </w:pPr>
      <w:proofErr w:type="spellStart"/>
      <w:r w:rsidRPr="001725A3">
        <w:rPr>
          <w:rFonts w:ascii="Arial" w:hAnsi="Arial" w:cs="Arial"/>
          <w:sz w:val="22"/>
          <w:szCs w:val="22"/>
        </w:rPr>
        <w:t>Whatfix</w:t>
      </w:r>
      <w:proofErr w:type="spellEnd"/>
      <w:r w:rsidRPr="001725A3">
        <w:rPr>
          <w:rFonts w:ascii="Arial" w:hAnsi="Arial" w:cs="Arial"/>
          <w:sz w:val="22"/>
          <w:szCs w:val="22"/>
        </w:rPr>
        <w:t xml:space="preserve"> (2026) Digital transformation in the retail industry in 2026. Available at: https://whatfix.com/blog/retail-digital-transformation/ (Accessed: 14 October 2026).</w:t>
      </w:r>
    </w:p>
    <w:sectPr w:rsidR="007540DF" w:rsidRPr="007540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5FC"/>
    <w:rsid w:val="001725A3"/>
    <w:rsid w:val="003F20D5"/>
    <w:rsid w:val="006F574A"/>
    <w:rsid w:val="007540DF"/>
    <w:rsid w:val="008D5831"/>
    <w:rsid w:val="008E548E"/>
    <w:rsid w:val="009729AF"/>
    <w:rsid w:val="00A672E8"/>
    <w:rsid w:val="00A8480E"/>
    <w:rsid w:val="00AE35FC"/>
    <w:rsid w:val="00C34197"/>
    <w:rsid w:val="00CE50FD"/>
    <w:rsid w:val="00E50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C652A"/>
  <w15:chartTrackingRefBased/>
  <w15:docId w15:val="{7C5D02FD-E8A9-4D5A-BC3E-52E9F1758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5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5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5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5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5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5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5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5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5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5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35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5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5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5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5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5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5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5FC"/>
    <w:rPr>
      <w:rFonts w:eastAsiaTheme="majorEastAsia" w:cstheme="majorBidi"/>
      <w:color w:val="272727" w:themeColor="text1" w:themeTint="D8"/>
    </w:rPr>
  </w:style>
  <w:style w:type="paragraph" w:styleId="Title">
    <w:name w:val="Title"/>
    <w:basedOn w:val="Normal"/>
    <w:next w:val="Normal"/>
    <w:link w:val="TitleChar"/>
    <w:uiPriority w:val="10"/>
    <w:qFormat/>
    <w:rsid w:val="00AE35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5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5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5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5FC"/>
    <w:pPr>
      <w:spacing w:before="160"/>
      <w:jc w:val="center"/>
    </w:pPr>
    <w:rPr>
      <w:i/>
      <w:iCs/>
      <w:color w:val="404040" w:themeColor="text1" w:themeTint="BF"/>
    </w:rPr>
  </w:style>
  <w:style w:type="character" w:customStyle="1" w:styleId="QuoteChar">
    <w:name w:val="Quote Char"/>
    <w:basedOn w:val="DefaultParagraphFont"/>
    <w:link w:val="Quote"/>
    <w:uiPriority w:val="29"/>
    <w:rsid w:val="00AE35FC"/>
    <w:rPr>
      <w:i/>
      <w:iCs/>
      <w:color w:val="404040" w:themeColor="text1" w:themeTint="BF"/>
    </w:rPr>
  </w:style>
  <w:style w:type="paragraph" w:styleId="ListParagraph">
    <w:name w:val="List Paragraph"/>
    <w:basedOn w:val="Normal"/>
    <w:uiPriority w:val="34"/>
    <w:qFormat/>
    <w:rsid w:val="00AE35FC"/>
    <w:pPr>
      <w:ind w:left="720"/>
      <w:contextualSpacing/>
    </w:pPr>
  </w:style>
  <w:style w:type="character" w:styleId="IntenseEmphasis">
    <w:name w:val="Intense Emphasis"/>
    <w:basedOn w:val="DefaultParagraphFont"/>
    <w:uiPriority w:val="21"/>
    <w:qFormat/>
    <w:rsid w:val="00AE35FC"/>
    <w:rPr>
      <w:i/>
      <w:iCs/>
      <w:color w:val="0F4761" w:themeColor="accent1" w:themeShade="BF"/>
    </w:rPr>
  </w:style>
  <w:style w:type="paragraph" w:styleId="IntenseQuote">
    <w:name w:val="Intense Quote"/>
    <w:basedOn w:val="Normal"/>
    <w:next w:val="Normal"/>
    <w:link w:val="IntenseQuoteChar"/>
    <w:uiPriority w:val="30"/>
    <w:qFormat/>
    <w:rsid w:val="00AE35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5FC"/>
    <w:rPr>
      <w:i/>
      <w:iCs/>
      <w:color w:val="0F4761" w:themeColor="accent1" w:themeShade="BF"/>
    </w:rPr>
  </w:style>
  <w:style w:type="character" w:styleId="IntenseReference">
    <w:name w:val="Intense Reference"/>
    <w:basedOn w:val="DefaultParagraphFont"/>
    <w:uiPriority w:val="32"/>
    <w:qFormat/>
    <w:rsid w:val="00AE35FC"/>
    <w:rPr>
      <w:b/>
      <w:bCs/>
      <w:smallCaps/>
      <w:color w:val="0F4761" w:themeColor="accent1" w:themeShade="BF"/>
      <w:spacing w:val="5"/>
    </w:rPr>
  </w:style>
  <w:style w:type="paragraph" w:styleId="TOC1">
    <w:name w:val="toc 1"/>
    <w:basedOn w:val="Normal"/>
    <w:next w:val="Normal"/>
    <w:autoRedefine/>
    <w:uiPriority w:val="39"/>
    <w:unhideWhenUsed/>
    <w:rsid w:val="003F20D5"/>
    <w:pPr>
      <w:spacing w:after="100"/>
    </w:pPr>
  </w:style>
  <w:style w:type="paragraph" w:styleId="TOC2">
    <w:name w:val="toc 2"/>
    <w:basedOn w:val="Normal"/>
    <w:next w:val="Normal"/>
    <w:autoRedefine/>
    <w:uiPriority w:val="39"/>
    <w:unhideWhenUsed/>
    <w:rsid w:val="003F20D5"/>
    <w:pPr>
      <w:spacing w:after="100"/>
      <w:ind w:left="240"/>
    </w:pPr>
  </w:style>
  <w:style w:type="character" w:styleId="Hyperlink">
    <w:name w:val="Hyperlink"/>
    <w:basedOn w:val="DefaultParagraphFont"/>
    <w:uiPriority w:val="99"/>
    <w:unhideWhenUsed/>
    <w:rsid w:val="003F20D5"/>
    <w:rPr>
      <w:color w:val="467886" w:themeColor="hyperlink"/>
      <w:u w:val="single"/>
    </w:rPr>
  </w:style>
  <w:style w:type="paragraph" w:styleId="TOC3">
    <w:name w:val="toc 3"/>
    <w:basedOn w:val="Normal"/>
    <w:next w:val="Normal"/>
    <w:autoRedefine/>
    <w:uiPriority w:val="39"/>
    <w:unhideWhenUsed/>
    <w:rsid w:val="003F20D5"/>
    <w:pPr>
      <w:spacing w:after="100"/>
      <w:ind w:left="480"/>
    </w:pPr>
  </w:style>
  <w:style w:type="paragraph" w:styleId="TOC4">
    <w:name w:val="toc 4"/>
    <w:basedOn w:val="Normal"/>
    <w:next w:val="Normal"/>
    <w:autoRedefine/>
    <w:uiPriority w:val="39"/>
    <w:unhideWhenUsed/>
    <w:rsid w:val="003F20D5"/>
    <w:pPr>
      <w:spacing w:after="100"/>
      <w:ind w:left="720"/>
    </w:pPr>
  </w:style>
  <w:style w:type="paragraph" w:styleId="TOC5">
    <w:name w:val="toc 5"/>
    <w:basedOn w:val="Normal"/>
    <w:next w:val="Normal"/>
    <w:autoRedefine/>
    <w:uiPriority w:val="39"/>
    <w:unhideWhenUsed/>
    <w:rsid w:val="003F20D5"/>
    <w:pPr>
      <w:spacing w:after="100"/>
      <w:ind w:left="960"/>
    </w:pPr>
  </w:style>
  <w:style w:type="paragraph" w:styleId="TOC6">
    <w:name w:val="toc 6"/>
    <w:basedOn w:val="Normal"/>
    <w:next w:val="Normal"/>
    <w:autoRedefine/>
    <w:uiPriority w:val="39"/>
    <w:unhideWhenUsed/>
    <w:rsid w:val="003F20D5"/>
    <w:pPr>
      <w:spacing w:after="100"/>
      <w:ind w:left="1200"/>
    </w:pPr>
  </w:style>
  <w:style w:type="paragraph" w:styleId="TOC7">
    <w:name w:val="toc 7"/>
    <w:basedOn w:val="Normal"/>
    <w:next w:val="Normal"/>
    <w:autoRedefine/>
    <w:uiPriority w:val="39"/>
    <w:unhideWhenUsed/>
    <w:rsid w:val="003F20D5"/>
    <w:pPr>
      <w:spacing w:after="100"/>
      <w:ind w:left="1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399183-3552-4676-8DC5-70549D402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13</Pages>
  <Words>3462</Words>
  <Characters>19734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Octavian-George Stoica (2330278)</dc:creator>
  <cp:keywords/>
  <dc:description/>
  <cp:lastModifiedBy>Octavian-George Stoica (2330278)</cp:lastModifiedBy>
  <cp:revision>1</cp:revision>
  <dcterms:created xsi:type="dcterms:W3CDTF">2026-10-14T08:28:00Z</dcterms:created>
  <dcterms:modified xsi:type="dcterms:W3CDTF">2026-10-14T10:24:00Z</dcterms:modified>
</cp:coreProperties>
</file>