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7ACC7" w14:textId="77777777" w:rsidR="002513E9" w:rsidRPr="002513E9" w:rsidRDefault="002513E9">
      <w:pPr>
        <w:jc w:val="center"/>
        <w:rPr>
          <w:lang w:val="en-GB"/>
        </w:rPr>
      </w:pPr>
    </w:p>
    <w:p w14:paraId="6D0BC5E1" w14:textId="77777777" w:rsidR="002513E9" w:rsidRPr="002513E9" w:rsidRDefault="002513E9">
      <w:pPr>
        <w:jc w:val="center"/>
        <w:rPr>
          <w:lang w:val="en-GB"/>
        </w:rPr>
      </w:pPr>
    </w:p>
    <w:p w14:paraId="3460F2F5" w14:textId="77777777" w:rsidR="002513E9" w:rsidRPr="002513E9" w:rsidRDefault="002513E9">
      <w:pPr>
        <w:jc w:val="center"/>
        <w:rPr>
          <w:lang w:val="en-GB"/>
        </w:rPr>
      </w:pPr>
    </w:p>
    <w:p w14:paraId="54C8B4E2" w14:textId="77B34B69" w:rsidR="00EF36F0" w:rsidRPr="002513E9" w:rsidRDefault="00000000">
      <w:pPr>
        <w:jc w:val="center"/>
        <w:rPr>
          <w:lang w:val="en-GB"/>
        </w:rPr>
      </w:pPr>
      <w:r w:rsidRPr="002513E9">
        <w:rPr>
          <w:noProof/>
          <w:lang w:val="en-GB"/>
        </w:rPr>
        <w:drawing>
          <wp:inline distT="0" distB="0" distL="114300" distR="114300" wp14:anchorId="66346C4C" wp14:editId="042B7C73">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32D03485" w14:textId="77777777" w:rsidR="00EF36F0" w:rsidRPr="002513E9" w:rsidRDefault="00EF36F0">
      <w:pPr>
        <w:rPr>
          <w:lang w:val="en-GB"/>
        </w:rPr>
      </w:pPr>
    </w:p>
    <w:p w14:paraId="787B93CD" w14:textId="77777777" w:rsidR="00EF36F0" w:rsidRPr="002513E9" w:rsidRDefault="00EF36F0">
      <w:pPr>
        <w:rPr>
          <w:lang w:val="en-GB"/>
        </w:rPr>
      </w:pPr>
    </w:p>
    <w:p w14:paraId="37E2163C" w14:textId="77777777" w:rsidR="00EF36F0" w:rsidRPr="002513E9" w:rsidRDefault="00EF36F0">
      <w:pPr>
        <w:rPr>
          <w:lang w:val="en-GB"/>
        </w:rPr>
      </w:pPr>
    </w:p>
    <w:p w14:paraId="777BD1E3"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36"/>
          <w:szCs w:val="36"/>
          <w:lang w:val="en-GB"/>
        </w:rPr>
      </w:pPr>
      <w:r w:rsidRPr="002513E9">
        <w:rPr>
          <w:rFonts w:ascii="Times New Roman" w:eastAsia="Times New Roman" w:hAnsi="Times New Roman" w:cs="Times New Roman"/>
          <w:b/>
          <w:bCs/>
          <w:sz w:val="36"/>
          <w:szCs w:val="36"/>
          <w:lang w:val="en-GB"/>
        </w:rPr>
        <w:t>Master of Business Administration</w:t>
      </w:r>
    </w:p>
    <w:p w14:paraId="642FE65A" w14:textId="77777777" w:rsidR="00EF36F0" w:rsidRPr="002513E9" w:rsidRDefault="00EF36F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p>
    <w:p w14:paraId="1CA4F253" w14:textId="77777777" w:rsidR="00EF36F0" w:rsidRPr="002513E9" w:rsidRDefault="00EF36F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p>
    <w:p w14:paraId="7EF115A4"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Module: Marketing Management</w:t>
      </w:r>
    </w:p>
    <w:p w14:paraId="01D83D54"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Module code: LCMB7024</w:t>
      </w:r>
    </w:p>
    <w:p w14:paraId="5FB55FA9"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Lecturer: Laila Maazouz (London), Taonga Kaonga Sobere- Snithers (Birmingham)</w:t>
      </w:r>
    </w:p>
    <w:p w14:paraId="4C23AD50" w14:textId="77777777" w:rsidR="00EF36F0" w:rsidRPr="002513E9" w:rsidRDefault="00EF36F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p>
    <w:p w14:paraId="0FBCBB85"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 xml:space="preserve">Student’s name: </w:t>
      </w:r>
    </w:p>
    <w:p w14:paraId="56728E8B"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Student’s ID:</w:t>
      </w:r>
    </w:p>
    <w:p w14:paraId="03D3514D"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Final word count:</w:t>
      </w:r>
    </w:p>
    <w:p w14:paraId="5CE2B28A" w14:textId="77777777" w:rsidR="00EF36F0" w:rsidRPr="002513E9" w:rsidRDefault="00000000">
      <w:pPr>
        <w:widowControl w:val="0"/>
        <w:tabs>
          <w:tab w:val="left" w:pos="940"/>
          <w:tab w:val="left" w:pos="941"/>
        </w:tabs>
        <w:spacing w:line="360" w:lineRule="auto"/>
        <w:jc w:val="center"/>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 xml:space="preserve">Submission date: </w:t>
      </w:r>
    </w:p>
    <w:p w14:paraId="7FE8417A" w14:textId="77777777" w:rsidR="00EF36F0" w:rsidRPr="002513E9" w:rsidRDefault="00EF36F0">
      <w:pPr>
        <w:rPr>
          <w:lang w:val="en-GB"/>
        </w:rPr>
      </w:pPr>
    </w:p>
    <w:p w14:paraId="0C24F45D" w14:textId="77777777" w:rsidR="00EF36F0" w:rsidRPr="002513E9" w:rsidRDefault="00EF36F0">
      <w:pPr>
        <w:rPr>
          <w:lang w:val="en-GB"/>
        </w:rPr>
      </w:pPr>
    </w:p>
    <w:p w14:paraId="00BF3DD3" w14:textId="77777777" w:rsidR="00EF36F0" w:rsidRPr="002513E9" w:rsidRDefault="00EF36F0">
      <w:pPr>
        <w:rPr>
          <w:lang w:val="en-GB"/>
        </w:rPr>
      </w:pPr>
    </w:p>
    <w:p w14:paraId="43B3774F" w14:textId="77777777" w:rsidR="00EF36F0" w:rsidRPr="002513E9" w:rsidRDefault="00000000">
      <w:pPr>
        <w:spacing w:line="360" w:lineRule="auto"/>
        <w:rPr>
          <w:rFonts w:ascii="Times New Roman" w:eastAsia="Times New Roman" w:hAnsi="Times New Roman" w:cs="Times New Roman"/>
          <w:sz w:val="24"/>
          <w:szCs w:val="24"/>
          <w:lang w:val="en-GB"/>
        </w:rPr>
      </w:pPr>
      <w:r w:rsidRPr="002513E9">
        <w:rPr>
          <w:lang w:val="en-GB"/>
        </w:rPr>
        <w:br w:type="page"/>
      </w:r>
    </w:p>
    <w:p w14:paraId="1326EC1D" w14:textId="407461F5" w:rsidR="00596038" w:rsidRPr="002513E9" w:rsidRDefault="00596038" w:rsidP="00596038">
      <w:pPr>
        <w:spacing w:line="360" w:lineRule="auto"/>
        <w:jc w:val="center"/>
        <w:rPr>
          <w:rFonts w:ascii="Times New Roman" w:eastAsia="Times New Roman" w:hAnsi="Times New Roman" w:cs="Times New Roman"/>
          <w:b/>
          <w:bCs/>
          <w:sz w:val="26"/>
          <w:szCs w:val="26"/>
          <w:lang w:val="en-GB"/>
        </w:rPr>
      </w:pPr>
      <w:r w:rsidRPr="002513E9">
        <w:rPr>
          <w:rFonts w:ascii="Times New Roman" w:eastAsia="Times New Roman" w:hAnsi="Times New Roman" w:cs="Times New Roman"/>
          <w:b/>
          <w:bCs/>
          <w:sz w:val="26"/>
          <w:szCs w:val="26"/>
          <w:lang w:val="en-GB"/>
        </w:rPr>
        <w:lastRenderedPageBreak/>
        <w:t>Executive summary</w:t>
      </w:r>
    </w:p>
    <w:p w14:paraId="6CEFA406" w14:textId="4733E043" w:rsidR="00596038" w:rsidRPr="002513E9" w:rsidRDefault="00596038" w:rsidP="00596038">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The following report examines how environmental pressures, government regulations and changing customer expectations influence the marketing strategy of Tata Steel and its transition towards lower-carbon steel production. These external actors are evaluated and Ansoff’s Matrix is applied </w:t>
      </w:r>
      <w:r w:rsidR="002513E9" w:rsidRPr="002513E9">
        <w:rPr>
          <w:rFonts w:ascii="Times New Roman" w:eastAsia="Times New Roman" w:hAnsi="Times New Roman" w:cs="Times New Roman"/>
          <w:sz w:val="24"/>
          <w:szCs w:val="24"/>
          <w:lang w:val="en-GB"/>
        </w:rPr>
        <w:t>to</w:t>
      </w:r>
      <w:r w:rsidRPr="002513E9">
        <w:rPr>
          <w:rFonts w:ascii="Times New Roman" w:eastAsia="Times New Roman" w:hAnsi="Times New Roman" w:cs="Times New Roman"/>
          <w:sz w:val="24"/>
          <w:szCs w:val="24"/>
          <w:lang w:val="en-GB"/>
        </w:rPr>
        <w:t xml:space="preserve"> identify suitable growth opportunities. Product development is recommended as the primary strategy, which is supported by market penetration, market development and selective diversification. Key actions include investing in low-carbon technologies, improving scrap utilisation, strengthening customer partnerships and increasing emissions transparency. However, the implementation involves cost, technology and demand-related risks, a phased investment approach can help Tata Steel to improve sustainability.</w:t>
      </w:r>
    </w:p>
    <w:p w14:paraId="3B190556" w14:textId="77777777" w:rsidR="00596038" w:rsidRPr="002513E9" w:rsidRDefault="00596038">
      <w:pPr>
        <w:rPr>
          <w:rFonts w:ascii="Times New Roman" w:eastAsia="Times New Roman" w:hAnsi="Times New Roman" w:cs="Times New Roman"/>
          <w:b/>
          <w:bCs/>
          <w:sz w:val="26"/>
          <w:szCs w:val="26"/>
          <w:lang w:val="en-GB"/>
        </w:rPr>
      </w:pPr>
      <w:r w:rsidRPr="002513E9">
        <w:rPr>
          <w:rFonts w:ascii="Times New Roman" w:eastAsia="Times New Roman" w:hAnsi="Times New Roman" w:cs="Times New Roman"/>
          <w:b/>
          <w:bCs/>
          <w:sz w:val="26"/>
          <w:szCs w:val="26"/>
          <w:lang w:val="en-GB"/>
        </w:rPr>
        <w:br w:type="page"/>
      </w:r>
    </w:p>
    <w:p w14:paraId="56F4D941" w14:textId="4BDEBD82" w:rsidR="00EF36F0" w:rsidRPr="002513E9" w:rsidRDefault="00000000">
      <w:pPr>
        <w:spacing w:line="360" w:lineRule="auto"/>
        <w:jc w:val="center"/>
        <w:rPr>
          <w:rFonts w:ascii="Times New Roman" w:eastAsia="Times New Roman" w:hAnsi="Times New Roman" w:cs="Times New Roman"/>
          <w:sz w:val="24"/>
          <w:szCs w:val="24"/>
          <w:lang w:val="en-GB"/>
        </w:rPr>
      </w:pPr>
      <w:r w:rsidRPr="002513E9">
        <w:rPr>
          <w:rFonts w:ascii="Times New Roman" w:eastAsia="Times New Roman" w:hAnsi="Times New Roman" w:cs="Times New Roman"/>
          <w:b/>
          <w:bCs/>
          <w:sz w:val="26"/>
          <w:szCs w:val="26"/>
          <w:lang w:val="en-GB"/>
        </w:rPr>
        <w:lastRenderedPageBreak/>
        <w:t>Table of Contents</w:t>
      </w:r>
    </w:p>
    <w:sdt>
      <w:sdtPr>
        <w:rPr>
          <w:lang w:val="en-GB"/>
        </w:rPr>
        <w:id w:val="297951963"/>
        <w:docPartObj>
          <w:docPartGallery w:val="Table of Contents"/>
          <w:docPartUnique/>
        </w:docPartObj>
      </w:sdtPr>
      <w:sdtContent>
        <w:p w14:paraId="0A3F89D4"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r w:rsidRPr="002513E9">
            <w:rPr>
              <w:lang w:val="en-GB"/>
            </w:rPr>
            <w:fldChar w:fldCharType="begin"/>
          </w:r>
          <w:r w:rsidR="00000000" w:rsidRPr="002513E9">
            <w:rPr>
              <w:lang w:val="en-GB"/>
            </w:rPr>
            <w:instrText xml:space="preserve"> TOC \h \u \z \t "Heading 1,1,Heading 2,2,Heading 3,3,Heading 4,4,Heading 5,5,Heading 6,6,"</w:instrText>
          </w:r>
          <w:r w:rsidRPr="002513E9">
            <w:rPr>
              <w:lang w:val="en-GB"/>
            </w:rPr>
            <w:fldChar w:fldCharType="separate"/>
          </w:r>
          <w:hyperlink w:anchor="_heading=h.3pfxjpsik861">
            <w:r w:rsidRPr="002513E9">
              <w:rPr>
                <w:rFonts w:ascii="Times New Roman" w:eastAsia="Times New Roman" w:hAnsi="Times New Roman" w:cs="Times New Roman"/>
                <w:color w:val="000000"/>
                <w:sz w:val="24"/>
                <w:szCs w:val="24"/>
                <w:lang w:val="en-GB"/>
              </w:rPr>
              <w:t>Introduction</w:t>
            </w:r>
            <w:r w:rsidRPr="002513E9">
              <w:rPr>
                <w:rFonts w:ascii="Times New Roman" w:eastAsia="Times New Roman" w:hAnsi="Times New Roman" w:cs="Times New Roman"/>
                <w:color w:val="000000"/>
                <w:sz w:val="24"/>
                <w:szCs w:val="24"/>
                <w:lang w:val="en-GB"/>
              </w:rPr>
              <w:tab/>
              <w:t>3</w:t>
            </w:r>
          </w:hyperlink>
        </w:p>
        <w:p w14:paraId="42973D1E"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hyperlink w:anchor="_heading=h.tirph6284roz">
            <w:r w:rsidRPr="002513E9">
              <w:rPr>
                <w:rFonts w:ascii="Times New Roman" w:eastAsia="Times New Roman" w:hAnsi="Times New Roman" w:cs="Times New Roman"/>
                <w:color w:val="000000"/>
                <w:sz w:val="24"/>
                <w:szCs w:val="24"/>
                <w:lang w:val="en-GB"/>
              </w:rPr>
              <w:t>Task 1: Marketing Environment Analysis</w:t>
            </w:r>
            <w:r w:rsidRPr="002513E9">
              <w:rPr>
                <w:rFonts w:ascii="Times New Roman" w:eastAsia="Times New Roman" w:hAnsi="Times New Roman" w:cs="Times New Roman"/>
                <w:color w:val="000000"/>
                <w:sz w:val="24"/>
                <w:szCs w:val="24"/>
                <w:lang w:val="en-GB"/>
              </w:rPr>
              <w:tab/>
              <w:t>3</w:t>
            </w:r>
          </w:hyperlink>
        </w:p>
        <w:p w14:paraId="3F107D18"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hyperlink w:anchor="_heading=h.x0xddb7d3twx">
            <w:r w:rsidRPr="002513E9">
              <w:rPr>
                <w:rFonts w:ascii="Times New Roman" w:eastAsia="Times New Roman" w:hAnsi="Times New Roman" w:cs="Times New Roman"/>
                <w:color w:val="000000"/>
                <w:sz w:val="24"/>
                <w:szCs w:val="24"/>
                <w:lang w:val="en-GB"/>
              </w:rPr>
              <w:t>Task 2: Strategic Growth and Competitive Positioning</w:t>
            </w:r>
            <w:r w:rsidRPr="002513E9">
              <w:rPr>
                <w:rFonts w:ascii="Times New Roman" w:eastAsia="Times New Roman" w:hAnsi="Times New Roman" w:cs="Times New Roman"/>
                <w:color w:val="000000"/>
                <w:sz w:val="24"/>
                <w:szCs w:val="24"/>
                <w:lang w:val="en-GB"/>
              </w:rPr>
              <w:tab/>
              <w:t>6</w:t>
            </w:r>
          </w:hyperlink>
        </w:p>
        <w:p w14:paraId="769BC959"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hyperlink w:anchor="_heading=h.pg5ky2so48ih">
            <w:r w:rsidRPr="002513E9">
              <w:rPr>
                <w:rFonts w:ascii="Times New Roman" w:eastAsia="Times New Roman" w:hAnsi="Times New Roman" w:cs="Times New Roman"/>
                <w:color w:val="000000"/>
                <w:sz w:val="24"/>
                <w:szCs w:val="24"/>
                <w:lang w:val="en-GB"/>
              </w:rPr>
              <w:t>Task 3: Managerial and Professional Reflection</w:t>
            </w:r>
            <w:r w:rsidRPr="002513E9">
              <w:rPr>
                <w:rFonts w:ascii="Times New Roman" w:eastAsia="Times New Roman" w:hAnsi="Times New Roman" w:cs="Times New Roman"/>
                <w:color w:val="000000"/>
                <w:sz w:val="24"/>
                <w:szCs w:val="24"/>
                <w:lang w:val="en-GB"/>
              </w:rPr>
              <w:tab/>
              <w:t>9</w:t>
            </w:r>
          </w:hyperlink>
        </w:p>
        <w:p w14:paraId="51884E0C"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hyperlink w:anchor="_heading=h.q17idrjsxhuo">
            <w:r w:rsidRPr="002513E9">
              <w:rPr>
                <w:rFonts w:ascii="Times New Roman" w:eastAsia="Times New Roman" w:hAnsi="Times New Roman" w:cs="Times New Roman"/>
                <w:color w:val="000000"/>
                <w:sz w:val="24"/>
                <w:szCs w:val="24"/>
                <w:lang w:val="en-GB"/>
              </w:rPr>
              <w:t>Conclusion</w:t>
            </w:r>
            <w:r w:rsidRPr="002513E9">
              <w:rPr>
                <w:rFonts w:ascii="Times New Roman" w:eastAsia="Times New Roman" w:hAnsi="Times New Roman" w:cs="Times New Roman"/>
                <w:color w:val="000000"/>
                <w:sz w:val="24"/>
                <w:szCs w:val="24"/>
                <w:lang w:val="en-GB"/>
              </w:rPr>
              <w:tab/>
              <w:t>10</w:t>
            </w:r>
          </w:hyperlink>
        </w:p>
        <w:p w14:paraId="7526FFCB" w14:textId="77777777" w:rsidR="00EF36F0" w:rsidRPr="002513E9" w:rsidRDefault="00EF36F0">
          <w:pPr>
            <w:widowControl w:val="0"/>
            <w:tabs>
              <w:tab w:val="right" w:leader="dot" w:pos="12000"/>
            </w:tabs>
            <w:spacing w:before="60" w:line="360" w:lineRule="auto"/>
            <w:rPr>
              <w:rFonts w:ascii="Times New Roman" w:eastAsia="Times New Roman" w:hAnsi="Times New Roman" w:cs="Times New Roman"/>
              <w:color w:val="000000"/>
              <w:sz w:val="24"/>
              <w:szCs w:val="24"/>
              <w:lang w:val="en-GB"/>
            </w:rPr>
          </w:pPr>
          <w:hyperlink w:anchor="_heading=h.dbyx1erpbczr">
            <w:r w:rsidRPr="002513E9">
              <w:rPr>
                <w:rFonts w:ascii="Times New Roman" w:eastAsia="Times New Roman" w:hAnsi="Times New Roman" w:cs="Times New Roman"/>
                <w:color w:val="000000"/>
                <w:sz w:val="24"/>
                <w:szCs w:val="24"/>
                <w:lang w:val="en-GB"/>
              </w:rPr>
              <w:t>References</w:t>
            </w:r>
            <w:r w:rsidRPr="002513E9">
              <w:rPr>
                <w:rFonts w:ascii="Times New Roman" w:eastAsia="Times New Roman" w:hAnsi="Times New Roman" w:cs="Times New Roman"/>
                <w:color w:val="000000"/>
                <w:sz w:val="24"/>
                <w:szCs w:val="24"/>
                <w:lang w:val="en-GB"/>
              </w:rPr>
              <w:tab/>
              <w:t>11</w:t>
            </w:r>
          </w:hyperlink>
          <w:r w:rsidRPr="002513E9">
            <w:rPr>
              <w:lang w:val="en-GB"/>
            </w:rPr>
            <w:fldChar w:fldCharType="end"/>
          </w:r>
        </w:p>
      </w:sdtContent>
    </w:sdt>
    <w:p w14:paraId="742FFBFD" w14:textId="77777777" w:rsidR="00EF36F0" w:rsidRPr="002513E9" w:rsidRDefault="00EF36F0">
      <w:pPr>
        <w:spacing w:line="360" w:lineRule="auto"/>
        <w:jc w:val="center"/>
        <w:rPr>
          <w:rFonts w:ascii="Times New Roman" w:eastAsia="Times New Roman" w:hAnsi="Times New Roman" w:cs="Times New Roman"/>
          <w:sz w:val="24"/>
          <w:szCs w:val="24"/>
          <w:lang w:val="en-GB"/>
        </w:rPr>
      </w:pPr>
    </w:p>
    <w:p w14:paraId="6FE312D1" w14:textId="77777777" w:rsidR="00EF36F0" w:rsidRPr="002513E9" w:rsidRDefault="00EF36F0">
      <w:pPr>
        <w:spacing w:line="360" w:lineRule="auto"/>
        <w:jc w:val="center"/>
        <w:rPr>
          <w:rFonts w:ascii="Times New Roman" w:eastAsia="Times New Roman" w:hAnsi="Times New Roman" w:cs="Times New Roman"/>
          <w:sz w:val="24"/>
          <w:szCs w:val="24"/>
          <w:lang w:val="en-GB"/>
        </w:rPr>
      </w:pPr>
    </w:p>
    <w:p w14:paraId="7555CA24" w14:textId="77777777" w:rsidR="00EF36F0" w:rsidRPr="002513E9" w:rsidRDefault="00EF36F0">
      <w:pPr>
        <w:spacing w:line="360" w:lineRule="auto"/>
        <w:jc w:val="center"/>
        <w:rPr>
          <w:rFonts w:ascii="Times New Roman" w:eastAsia="Times New Roman" w:hAnsi="Times New Roman" w:cs="Times New Roman"/>
          <w:sz w:val="24"/>
          <w:szCs w:val="24"/>
          <w:lang w:val="en-GB"/>
        </w:rPr>
      </w:pPr>
    </w:p>
    <w:p w14:paraId="7738CEC5" w14:textId="77777777" w:rsidR="00EF36F0" w:rsidRPr="002513E9" w:rsidRDefault="00000000">
      <w:pPr>
        <w:spacing w:line="360" w:lineRule="auto"/>
        <w:jc w:val="center"/>
        <w:rPr>
          <w:rFonts w:ascii="Times New Roman" w:eastAsia="Times New Roman" w:hAnsi="Times New Roman" w:cs="Times New Roman"/>
          <w:sz w:val="24"/>
          <w:szCs w:val="24"/>
          <w:lang w:val="en-GB"/>
        </w:rPr>
      </w:pPr>
      <w:r w:rsidRPr="002513E9">
        <w:rPr>
          <w:lang w:val="en-GB"/>
        </w:rPr>
        <w:br w:type="page"/>
      </w:r>
    </w:p>
    <w:p w14:paraId="596159F8" w14:textId="77777777" w:rsidR="00EF36F0" w:rsidRPr="002513E9" w:rsidRDefault="00000000">
      <w:pPr>
        <w:pStyle w:val="Heading1"/>
        <w:rPr>
          <w:lang w:val="en-GB"/>
        </w:rPr>
      </w:pPr>
      <w:bookmarkStart w:id="0" w:name="_heading=h.3pfxjpsik861" w:colFirst="0" w:colLast="0"/>
      <w:bookmarkEnd w:id="0"/>
      <w:r w:rsidRPr="002513E9">
        <w:rPr>
          <w:lang w:val="en-GB"/>
        </w:rPr>
        <w:lastRenderedPageBreak/>
        <w:t>Introduction</w:t>
      </w:r>
    </w:p>
    <w:p w14:paraId="06C5696C" w14:textId="6CBE7CDA"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Tata Steel is one of the major global steel companies that operates in an industry which is facing a strong pressure to reduce carbon emissions. Steel is important for construction, transport and </w:t>
      </w:r>
      <w:r w:rsidR="002513E9" w:rsidRPr="002513E9">
        <w:rPr>
          <w:rFonts w:ascii="Times New Roman" w:eastAsia="Times New Roman" w:hAnsi="Times New Roman" w:cs="Times New Roman"/>
          <w:sz w:val="24"/>
          <w:szCs w:val="24"/>
          <w:lang w:val="en-GB"/>
        </w:rPr>
        <w:t>infrastructure;</w:t>
      </w:r>
      <w:r w:rsidRPr="002513E9">
        <w:rPr>
          <w:rFonts w:ascii="Times New Roman" w:eastAsia="Times New Roman" w:hAnsi="Times New Roman" w:cs="Times New Roman"/>
          <w:sz w:val="24"/>
          <w:szCs w:val="24"/>
          <w:lang w:val="en-GB"/>
        </w:rPr>
        <w:t xml:space="preserve"> </w:t>
      </w:r>
      <w:r w:rsidR="002513E9" w:rsidRPr="002513E9">
        <w:rPr>
          <w:rFonts w:ascii="Times New Roman" w:eastAsia="Times New Roman" w:hAnsi="Times New Roman" w:cs="Times New Roman"/>
          <w:sz w:val="24"/>
          <w:szCs w:val="24"/>
          <w:lang w:val="en-GB"/>
        </w:rPr>
        <w:t>however,</w:t>
      </w:r>
      <w:r w:rsidRPr="002513E9">
        <w:rPr>
          <w:rFonts w:ascii="Times New Roman" w:eastAsia="Times New Roman" w:hAnsi="Times New Roman" w:cs="Times New Roman"/>
          <w:sz w:val="24"/>
          <w:szCs w:val="24"/>
          <w:lang w:val="en-GB"/>
        </w:rPr>
        <w:t xml:space="preserve"> its production creates greenhouse gas emissions. The following report discusses three external marketing environment actors that affect the move of Tata Steel towards lower-carbon steel, that are the natural environment, government and regulators and customers. The natural environment gets the strongest focus. Tata Steel focuses on achieving net-zero emissions across the Group by 2045 and reducing emissions in Tata Steel Limited by 10-15% from 2024-25 levels by 2030 (Tata Steel, 2025). </w:t>
      </w:r>
      <w:r w:rsidR="002513E9" w:rsidRPr="002513E9">
        <w:rPr>
          <w:rFonts w:ascii="Times New Roman" w:eastAsia="Times New Roman" w:hAnsi="Times New Roman" w:cs="Times New Roman"/>
          <w:sz w:val="24"/>
          <w:szCs w:val="24"/>
          <w:lang w:val="en-GB"/>
        </w:rPr>
        <w:t>Therefore,</w:t>
      </w:r>
      <w:r w:rsidRPr="002513E9">
        <w:rPr>
          <w:rFonts w:ascii="Times New Roman" w:eastAsia="Times New Roman" w:hAnsi="Times New Roman" w:cs="Times New Roman"/>
          <w:sz w:val="24"/>
          <w:szCs w:val="24"/>
          <w:lang w:val="en-GB"/>
        </w:rPr>
        <w:t xml:space="preserve"> the challenge is to turn environmental improvements into credible products which customers value.</w:t>
      </w:r>
    </w:p>
    <w:p w14:paraId="5E69FE0B" w14:textId="77777777" w:rsidR="00EF36F0" w:rsidRPr="002513E9" w:rsidRDefault="00000000">
      <w:pPr>
        <w:pStyle w:val="Heading1"/>
        <w:rPr>
          <w:lang w:val="en-GB"/>
        </w:rPr>
      </w:pPr>
      <w:bookmarkStart w:id="1" w:name="_heading=h.tirph6284roz" w:colFirst="0" w:colLast="0"/>
      <w:bookmarkEnd w:id="1"/>
      <w:r w:rsidRPr="002513E9">
        <w:rPr>
          <w:lang w:val="en-GB"/>
        </w:rPr>
        <w:t>Task 1: Marketing Environment Analysis</w:t>
      </w:r>
    </w:p>
    <w:p w14:paraId="2343D379" w14:textId="77777777" w:rsidR="00EF36F0" w:rsidRPr="002513E9" w:rsidRDefault="00000000">
      <w:pPr>
        <w:spacing w:line="360" w:lineRule="auto"/>
        <w:jc w:val="both"/>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Natural Environment: Main External Actor</w:t>
      </w:r>
    </w:p>
    <w:p w14:paraId="7C149CE0"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The natural environment significantly influences the production costs, product differentiation and transition of Tata Steel towards lower-carbon steel. In relation to the mentioned case scenario, steelmaking is emissions-intensive and thus circular production is considered as an important external marketing consideration. The World Economic Forum (2024) reports that steel-sector emissions intensity increased by 0.6% between 2019 and 2023, which demonstrates that technological progress has not yet translated into consistent sector-wide decarbonisation. Based on this, it can be stated that Tata Steel would be under pressure to demonstrate measurable environmental improvements rather than relying solely upon sustainability commitments.</w:t>
      </w:r>
    </w:p>
    <w:p w14:paraId="3DD32800"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Production technology in relation to this case presents both opportunities and constraints. According to the International Energy Agency (IEA, 2025), blast furnace-basic oxygen furnace production accounts for approximately 70% of global steel production, while early commercial plants using hydrogen-based direct reduction and electric arc furnaces may cost 50–140% more than conventional plants, depending on location. These figures highlight the financial challenge of transitioning towards cleaner steelmaking. For Tata Steel, investments in electric arc furnaces, renewable electricity and alternative ironmaking technologies could strengthen the environmental performance, however higher production costs may restrict the affordability and competitiveness.</w:t>
      </w:r>
    </w:p>
    <w:p w14:paraId="68B24DC2"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Resource availability also matters in this context. Greater scrap utilisation helps to support circular production and reduce the dependence on emissions-intensive primary steelmaking, although scrap quality, supply and collection infrastructure can constrain the implementation. </w:t>
      </w:r>
      <w:r w:rsidRPr="002513E9">
        <w:rPr>
          <w:rFonts w:ascii="Times New Roman" w:eastAsia="Times New Roman" w:hAnsi="Times New Roman" w:cs="Times New Roman"/>
          <w:sz w:val="24"/>
          <w:szCs w:val="24"/>
          <w:lang w:val="en-GB"/>
        </w:rPr>
        <w:lastRenderedPageBreak/>
        <w:t>It has been identified that the Integrated Report 2024–25 of Tata Steel identifies scrap recycling and energy efficiency as important sustainability priorities (Tata Steel, 2025). Consequently, the company would need to balance environmental improvements against reliable production, raw-material availability and customer requirements.</w:t>
      </w:r>
    </w:p>
    <w:p w14:paraId="1B5DE970"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India’s Green Steel Taxonomy, notified in December 2024, provides an additional market-development opportunity and it can be noted that steel qualifies as green under this framework when its emissions intensity is below 2.2 tonnes of carbon-dioxide equivalent per tonne of finished steel, whereas lower thresholds determine higher ratings (Ministry of Steel, 2024). Moreover, the taxonomy would help in creating a common understanding of green steel among the customers and producers in the Indian market. Nevertheless, certification alone cannot guarantee customer demand or justify price premiums.</w:t>
      </w:r>
    </w:p>
    <w:p w14:paraId="7CD13EFB" w14:textId="2AFE79E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The environmental targets of Tata Steel reinforce the strategic importance of this transition. The company aims to reduce the emissions intensity of its Indian operations by 10–15% from the 2024–25 baseline by 2030, subject to the regulatory framework, and to achieve Group net-zero emissions by 2045 (Tata Steel, 2025). These commitments provide measurable </w:t>
      </w:r>
      <w:r w:rsidR="002513E9" w:rsidRPr="002513E9">
        <w:rPr>
          <w:rFonts w:ascii="Times New Roman" w:eastAsia="Times New Roman" w:hAnsi="Times New Roman" w:cs="Times New Roman"/>
          <w:sz w:val="24"/>
          <w:szCs w:val="24"/>
          <w:lang w:val="en-GB"/>
        </w:rPr>
        <w:t>objectives;</w:t>
      </w:r>
      <w:r w:rsidRPr="002513E9">
        <w:rPr>
          <w:rFonts w:ascii="Times New Roman" w:eastAsia="Times New Roman" w:hAnsi="Times New Roman" w:cs="Times New Roman"/>
          <w:sz w:val="24"/>
          <w:szCs w:val="24"/>
          <w:lang w:val="en-GB"/>
        </w:rPr>
        <w:t xml:space="preserve"> </w:t>
      </w:r>
      <w:r w:rsidR="002513E9" w:rsidRPr="002513E9">
        <w:rPr>
          <w:rFonts w:ascii="Times New Roman" w:eastAsia="Times New Roman" w:hAnsi="Times New Roman" w:cs="Times New Roman"/>
          <w:sz w:val="24"/>
          <w:szCs w:val="24"/>
          <w:lang w:val="en-GB"/>
        </w:rPr>
        <w:t>however,</w:t>
      </w:r>
      <w:r w:rsidRPr="002513E9">
        <w:rPr>
          <w:rFonts w:ascii="Times New Roman" w:eastAsia="Times New Roman" w:hAnsi="Times New Roman" w:cs="Times New Roman"/>
          <w:sz w:val="24"/>
          <w:szCs w:val="24"/>
          <w:lang w:val="en-GB"/>
        </w:rPr>
        <w:t xml:space="preserve"> their commercial value depends on the implementation, independently credible reporting and customer recognition. Apart from that, the targets help the stakeholders in tracking the progress that is made by the company over the </w:t>
      </w:r>
      <w:r w:rsidR="002513E9" w:rsidRPr="002513E9">
        <w:rPr>
          <w:rFonts w:ascii="Times New Roman" w:eastAsia="Times New Roman" w:hAnsi="Times New Roman" w:cs="Times New Roman"/>
          <w:sz w:val="24"/>
          <w:szCs w:val="24"/>
          <w:lang w:val="en-GB"/>
        </w:rPr>
        <w:t>period</w:t>
      </w:r>
      <w:r w:rsidRPr="002513E9">
        <w:rPr>
          <w:rFonts w:ascii="Times New Roman" w:eastAsia="Times New Roman" w:hAnsi="Times New Roman" w:cs="Times New Roman"/>
          <w:sz w:val="24"/>
          <w:szCs w:val="24"/>
          <w:lang w:val="en-GB"/>
        </w:rPr>
        <w:t>. Therefore, it can be stated that environmental pressures would create a potential competitive advantage only when the emissions reductions are technically feasible, economically viable and communicated transparently.</w:t>
      </w:r>
    </w:p>
    <w:p w14:paraId="026A2676" w14:textId="77777777" w:rsidR="00EF36F0" w:rsidRPr="002513E9" w:rsidRDefault="00000000">
      <w:pPr>
        <w:spacing w:line="360" w:lineRule="auto"/>
        <w:jc w:val="both"/>
        <w:rPr>
          <w:rFonts w:ascii="Times New Roman" w:eastAsia="Times New Roman" w:hAnsi="Times New Roman" w:cs="Times New Roman"/>
          <w:b/>
          <w:bCs/>
          <w:i/>
          <w:iCs/>
          <w:sz w:val="24"/>
          <w:szCs w:val="24"/>
          <w:lang w:val="en-GB"/>
        </w:rPr>
      </w:pPr>
      <w:r w:rsidRPr="002513E9">
        <w:rPr>
          <w:rFonts w:ascii="Times New Roman" w:eastAsia="Times New Roman" w:hAnsi="Times New Roman" w:cs="Times New Roman"/>
          <w:b/>
          <w:bCs/>
          <w:i/>
          <w:iCs/>
          <w:sz w:val="24"/>
          <w:szCs w:val="24"/>
          <w:lang w:val="en-GB"/>
        </w:rPr>
        <w:t>Government and Regulatory Actors</w:t>
      </w:r>
    </w:p>
    <w:p w14:paraId="3D523956" w14:textId="6E81E82A"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Government and regulators strongly influence Tata Steel’s low-carbon marketing environment. In 2024, India’s Green Steel Taxonomy created a framework for finding lower-carbon-emission steel and supporting a green steel market (PIB, 2024). However, it is an opportunity, as a recognised definition can increase customer confidence and make environmental claims easier to compare. Government support for green hydrogen pilot projects helps to encourage cleaner technologies (PIB, 2025). Although these technologies are not fully commercial yet, policy support </w:t>
      </w:r>
      <w:r w:rsidR="002513E9" w:rsidRPr="002513E9">
        <w:rPr>
          <w:rFonts w:ascii="Times New Roman" w:eastAsia="Times New Roman" w:hAnsi="Times New Roman" w:cs="Times New Roman"/>
          <w:sz w:val="24"/>
          <w:szCs w:val="24"/>
          <w:lang w:val="en-GB"/>
        </w:rPr>
        <w:t>cannot</w:t>
      </w:r>
      <w:r w:rsidRPr="002513E9">
        <w:rPr>
          <w:rFonts w:ascii="Times New Roman" w:eastAsia="Times New Roman" w:hAnsi="Times New Roman" w:cs="Times New Roman"/>
          <w:sz w:val="24"/>
          <w:szCs w:val="24"/>
          <w:lang w:val="en-GB"/>
        </w:rPr>
        <w:t xml:space="preserve"> remove Tata Steel’s financial and technical risks. </w:t>
      </w:r>
    </w:p>
    <w:p w14:paraId="166E6220"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Moreover, international regulation is also important, as the European Union’s Carbon Border Adjustment Mechanism entered its definitive phase in 2026 and covers iron and steel imports (European Commission, 2026). However, carbon performance can affect the cost and competitiveness of products entering Europe. In order to reduce emissions and improve carbon performance, data can protect market access and support differentiation for Tata Steel. </w:t>
      </w:r>
      <w:r w:rsidRPr="002513E9">
        <w:rPr>
          <w:rFonts w:ascii="Times New Roman" w:eastAsia="Times New Roman" w:hAnsi="Times New Roman" w:cs="Times New Roman"/>
          <w:sz w:val="24"/>
          <w:szCs w:val="24"/>
          <w:lang w:val="en-GB"/>
        </w:rPr>
        <w:lastRenderedPageBreak/>
        <w:t xml:space="preserve">However, reporting requirements and carbon-related costs can increase administrative and operating expenses. Therefore, regulation is both a threat and an opportunity. </w:t>
      </w:r>
    </w:p>
    <w:p w14:paraId="23B733DA"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Additionally, government policy can help to influence customer demand, as public procurement rules and green steel standards can create markets for lower-carbon products. It also supports Tata Steel’s marketing as environmental values become connected to purchasing criteria. Moreover, different countries can use different standards, which creates complexity for a global company. Therefore, Tata Steel needs to adapt its communication to each market while keeping core sustainability claims consistent. </w:t>
      </w:r>
    </w:p>
    <w:p w14:paraId="464CFDF3" w14:textId="77777777" w:rsidR="00EF36F0" w:rsidRPr="002513E9" w:rsidRDefault="00000000">
      <w:pPr>
        <w:spacing w:line="360" w:lineRule="auto"/>
        <w:jc w:val="both"/>
        <w:rPr>
          <w:rFonts w:ascii="Times New Roman" w:eastAsia="Times New Roman" w:hAnsi="Times New Roman" w:cs="Times New Roman"/>
          <w:b/>
          <w:bCs/>
          <w:i/>
          <w:iCs/>
          <w:sz w:val="24"/>
          <w:szCs w:val="24"/>
          <w:lang w:val="en-GB"/>
        </w:rPr>
      </w:pPr>
      <w:r w:rsidRPr="002513E9">
        <w:rPr>
          <w:rFonts w:ascii="Times New Roman" w:eastAsia="Times New Roman" w:hAnsi="Times New Roman" w:cs="Times New Roman"/>
          <w:b/>
          <w:bCs/>
          <w:i/>
          <w:iCs/>
          <w:sz w:val="24"/>
          <w:szCs w:val="24"/>
          <w:lang w:val="en-GB"/>
        </w:rPr>
        <w:t xml:space="preserve">Customer and Market Actors </w:t>
      </w:r>
    </w:p>
    <w:p w14:paraId="12B71F42" w14:textId="70A6713B"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Customers, industrial buyers and wider stakeholders are the actors that influence the ability of Tata Steel to commercialise lower-carbon products. Its business-to-business customers include automotive manufacturers, construction companies, infrastructure developers and engineering businesses, whose procurement decisions increasingly involve product performance, reliability, price and environmental credentials. Tata Steel’s Integrated Report 2024–25 identifies automotive, construction and infrastructure, energy and engineering goods among its customer markets (Tata Steel, 2025). These diverse segments </w:t>
      </w:r>
      <w:r w:rsidR="002513E9" w:rsidRPr="002513E9">
        <w:rPr>
          <w:rFonts w:ascii="Times New Roman" w:eastAsia="Times New Roman" w:hAnsi="Times New Roman" w:cs="Times New Roman"/>
          <w:sz w:val="24"/>
          <w:szCs w:val="24"/>
          <w:lang w:val="en-GB"/>
        </w:rPr>
        <w:t>create</w:t>
      </w:r>
      <w:r w:rsidRPr="002513E9">
        <w:rPr>
          <w:rFonts w:ascii="Times New Roman" w:eastAsia="Times New Roman" w:hAnsi="Times New Roman" w:cs="Times New Roman"/>
          <w:sz w:val="24"/>
          <w:szCs w:val="24"/>
          <w:lang w:val="en-GB"/>
        </w:rPr>
        <w:t xml:space="preserve"> opportunities for differentiated steel products, although their willingness to pay for lower emissions may vary considerably.</w:t>
      </w:r>
    </w:p>
    <w:p w14:paraId="1636E180" w14:textId="3C2EFAF1"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The World Economic Forum (2024) identifies an estimated 40% business-to-business green premium for steel, while noting that less than 1% of steel meets the industry’s net-zero thresholds. Based on this, lower-carbon steel could provide differentiation, but the additional costs may discourage price-sensitive buyers. </w:t>
      </w:r>
      <w:r w:rsidR="002513E9" w:rsidRPr="002513E9">
        <w:rPr>
          <w:rFonts w:ascii="Times New Roman" w:eastAsia="Times New Roman" w:hAnsi="Times New Roman" w:cs="Times New Roman"/>
          <w:sz w:val="24"/>
          <w:szCs w:val="24"/>
          <w:lang w:val="en-GB"/>
        </w:rPr>
        <w:t>Thus,</w:t>
      </w:r>
      <w:r w:rsidRPr="002513E9">
        <w:rPr>
          <w:rFonts w:ascii="Times New Roman" w:eastAsia="Times New Roman" w:hAnsi="Times New Roman" w:cs="Times New Roman"/>
          <w:sz w:val="24"/>
          <w:szCs w:val="24"/>
          <w:lang w:val="en-GB"/>
        </w:rPr>
        <w:t xml:space="preserve"> Tata Steel should prioritise customers whose sustainability commitments, procurement requirements or product positioning justify paying for verified emissions reductions, rather than assuming that all customers would accept higher prices.</w:t>
      </w:r>
    </w:p>
    <w:p w14:paraId="527599A8" w14:textId="60F74601"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Collective purchasing initiatives demonstrate emerging market opportunities. In January 2024, the World Economic Forum reported that 15 submissions to its Near-Zero Steel 2030 Challenge represented potential purchases of 2.3 million tonnes of near-zero-emission steel (World Economic Forum, 2024). Similarly, Climate Group’s SteelZero initiative reports that more than 40 businesses have committed to net-zero steel and that approximately 10 million tonnes are already used or committed to be decarbonised (Climate Group, 2026). These commitments indicate potential </w:t>
      </w:r>
      <w:r w:rsidR="002513E9" w:rsidRPr="002513E9">
        <w:rPr>
          <w:rFonts w:ascii="Times New Roman" w:eastAsia="Times New Roman" w:hAnsi="Times New Roman" w:cs="Times New Roman"/>
          <w:sz w:val="24"/>
          <w:szCs w:val="24"/>
          <w:lang w:val="en-GB"/>
        </w:rPr>
        <w:t>demand;</w:t>
      </w:r>
      <w:r w:rsidRPr="002513E9">
        <w:rPr>
          <w:rFonts w:ascii="Times New Roman" w:eastAsia="Times New Roman" w:hAnsi="Times New Roman" w:cs="Times New Roman"/>
          <w:sz w:val="24"/>
          <w:szCs w:val="24"/>
          <w:lang w:val="en-GB"/>
        </w:rPr>
        <w:t xml:space="preserve"> </w:t>
      </w:r>
      <w:r w:rsidR="002513E9" w:rsidRPr="002513E9">
        <w:rPr>
          <w:rFonts w:ascii="Times New Roman" w:eastAsia="Times New Roman" w:hAnsi="Times New Roman" w:cs="Times New Roman"/>
          <w:sz w:val="24"/>
          <w:szCs w:val="24"/>
          <w:lang w:val="en-GB"/>
        </w:rPr>
        <w:t>however,</w:t>
      </w:r>
      <w:r w:rsidRPr="002513E9">
        <w:rPr>
          <w:rFonts w:ascii="Times New Roman" w:eastAsia="Times New Roman" w:hAnsi="Times New Roman" w:cs="Times New Roman"/>
          <w:sz w:val="24"/>
          <w:szCs w:val="24"/>
          <w:lang w:val="en-GB"/>
        </w:rPr>
        <w:t xml:space="preserve"> it can be mentioned that announced commitments should not be confused with completed purchases or guaranteed revenue.</w:t>
      </w:r>
    </w:p>
    <w:p w14:paraId="049497AE"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lastRenderedPageBreak/>
        <w:t>Customer trust also depends on credible evidence. India’s Green Steel Taxonomy establishes emissions-intensity thresholds for classifying green steel and helps buyers to compare products using a common framework (Ministry of Steel, 2024). Nevertheless, inconsistent international standards and uncertainty about emissions measurement can complicate comparisons.</w:t>
      </w:r>
    </w:p>
    <w:p w14:paraId="538B92ED"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Stakeholders extend beyond direct customers to investors, suppliers, government bodies and communities. Tata Steel identifies stakeholder engagement, climate management and supply-chain sustainability among its material priorities (Tata Steel, 2025). Accordingly, Tata Steel should combine targeted customer engagement, transparent environmental claims and collaborative procurement arrangements. This approach could strengthen customer relationships and support product development, but its success must be assessed through actual purchase agreements, repeat orders, realised price premiums and independently verified emissions reductions.</w:t>
      </w:r>
    </w:p>
    <w:p w14:paraId="2C906817" w14:textId="77777777" w:rsidR="00EF36F0" w:rsidRPr="002513E9" w:rsidRDefault="00000000">
      <w:pPr>
        <w:pStyle w:val="Heading1"/>
        <w:rPr>
          <w:lang w:val="en-GB"/>
        </w:rPr>
      </w:pPr>
      <w:bookmarkStart w:id="2" w:name="_heading=h.x0xddb7d3twx" w:colFirst="0" w:colLast="0"/>
      <w:bookmarkEnd w:id="2"/>
      <w:r w:rsidRPr="002513E9">
        <w:rPr>
          <w:lang w:val="en-GB"/>
        </w:rPr>
        <w:t>Task 2: Strategic Growth and Competitive Positioning</w:t>
      </w:r>
    </w:p>
    <w:p w14:paraId="3AF5F39A"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b/>
          <w:bCs/>
          <w:i/>
          <w:iCs/>
          <w:sz w:val="24"/>
          <w:szCs w:val="24"/>
          <w:lang w:val="en-GB"/>
        </w:rPr>
        <w:t xml:space="preserve">Ansoff Matrix </w:t>
      </w:r>
    </w:p>
    <w:p w14:paraId="088F2C19" w14:textId="77777777" w:rsidR="00EF36F0" w:rsidRPr="002513E9" w:rsidRDefault="00000000">
      <w:pPr>
        <w:spacing w:line="360" w:lineRule="auto"/>
        <w:jc w:val="both"/>
        <w:rPr>
          <w:rFonts w:ascii="Times New Roman" w:eastAsia="Times New Roman" w:hAnsi="Times New Roman" w:cs="Times New Roman"/>
          <w:b/>
          <w:bCs/>
          <w:i/>
          <w:iCs/>
          <w:sz w:val="24"/>
          <w:szCs w:val="24"/>
          <w:lang w:val="en-GB"/>
        </w:rPr>
      </w:pPr>
      <w:r w:rsidRPr="002513E9">
        <w:rPr>
          <w:rFonts w:ascii="Times New Roman" w:eastAsia="Times New Roman" w:hAnsi="Times New Roman" w:cs="Times New Roman"/>
          <w:b/>
          <w:bCs/>
          <w:i/>
          <w:iCs/>
          <w:sz w:val="24"/>
          <w:szCs w:val="24"/>
          <w:lang w:val="en-GB"/>
        </w:rPr>
        <w:t>Product Development</w:t>
      </w:r>
    </w:p>
    <w:p w14:paraId="779B63B1"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For the existing market, Tata Steel needs to develop more low-carbon steel, including EAF steel, greater scrap use, renewable electricity, and a future hydrogen-based process. Also, Tata Steel has started in this direction through its Ludhiana EAF and plans to increase recycling and renewable power (Business Standard, 2026). This makes product development more realistic. However, the company needs to create products for automotive, construction, engineering, and renewable-energy customers. Products need to add information about carbon emissions and recycled content, which helps customers reduce supply-chain emissions and gives them a reason to choose Tata Steel. Currently, companies are facing stronger climate targets, and demand for green steel is expected to grow (de Villafranca Casas</w:t>
      </w:r>
      <w:r w:rsidRPr="002513E9">
        <w:rPr>
          <w:rFonts w:ascii="Times New Roman" w:eastAsia="Times New Roman" w:hAnsi="Times New Roman" w:cs="Times New Roman"/>
          <w:i/>
          <w:iCs/>
          <w:sz w:val="24"/>
          <w:szCs w:val="24"/>
          <w:lang w:val="en-GB"/>
        </w:rPr>
        <w:t xml:space="preserve"> et al.</w:t>
      </w:r>
      <w:r w:rsidRPr="002513E9">
        <w:rPr>
          <w:rFonts w:ascii="Times New Roman" w:eastAsia="Times New Roman" w:hAnsi="Times New Roman" w:cs="Times New Roman"/>
          <w:sz w:val="24"/>
          <w:szCs w:val="24"/>
          <w:lang w:val="en-GB"/>
        </w:rPr>
        <w:t xml:space="preserve"> 2024). </w:t>
      </w:r>
    </w:p>
    <w:p w14:paraId="1F4C6860" w14:textId="77777777" w:rsidR="00EF36F0" w:rsidRPr="002513E9" w:rsidRDefault="00000000">
      <w:pPr>
        <w:spacing w:line="360" w:lineRule="auto"/>
        <w:jc w:val="both"/>
        <w:rPr>
          <w:rFonts w:ascii="Times New Roman" w:eastAsia="Times New Roman" w:hAnsi="Times New Roman" w:cs="Times New Roman"/>
          <w:b/>
          <w:bCs/>
          <w:i/>
          <w:iCs/>
          <w:sz w:val="24"/>
          <w:szCs w:val="24"/>
          <w:lang w:val="en-GB"/>
        </w:rPr>
      </w:pPr>
      <w:r w:rsidRPr="002513E9">
        <w:rPr>
          <w:rFonts w:ascii="Times New Roman" w:eastAsia="Times New Roman" w:hAnsi="Times New Roman" w:cs="Times New Roman"/>
          <w:b/>
          <w:bCs/>
          <w:i/>
          <w:iCs/>
          <w:sz w:val="24"/>
          <w:szCs w:val="24"/>
          <w:lang w:val="en-GB"/>
        </w:rPr>
        <w:t>Market Development</w:t>
      </w:r>
    </w:p>
    <w:p w14:paraId="514CF414"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Market development should support product development, as Tata Steel needs to target customers with environmental goals, particularly electric-vehicle manufacturers, renewable-energy companies, green construction projects, and infrastructure developers. These sectors are quite attractive as customers increasingly want lower-carbon supply chains (Rahman</w:t>
      </w:r>
      <w:r w:rsidRPr="002513E9">
        <w:rPr>
          <w:rFonts w:ascii="Times New Roman" w:eastAsia="Times New Roman" w:hAnsi="Times New Roman" w:cs="Times New Roman"/>
          <w:i/>
          <w:iCs/>
          <w:sz w:val="24"/>
          <w:szCs w:val="24"/>
          <w:lang w:val="en-GB"/>
        </w:rPr>
        <w:t xml:space="preserve"> et al.</w:t>
      </w:r>
      <w:r w:rsidRPr="002513E9">
        <w:rPr>
          <w:rFonts w:ascii="Times New Roman" w:eastAsia="Times New Roman" w:hAnsi="Times New Roman" w:cs="Times New Roman"/>
          <w:sz w:val="24"/>
          <w:szCs w:val="24"/>
          <w:lang w:val="en-GB"/>
        </w:rPr>
        <w:t xml:space="preserve"> 2026). However, the company needs to expand low-carbon products in markets with stronger environmental standards, especially Europe. It could create opportunities, international expansion can increase costs as regulations, customer expectations, and energy prices differ. </w:t>
      </w:r>
      <w:r w:rsidRPr="002513E9">
        <w:rPr>
          <w:rFonts w:ascii="Times New Roman" w:eastAsia="Times New Roman" w:hAnsi="Times New Roman" w:cs="Times New Roman"/>
          <w:sz w:val="24"/>
          <w:szCs w:val="24"/>
          <w:lang w:val="en-GB"/>
        </w:rPr>
        <w:lastRenderedPageBreak/>
        <w:t xml:space="preserve">Therefore, the company needs to prioritise markets where customers have clear sustainability targets and can recognise the value of lower-carbon steel. </w:t>
      </w:r>
    </w:p>
    <w:p w14:paraId="103C8EDE" w14:textId="77777777" w:rsidR="00EF36F0" w:rsidRPr="002513E9" w:rsidRDefault="00000000">
      <w:pPr>
        <w:spacing w:line="360" w:lineRule="auto"/>
        <w:jc w:val="both"/>
        <w:rPr>
          <w:rFonts w:ascii="Times New Roman" w:eastAsia="Times New Roman" w:hAnsi="Times New Roman" w:cs="Times New Roman"/>
          <w:b/>
          <w:bCs/>
          <w:i/>
          <w:iCs/>
          <w:sz w:val="24"/>
          <w:szCs w:val="24"/>
          <w:lang w:val="en-GB"/>
        </w:rPr>
      </w:pPr>
      <w:r w:rsidRPr="002513E9">
        <w:rPr>
          <w:rFonts w:ascii="Times New Roman" w:eastAsia="Times New Roman" w:hAnsi="Times New Roman" w:cs="Times New Roman"/>
          <w:b/>
          <w:bCs/>
          <w:i/>
          <w:iCs/>
          <w:sz w:val="24"/>
          <w:szCs w:val="24"/>
          <w:lang w:val="en-GB"/>
        </w:rPr>
        <w:t>Market Penetration</w:t>
      </w:r>
    </w:p>
    <w:p w14:paraId="7E4187D4" w14:textId="77777777" w:rsidR="00EF36F0" w:rsidRPr="002513E9" w:rsidRDefault="00000000">
      <w:pPr>
        <w:spacing w:line="360" w:lineRule="auto"/>
        <w:jc w:val="both"/>
        <w:rPr>
          <w:b/>
          <w:bCs/>
          <w:sz w:val="24"/>
          <w:szCs w:val="24"/>
          <w:lang w:val="en-GB"/>
        </w:rPr>
      </w:pPr>
      <w:r w:rsidRPr="002513E9">
        <w:rPr>
          <w:rFonts w:ascii="Times New Roman" w:eastAsia="Times New Roman" w:hAnsi="Times New Roman" w:cs="Times New Roman"/>
          <w:sz w:val="24"/>
          <w:szCs w:val="24"/>
          <w:lang w:val="en-GB"/>
        </w:rPr>
        <w:t xml:space="preserve">Market penetration needs to strengthen sales among existing customers. For lower-carbon steel, Tata Steel can offer long-term contracts, joint product development, and transparent emissions information. However, long-term agreements can reduce uncertainty, as they provide demand before huge investments are made. Hence, purchasing commitment can help create demand for clean steel. Moreover, this can strengthen customer relationships, as the company could work with automotive and construction customers to design products fulfilling their technical and environmental needs (Prabhaker </w:t>
      </w:r>
      <w:r w:rsidRPr="002513E9">
        <w:rPr>
          <w:rFonts w:ascii="Times New Roman" w:eastAsia="Times New Roman" w:hAnsi="Times New Roman" w:cs="Times New Roman"/>
          <w:i/>
          <w:iCs/>
          <w:sz w:val="24"/>
          <w:szCs w:val="24"/>
          <w:lang w:val="en-GB"/>
        </w:rPr>
        <w:t>et al.</w:t>
      </w:r>
      <w:r w:rsidRPr="002513E9">
        <w:rPr>
          <w:rFonts w:ascii="Times New Roman" w:eastAsia="Times New Roman" w:hAnsi="Times New Roman" w:cs="Times New Roman"/>
          <w:sz w:val="24"/>
          <w:szCs w:val="24"/>
          <w:lang w:val="en-GB"/>
        </w:rPr>
        <w:t xml:space="preserve"> 2024). Customers can resist higher prices, yet the company should not rely just on a green premium, as it can also reduce production costs, improve efficiency, and show measurable environmental benefits. </w:t>
      </w:r>
    </w:p>
    <w:p w14:paraId="3304BE29" w14:textId="77777777" w:rsidR="00EF36F0" w:rsidRPr="002513E9" w:rsidRDefault="00000000">
      <w:pPr>
        <w:spacing w:line="360" w:lineRule="auto"/>
        <w:jc w:val="both"/>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Diversification</w:t>
      </w:r>
    </w:p>
    <w:p w14:paraId="58000555" w14:textId="3B4C100C"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Diversification would involve developing new products for new markets, such as supplying specialised low-carbon steel solutions to emerging hydrogen infrastructure, offshore wind or other clean-energy industries. These sectors could create additional revenue streams while supporting industrial decarbonisation. However, diversification presents greater risk because Tata Steel would need to understand unfamiliar customer specifications, supply chains and commercial requirements. New products may also require substantial research, certification and capital expenditure. The IEA (2024) emphasises the need to commercialise multiple technologies and strengthen international collaboration to accelerate near-zero-emission steel. </w:t>
      </w:r>
      <w:r w:rsidR="002513E9" w:rsidRPr="002513E9">
        <w:rPr>
          <w:rFonts w:ascii="Times New Roman" w:eastAsia="Times New Roman" w:hAnsi="Times New Roman" w:cs="Times New Roman"/>
          <w:sz w:val="24"/>
          <w:szCs w:val="24"/>
          <w:lang w:val="en-GB"/>
        </w:rPr>
        <w:t>Thus,</w:t>
      </w:r>
      <w:r w:rsidRPr="002513E9">
        <w:rPr>
          <w:rFonts w:ascii="Times New Roman" w:eastAsia="Times New Roman" w:hAnsi="Times New Roman" w:cs="Times New Roman"/>
          <w:sz w:val="24"/>
          <w:szCs w:val="24"/>
          <w:lang w:val="en-GB"/>
        </w:rPr>
        <w:t xml:space="preserve"> Tata Steel should pursue diversification selectively, using pilot projects and strategic partnerships rather than making large speculative investments.</w:t>
      </w:r>
    </w:p>
    <w:p w14:paraId="13D970F0" w14:textId="77777777" w:rsidR="00EF36F0" w:rsidRPr="002513E9" w:rsidRDefault="00000000">
      <w:pPr>
        <w:spacing w:line="360" w:lineRule="auto"/>
        <w:jc w:val="both"/>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2.2 Recommended growth strategy: Product development</w:t>
      </w:r>
    </w:p>
    <w:p w14:paraId="17CE5F9C"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Product development is the most suitable primary strategy because it builds on the existing manufacturing capabilities and customer relationships of Tata Steel while responding to growing demand for lower-emission materials. Its Ludhiana EAF facility offers a concrete starting point for developing scrap-based steel products for established construction customers. The company should progressively expand lower-carbon offerings for construction, engineering and automotive applications, supported by renewable electricity, greater material circularity and independently verifiable product-level emissions information.</w:t>
      </w:r>
    </w:p>
    <w:p w14:paraId="6336B4E4"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Market demand is promising but not guaranteed. A 2024 Climate Group and Ramboll study found that nearly half of surveyed companies were prepared to pay a premium for lower-emission steel and concrete, however cost remained a major barrier (Climate Group, 2024). </w:t>
      </w:r>
      <w:r w:rsidRPr="002513E9">
        <w:rPr>
          <w:rFonts w:ascii="Times New Roman" w:eastAsia="Times New Roman" w:hAnsi="Times New Roman" w:cs="Times New Roman"/>
          <w:sz w:val="24"/>
          <w:szCs w:val="24"/>
          <w:lang w:val="en-GB"/>
        </w:rPr>
        <w:lastRenderedPageBreak/>
        <w:t>Based on this, Tata Steel would need to combine product development with efficiency improvements, transparent carbon data and long-term customer agreements rather than relying exclusively on premium pricing. Its target to disclose the environmental performance of 100% of products in India by 2030 supports this direction (Tata Steel, 2025). Implementation should be phased, with success measured through sales growth, verified emissions intensity, customer retention and profitability.</w:t>
      </w:r>
    </w:p>
    <w:p w14:paraId="44C68B22" w14:textId="77777777" w:rsidR="00EF36F0" w:rsidRPr="002513E9" w:rsidRDefault="00000000">
      <w:pPr>
        <w:spacing w:line="360" w:lineRule="auto"/>
        <w:jc w:val="both"/>
        <w:rPr>
          <w:rFonts w:ascii="Times New Roman" w:eastAsia="Times New Roman" w:hAnsi="Times New Roman" w:cs="Times New Roman"/>
          <w:b/>
          <w:bCs/>
          <w:sz w:val="24"/>
          <w:szCs w:val="24"/>
          <w:lang w:val="en-GB"/>
        </w:rPr>
      </w:pPr>
      <w:r w:rsidRPr="002513E9">
        <w:rPr>
          <w:rFonts w:ascii="Times New Roman" w:eastAsia="Times New Roman" w:hAnsi="Times New Roman" w:cs="Times New Roman"/>
          <w:b/>
          <w:bCs/>
          <w:sz w:val="24"/>
          <w:szCs w:val="24"/>
          <w:lang w:val="en-GB"/>
        </w:rPr>
        <w:t>2.3 Competitive positioning</w:t>
      </w:r>
    </w:p>
    <w:p w14:paraId="0FD47E4E"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Tata Steel should position itself as a dependable supplier of technically reliable, transparently measured lower-carbon steel and not simply as a company selling green products. This positioning combines established steelmaking expertise with credible evidence of environmental performance. India’s Green Steel Taxonomy provides a relevant benchmark, steel qualifies for green classification when emissions intensity is below 2.2 tonnes of CO₂-equivalent per tonne of finished steel (Ministry of Steel, 2024).</w:t>
      </w:r>
    </w:p>
    <w:p w14:paraId="65FE3FD7" w14:textId="2DF89F60"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The competitive advantage of the company should rest on three connected capabilities that are lower-carbon production, circular use of scrap and customer collaboration. Its EAF investment provides a foundation, while product-level environmental disclosures can strengthen the buyer confidence. The IEA (2024) highlights the importance of common emissions-accounting methods and stronger purchasing </w:t>
      </w:r>
      <w:r w:rsidR="002513E9" w:rsidRPr="002513E9">
        <w:rPr>
          <w:rFonts w:ascii="Times New Roman" w:eastAsia="Times New Roman" w:hAnsi="Times New Roman" w:cs="Times New Roman"/>
          <w:sz w:val="24"/>
          <w:szCs w:val="24"/>
          <w:lang w:val="en-GB"/>
        </w:rPr>
        <w:t>commitments;</w:t>
      </w:r>
      <w:r w:rsidRPr="002513E9">
        <w:rPr>
          <w:rFonts w:ascii="Times New Roman" w:eastAsia="Times New Roman" w:hAnsi="Times New Roman" w:cs="Times New Roman"/>
          <w:sz w:val="24"/>
          <w:szCs w:val="24"/>
          <w:lang w:val="en-GB"/>
        </w:rPr>
        <w:t xml:space="preserve"> </w:t>
      </w:r>
      <w:r w:rsidR="002513E9" w:rsidRPr="002513E9">
        <w:rPr>
          <w:rFonts w:ascii="Times New Roman" w:eastAsia="Times New Roman" w:hAnsi="Times New Roman" w:cs="Times New Roman"/>
          <w:sz w:val="24"/>
          <w:szCs w:val="24"/>
          <w:lang w:val="en-GB"/>
        </w:rPr>
        <w:t>therefore,</w:t>
      </w:r>
      <w:r w:rsidRPr="002513E9">
        <w:rPr>
          <w:rFonts w:ascii="Times New Roman" w:eastAsia="Times New Roman" w:hAnsi="Times New Roman" w:cs="Times New Roman"/>
          <w:sz w:val="24"/>
          <w:szCs w:val="24"/>
          <w:lang w:val="en-GB"/>
        </w:rPr>
        <w:t xml:space="preserve"> it can be stated that credible verification and reliable supply are commercially important as well as environmental priorities.</w:t>
      </w:r>
    </w:p>
    <w:p w14:paraId="65E3FC36"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Nevertheless, Tata Steel faces risks from high transition costs, competition for quality scrap, electricity availability and reluctance of customers to pay premiums. Its positioning must therefore be supported by operational efficiency and evidence-based claims. By combining product innovation with transparent reporting and long-term customer partnerships, Tata Steel can differentiate its products while reducing the risk that lower-carbon steel remains a costly niche offering.</w:t>
      </w:r>
    </w:p>
    <w:p w14:paraId="764F8D0A" w14:textId="77777777" w:rsidR="00EF36F0" w:rsidRPr="002513E9" w:rsidRDefault="00EF36F0">
      <w:pPr>
        <w:spacing w:line="360" w:lineRule="auto"/>
        <w:jc w:val="both"/>
        <w:rPr>
          <w:rFonts w:ascii="Times New Roman" w:eastAsia="Times New Roman" w:hAnsi="Times New Roman" w:cs="Times New Roman"/>
          <w:sz w:val="24"/>
          <w:szCs w:val="24"/>
          <w:lang w:val="en-GB"/>
        </w:rPr>
      </w:pPr>
    </w:p>
    <w:p w14:paraId="64E2A846" w14:textId="77777777" w:rsidR="00EF36F0" w:rsidRPr="002513E9" w:rsidRDefault="00000000">
      <w:pPr>
        <w:pStyle w:val="Heading1"/>
        <w:rPr>
          <w:lang w:val="en-GB"/>
        </w:rPr>
      </w:pPr>
      <w:bookmarkStart w:id="3" w:name="_heading=h.pg5ky2so48ih" w:colFirst="0" w:colLast="0"/>
      <w:bookmarkEnd w:id="3"/>
      <w:r w:rsidRPr="002513E9">
        <w:rPr>
          <w:lang w:val="en-GB"/>
        </w:rPr>
        <w:t>Task 3: Managerial and Professional Reflection</w:t>
      </w:r>
    </w:p>
    <w:p w14:paraId="665E7825"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As a marketing consultant presenting to senior leadership, I selected Tata Steel because the steel industry is facing significant pressure to reduce carbon emissions while maintaining profitability, product quality and competitiveness. I considered Tata Steel an appropriate case as its existing manufacturing capabilities, customer relationships and investments in lower-carbon production provide opportunities to examine how environmental sustainability can support marketing-led growth.</w:t>
      </w:r>
    </w:p>
    <w:p w14:paraId="513400CD"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lastRenderedPageBreak/>
        <w:t>I selected the natural environment, government and regulatory actors, and customers because they influence the strategic decisions of Tata Steel from different perspectives. Environmental pressures create the need to reduce emissions and use resources more efficiently, while government policies influence investment decisions, compliance costs and access to international markets. Customers determine whether lower-carbon steel can generate commercial value through purchasing decisions and willingness to pay. I prioritised the natural environment because it connects the other two actors and provides the main reason for developing lower-carbon products.</w:t>
      </w:r>
    </w:p>
    <w:p w14:paraId="530F9EC0" w14:textId="03EB4DE9"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For the growth strategy, I evaluated the four options in the Ansoff Matrix and recommended product development as the primary approach. Based on this, it can be stated that Tata Steel would build on its existing capabilities and customer relationships while developing lower-carbon steel products. I also recognised the supporting roles of market penetration and market </w:t>
      </w:r>
      <w:r w:rsidR="002513E9" w:rsidRPr="002513E9">
        <w:rPr>
          <w:rFonts w:ascii="Times New Roman" w:eastAsia="Times New Roman" w:hAnsi="Times New Roman" w:cs="Times New Roman"/>
          <w:sz w:val="24"/>
          <w:szCs w:val="24"/>
          <w:lang w:val="en-GB"/>
        </w:rPr>
        <w:t>development;</w:t>
      </w:r>
      <w:r w:rsidRPr="002513E9">
        <w:rPr>
          <w:rFonts w:ascii="Times New Roman" w:eastAsia="Times New Roman" w:hAnsi="Times New Roman" w:cs="Times New Roman"/>
          <w:sz w:val="24"/>
          <w:szCs w:val="24"/>
          <w:lang w:val="en-GB"/>
        </w:rPr>
        <w:t xml:space="preserve"> </w:t>
      </w:r>
      <w:r w:rsidR="002513E9" w:rsidRPr="002513E9">
        <w:rPr>
          <w:rFonts w:ascii="Times New Roman" w:eastAsia="Times New Roman" w:hAnsi="Times New Roman" w:cs="Times New Roman"/>
          <w:sz w:val="24"/>
          <w:szCs w:val="24"/>
          <w:lang w:val="en-GB"/>
        </w:rPr>
        <w:t>however,</w:t>
      </w:r>
      <w:r w:rsidRPr="002513E9">
        <w:rPr>
          <w:rFonts w:ascii="Times New Roman" w:eastAsia="Times New Roman" w:hAnsi="Times New Roman" w:cs="Times New Roman"/>
          <w:sz w:val="24"/>
          <w:szCs w:val="24"/>
          <w:lang w:val="en-GB"/>
        </w:rPr>
        <w:t xml:space="preserve"> diversification was considered less suitable as the main strategy because entering unfamiliar markets could increase investment requirements and commercial uncertainty.</w:t>
      </w:r>
    </w:p>
    <w:p w14:paraId="194A0345" w14:textId="2134777F"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However, my analysis has limitations. I relied primarily on publicly available company reports, government publications and industry research rather than internal company </w:t>
      </w:r>
      <w:r w:rsidR="002513E9" w:rsidRPr="002513E9">
        <w:rPr>
          <w:rFonts w:ascii="Times New Roman" w:eastAsia="Times New Roman" w:hAnsi="Times New Roman" w:cs="Times New Roman"/>
          <w:sz w:val="24"/>
          <w:szCs w:val="24"/>
          <w:lang w:val="en-GB"/>
        </w:rPr>
        <w:t>data</w:t>
      </w:r>
      <w:r w:rsidR="002513E9">
        <w:rPr>
          <w:rFonts w:ascii="Times New Roman" w:eastAsia="Times New Roman" w:hAnsi="Times New Roman" w:cs="Times New Roman"/>
          <w:sz w:val="24"/>
          <w:szCs w:val="24"/>
          <w:lang w:val="en-GB"/>
        </w:rPr>
        <w:t>.</w:t>
      </w:r>
      <w:r w:rsidRPr="002513E9">
        <w:rPr>
          <w:rFonts w:ascii="Times New Roman" w:eastAsia="Times New Roman" w:hAnsi="Times New Roman" w:cs="Times New Roman"/>
          <w:sz w:val="24"/>
          <w:szCs w:val="24"/>
          <w:lang w:val="en-GB"/>
        </w:rPr>
        <w:t xml:space="preserve"> </w:t>
      </w:r>
      <w:r w:rsidR="002513E9">
        <w:rPr>
          <w:rFonts w:ascii="Times New Roman" w:eastAsia="Times New Roman" w:hAnsi="Times New Roman" w:cs="Times New Roman"/>
          <w:sz w:val="24"/>
          <w:szCs w:val="24"/>
          <w:lang w:val="en-GB"/>
        </w:rPr>
        <w:t>T</w:t>
      </w:r>
      <w:r w:rsidR="002513E9" w:rsidRPr="002513E9">
        <w:rPr>
          <w:rFonts w:ascii="Times New Roman" w:eastAsia="Times New Roman" w:hAnsi="Times New Roman" w:cs="Times New Roman"/>
          <w:sz w:val="24"/>
          <w:szCs w:val="24"/>
          <w:lang w:val="en-GB"/>
        </w:rPr>
        <w:t>hus,</w:t>
      </w:r>
      <w:r w:rsidRPr="002513E9">
        <w:rPr>
          <w:rFonts w:ascii="Times New Roman" w:eastAsia="Times New Roman" w:hAnsi="Times New Roman" w:cs="Times New Roman"/>
          <w:sz w:val="24"/>
          <w:szCs w:val="24"/>
          <w:lang w:val="en-GB"/>
        </w:rPr>
        <w:t xml:space="preserve"> I could not independently verify operational emissions performance, production costs or profitability of individual lower-carbon products. Furthermore, technological developments, energy prices and </w:t>
      </w:r>
      <w:r w:rsidR="002513E9" w:rsidRPr="002513E9">
        <w:rPr>
          <w:rFonts w:ascii="Times New Roman" w:eastAsia="Times New Roman" w:hAnsi="Times New Roman" w:cs="Times New Roman"/>
          <w:sz w:val="24"/>
          <w:szCs w:val="24"/>
          <w:lang w:val="en-GB"/>
        </w:rPr>
        <w:t>competitors’</w:t>
      </w:r>
      <w:r w:rsidRPr="002513E9">
        <w:rPr>
          <w:rFonts w:ascii="Times New Roman" w:eastAsia="Times New Roman" w:hAnsi="Times New Roman" w:cs="Times New Roman"/>
          <w:sz w:val="24"/>
          <w:szCs w:val="24"/>
          <w:lang w:val="en-GB"/>
        </w:rPr>
        <w:t xml:space="preserve"> strategies may change the commercial attractiveness of the recommended approach.</w:t>
      </w:r>
    </w:p>
    <w:p w14:paraId="476C2789"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Before finalising my recommendations, I would seek detailed customer research, including interviews with procurement managers and willingness-to-pay analysis. I would also examine product-level emissions data, scrap availability, renewable electricity costs and projected returns on investment, as well as benchmark Tata Steel against major competitors to assess its relative cost position.</w:t>
      </w:r>
    </w:p>
    <w:p w14:paraId="1B3598D3"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Thus, I would recommend pursuing product development through phased investment, verified environmental claims and close customer collaboration, and review the strategy regularly against sales growth, profitability, customer retention and verified emissions reductions.</w:t>
      </w:r>
    </w:p>
    <w:p w14:paraId="72349943" w14:textId="77777777" w:rsidR="00EF36F0" w:rsidRPr="002513E9" w:rsidRDefault="00000000">
      <w:pPr>
        <w:pStyle w:val="Heading1"/>
        <w:rPr>
          <w:lang w:val="en-GB"/>
        </w:rPr>
      </w:pPr>
      <w:bookmarkStart w:id="4" w:name="_heading=h.q17idrjsxhuo" w:colFirst="0" w:colLast="0"/>
      <w:bookmarkEnd w:id="4"/>
      <w:r w:rsidRPr="002513E9">
        <w:rPr>
          <w:lang w:val="en-GB"/>
        </w:rPr>
        <w:t>Conclusion</w:t>
      </w:r>
    </w:p>
    <w:p w14:paraId="66E88B89"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In conclusion, the transition of Tata Steel towards lower-carbon steel presents both opportunities and challenges. Environmental pressures, government regulations and customer expectations are shaping the marketing decisions of the company. Ansoff’s Matrix highlights </w:t>
      </w:r>
      <w:r w:rsidRPr="002513E9">
        <w:rPr>
          <w:rFonts w:ascii="Times New Roman" w:eastAsia="Times New Roman" w:hAnsi="Times New Roman" w:cs="Times New Roman"/>
          <w:sz w:val="24"/>
          <w:szCs w:val="24"/>
          <w:lang w:val="en-GB"/>
        </w:rPr>
        <w:lastRenderedPageBreak/>
        <w:t>product development as the most suitable strategy, supported by market penetration and market development. By investing in low-carbon production technologies, improving scrap utilisation and strengthening customer partnerships, Tata Steel can respond to changing market needs, and a phased investment approach would help to manage costs and reduce risks.</w:t>
      </w:r>
    </w:p>
    <w:p w14:paraId="023DEBB4" w14:textId="77777777" w:rsidR="00EF36F0" w:rsidRPr="002513E9" w:rsidRDefault="00EF36F0">
      <w:pPr>
        <w:spacing w:line="360" w:lineRule="auto"/>
        <w:jc w:val="both"/>
        <w:rPr>
          <w:rFonts w:ascii="Times New Roman" w:eastAsia="Times New Roman" w:hAnsi="Times New Roman" w:cs="Times New Roman"/>
          <w:sz w:val="24"/>
          <w:szCs w:val="24"/>
          <w:lang w:val="en-GB"/>
        </w:rPr>
      </w:pPr>
    </w:p>
    <w:p w14:paraId="1C87FF35" w14:textId="77777777" w:rsidR="00EF36F0" w:rsidRPr="002513E9" w:rsidRDefault="00000000">
      <w:pPr>
        <w:spacing w:line="360" w:lineRule="auto"/>
        <w:jc w:val="both"/>
        <w:rPr>
          <w:rFonts w:ascii="Times New Roman" w:eastAsia="Times New Roman" w:hAnsi="Times New Roman" w:cs="Times New Roman"/>
          <w:sz w:val="24"/>
          <w:szCs w:val="24"/>
          <w:lang w:val="en-GB"/>
        </w:rPr>
      </w:pPr>
      <w:r w:rsidRPr="002513E9">
        <w:rPr>
          <w:lang w:val="en-GB"/>
        </w:rPr>
        <w:br w:type="page"/>
      </w:r>
    </w:p>
    <w:p w14:paraId="5059AC7C" w14:textId="34F4E50E" w:rsidR="00F938B6" w:rsidRPr="002513E9" w:rsidRDefault="00000000" w:rsidP="00F938B6">
      <w:pPr>
        <w:pStyle w:val="Heading1"/>
        <w:rPr>
          <w:lang w:val="en-GB"/>
        </w:rPr>
      </w:pPr>
      <w:bookmarkStart w:id="5" w:name="_heading=h.dbyx1erpbczr" w:colFirst="0" w:colLast="0"/>
      <w:bookmarkEnd w:id="5"/>
      <w:r w:rsidRPr="002513E9">
        <w:rPr>
          <w:lang w:val="en-GB"/>
        </w:rPr>
        <w:lastRenderedPageBreak/>
        <w:t>References</w:t>
      </w:r>
    </w:p>
    <w:p w14:paraId="1B3AEC50"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Business Standard, (2026). </w:t>
      </w:r>
      <w:r w:rsidRPr="002513E9">
        <w:rPr>
          <w:rFonts w:ascii="Times New Roman" w:eastAsia="Times New Roman" w:hAnsi="Times New Roman" w:cs="Times New Roman"/>
          <w:i/>
          <w:iCs/>
          <w:sz w:val="24"/>
          <w:szCs w:val="24"/>
          <w:lang w:val="en-GB"/>
        </w:rPr>
        <w:t>Tata Steel commissions ₹3,200 crore Ludhiana EAF in green steel push.</w:t>
      </w:r>
      <w:r w:rsidRPr="002513E9">
        <w:rPr>
          <w:rFonts w:ascii="Times New Roman" w:eastAsia="Times New Roman" w:hAnsi="Times New Roman" w:cs="Times New Roman"/>
          <w:sz w:val="24"/>
          <w:szCs w:val="24"/>
          <w:lang w:val="en-GB"/>
        </w:rPr>
        <w:t xml:space="preserve"> [Online] Available at:</w:t>
      </w:r>
      <w:hyperlink r:id="rId9">
        <w:r w:rsidRPr="002513E9">
          <w:rPr>
            <w:rFonts w:ascii="Times New Roman" w:eastAsia="Times New Roman" w:hAnsi="Times New Roman" w:cs="Times New Roman"/>
            <w:sz w:val="24"/>
            <w:szCs w:val="24"/>
            <w:lang w:val="en-GB"/>
          </w:rPr>
          <w:t xml:space="preserve"> </w:t>
        </w:r>
      </w:hyperlink>
      <w:hyperlink r:id="rId10">
        <w:r w:rsidRPr="002513E9">
          <w:rPr>
            <w:rFonts w:ascii="Times New Roman" w:eastAsia="Times New Roman" w:hAnsi="Times New Roman" w:cs="Times New Roman"/>
            <w:color w:val="1155CC"/>
            <w:sz w:val="24"/>
            <w:szCs w:val="24"/>
            <w:u w:val="single"/>
            <w:lang w:val="en-GB"/>
          </w:rPr>
          <w:t>https://www.business-standard.com/companies/news/tata-steel-commissions-rs-3200-crore-ludhiana-eaf-in-green-push-126032001015_1.html</w:t>
        </w:r>
      </w:hyperlink>
      <w:r w:rsidRPr="002513E9">
        <w:rPr>
          <w:rFonts w:ascii="Times New Roman" w:eastAsia="Times New Roman" w:hAnsi="Times New Roman" w:cs="Times New Roman"/>
          <w:sz w:val="24"/>
          <w:szCs w:val="24"/>
          <w:lang w:val="en-GB"/>
        </w:rPr>
        <w:t xml:space="preserve"> [Accessed on 5 October, 2026]</w:t>
      </w:r>
    </w:p>
    <w:p w14:paraId="3E8875AE"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Climate Group, (2024). </w:t>
      </w:r>
      <w:r w:rsidRPr="002513E9">
        <w:rPr>
          <w:rFonts w:ascii="Times New Roman" w:eastAsia="Times New Roman" w:hAnsi="Times New Roman" w:cs="Times New Roman"/>
          <w:i/>
          <w:iCs/>
          <w:color w:val="222222"/>
          <w:sz w:val="24"/>
          <w:szCs w:val="24"/>
          <w:lang w:val="en-GB"/>
        </w:rPr>
        <w:t>The Steel and Concrete Transformation: 2024 Market Outlook on Lower Emission Steel and Concrete</w:t>
      </w:r>
      <w:r w:rsidRPr="002513E9">
        <w:rPr>
          <w:rFonts w:ascii="Times New Roman" w:eastAsia="Times New Roman" w:hAnsi="Times New Roman" w:cs="Times New Roman"/>
          <w:color w:val="222222"/>
          <w:sz w:val="24"/>
          <w:szCs w:val="24"/>
          <w:lang w:val="en-GB"/>
        </w:rPr>
        <w:t>. [Online] Available at:</w:t>
      </w:r>
      <w:hyperlink r:id="rId11">
        <w:r w:rsidRPr="002513E9">
          <w:rPr>
            <w:rFonts w:ascii="Times New Roman" w:eastAsia="Times New Roman" w:hAnsi="Times New Roman" w:cs="Times New Roman"/>
            <w:color w:val="222222"/>
            <w:sz w:val="24"/>
            <w:szCs w:val="24"/>
            <w:lang w:val="en-GB"/>
          </w:rPr>
          <w:t xml:space="preserve"> </w:t>
        </w:r>
      </w:hyperlink>
      <w:hyperlink r:id="rId12">
        <w:r w:rsidRPr="002513E9">
          <w:rPr>
            <w:rFonts w:ascii="Times New Roman" w:eastAsia="Times New Roman" w:hAnsi="Times New Roman" w:cs="Times New Roman"/>
            <w:color w:val="1155CC"/>
            <w:sz w:val="24"/>
            <w:szCs w:val="24"/>
            <w:u w:val="single"/>
            <w:lang w:val="en-GB"/>
          </w:rPr>
          <w:t>https://www.theclimategroup.org/steelzero-publications</w:t>
        </w:r>
      </w:hyperlink>
      <w:r w:rsidRPr="002513E9">
        <w:rPr>
          <w:rFonts w:ascii="Times New Roman" w:eastAsia="Times New Roman" w:hAnsi="Times New Roman" w:cs="Times New Roman"/>
          <w:color w:val="222222"/>
          <w:sz w:val="24"/>
          <w:szCs w:val="24"/>
          <w:lang w:val="en-GB"/>
        </w:rPr>
        <w:t xml:space="preserve"> [Accessed on 9 October 2026]</w:t>
      </w:r>
    </w:p>
    <w:p w14:paraId="14176C08"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Climate Group, (2026). </w:t>
      </w:r>
      <w:r w:rsidRPr="002513E9">
        <w:rPr>
          <w:rFonts w:ascii="Times New Roman" w:eastAsia="Times New Roman" w:hAnsi="Times New Roman" w:cs="Times New Roman"/>
          <w:i/>
          <w:iCs/>
          <w:color w:val="222222"/>
          <w:sz w:val="24"/>
          <w:szCs w:val="24"/>
          <w:lang w:val="en-GB"/>
        </w:rPr>
        <w:t>SteelZero: Building demand for net zero steel</w:t>
      </w:r>
      <w:r w:rsidRPr="002513E9">
        <w:rPr>
          <w:rFonts w:ascii="Times New Roman" w:eastAsia="Times New Roman" w:hAnsi="Times New Roman" w:cs="Times New Roman"/>
          <w:color w:val="222222"/>
          <w:sz w:val="24"/>
          <w:szCs w:val="24"/>
          <w:lang w:val="en-GB"/>
        </w:rPr>
        <w:t>. [Online] Available at:</w:t>
      </w:r>
      <w:hyperlink r:id="rId13">
        <w:r w:rsidRPr="002513E9">
          <w:rPr>
            <w:rFonts w:ascii="Times New Roman" w:eastAsia="Times New Roman" w:hAnsi="Times New Roman" w:cs="Times New Roman"/>
            <w:color w:val="222222"/>
            <w:sz w:val="24"/>
            <w:szCs w:val="24"/>
            <w:lang w:val="en-GB"/>
          </w:rPr>
          <w:t xml:space="preserve"> </w:t>
        </w:r>
      </w:hyperlink>
      <w:hyperlink r:id="rId14">
        <w:r w:rsidRPr="002513E9">
          <w:rPr>
            <w:rFonts w:ascii="Times New Roman" w:eastAsia="Times New Roman" w:hAnsi="Times New Roman" w:cs="Times New Roman"/>
            <w:color w:val="1155CC"/>
            <w:sz w:val="24"/>
            <w:szCs w:val="24"/>
            <w:u w:val="single"/>
            <w:lang w:val="en-GB"/>
          </w:rPr>
          <w:t>https://www.theclimategroup.org/steelzero</w:t>
        </w:r>
      </w:hyperlink>
      <w:r w:rsidRPr="002513E9">
        <w:rPr>
          <w:rFonts w:ascii="Times New Roman" w:eastAsia="Times New Roman" w:hAnsi="Times New Roman" w:cs="Times New Roman"/>
          <w:color w:val="222222"/>
          <w:sz w:val="24"/>
          <w:szCs w:val="24"/>
          <w:lang w:val="en-GB"/>
        </w:rPr>
        <w:t xml:space="preserve"> [Accessed on 9 October 2026]</w:t>
      </w:r>
    </w:p>
    <w:p w14:paraId="61981DE2"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de Villafranca Casas, M.J., Smit, S., Nilsson, A. and Kuramochi, T., (2024). Climate targets by major steel companies: an assessment of collective ambition and planned emission reduction measures. </w:t>
      </w:r>
      <w:r w:rsidRPr="002513E9">
        <w:rPr>
          <w:rFonts w:ascii="Times New Roman" w:eastAsia="Times New Roman" w:hAnsi="Times New Roman" w:cs="Times New Roman"/>
          <w:i/>
          <w:iCs/>
          <w:sz w:val="24"/>
          <w:szCs w:val="24"/>
          <w:lang w:val="en-GB"/>
        </w:rPr>
        <w:t>Energy and Climate Change</w:t>
      </w:r>
      <w:r w:rsidRPr="002513E9">
        <w:rPr>
          <w:rFonts w:ascii="Times New Roman" w:eastAsia="Times New Roman" w:hAnsi="Times New Roman" w:cs="Times New Roman"/>
          <w:sz w:val="24"/>
          <w:szCs w:val="24"/>
          <w:lang w:val="en-GB"/>
        </w:rPr>
        <w:t xml:space="preserve">, </w:t>
      </w:r>
      <w:r w:rsidRPr="002513E9">
        <w:rPr>
          <w:rFonts w:ascii="Times New Roman" w:eastAsia="Times New Roman" w:hAnsi="Times New Roman" w:cs="Times New Roman"/>
          <w:i/>
          <w:iCs/>
          <w:sz w:val="24"/>
          <w:szCs w:val="24"/>
          <w:lang w:val="en-GB"/>
        </w:rPr>
        <w:t>5</w:t>
      </w:r>
      <w:r w:rsidRPr="002513E9">
        <w:rPr>
          <w:rFonts w:ascii="Times New Roman" w:eastAsia="Times New Roman" w:hAnsi="Times New Roman" w:cs="Times New Roman"/>
          <w:sz w:val="24"/>
          <w:szCs w:val="24"/>
          <w:lang w:val="en-GB"/>
        </w:rPr>
        <w:t>, p.100120.</w:t>
      </w:r>
    </w:p>
    <w:p w14:paraId="23BF6309"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European Commission, (2026). </w:t>
      </w:r>
      <w:r w:rsidRPr="002513E9">
        <w:rPr>
          <w:rFonts w:ascii="Times New Roman" w:eastAsia="Times New Roman" w:hAnsi="Times New Roman" w:cs="Times New Roman"/>
          <w:i/>
          <w:iCs/>
          <w:sz w:val="24"/>
          <w:szCs w:val="24"/>
          <w:lang w:val="en-GB"/>
        </w:rPr>
        <w:t>CBAM definitive regime</w:t>
      </w:r>
      <w:r w:rsidRPr="002513E9">
        <w:rPr>
          <w:rFonts w:ascii="Times New Roman" w:eastAsia="Times New Roman" w:hAnsi="Times New Roman" w:cs="Times New Roman"/>
          <w:sz w:val="24"/>
          <w:szCs w:val="24"/>
          <w:lang w:val="en-GB"/>
        </w:rPr>
        <w:t>. [Online] Available at:</w:t>
      </w:r>
      <w:hyperlink r:id="rId15">
        <w:r w:rsidRPr="002513E9">
          <w:rPr>
            <w:rFonts w:ascii="Times New Roman" w:eastAsia="Times New Roman" w:hAnsi="Times New Roman" w:cs="Times New Roman"/>
            <w:sz w:val="24"/>
            <w:szCs w:val="24"/>
            <w:lang w:val="en-GB"/>
          </w:rPr>
          <w:t xml:space="preserve"> </w:t>
        </w:r>
      </w:hyperlink>
      <w:hyperlink r:id="rId16">
        <w:r w:rsidRPr="002513E9">
          <w:rPr>
            <w:rFonts w:ascii="Times New Roman" w:eastAsia="Times New Roman" w:hAnsi="Times New Roman" w:cs="Times New Roman"/>
            <w:color w:val="1155CC"/>
            <w:sz w:val="24"/>
            <w:szCs w:val="24"/>
            <w:u w:val="single"/>
            <w:lang w:val="en-GB"/>
          </w:rPr>
          <w:t>https://taxation-customs.ec.europa.eu/carbon-border-adjustment-mechanism_en</w:t>
        </w:r>
      </w:hyperlink>
      <w:r w:rsidRPr="002513E9">
        <w:rPr>
          <w:rFonts w:ascii="Times New Roman" w:eastAsia="Times New Roman" w:hAnsi="Times New Roman" w:cs="Times New Roman"/>
          <w:sz w:val="24"/>
          <w:szCs w:val="24"/>
          <w:lang w:val="en-GB"/>
        </w:rPr>
        <w:t xml:space="preserve"> [Accessed on 5 October 2026]</w:t>
      </w:r>
    </w:p>
    <w:p w14:paraId="00471462"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IEA, (2024). </w:t>
      </w:r>
      <w:r w:rsidRPr="002513E9">
        <w:rPr>
          <w:rFonts w:ascii="Times New Roman" w:eastAsia="Times New Roman" w:hAnsi="Times New Roman" w:cs="Times New Roman"/>
          <w:i/>
          <w:iCs/>
          <w:color w:val="222222"/>
          <w:sz w:val="24"/>
          <w:szCs w:val="24"/>
          <w:lang w:val="en-GB"/>
        </w:rPr>
        <w:t>Breakthrough Agenda Report 2024: Steel</w:t>
      </w:r>
      <w:r w:rsidRPr="002513E9">
        <w:rPr>
          <w:rFonts w:ascii="Times New Roman" w:eastAsia="Times New Roman" w:hAnsi="Times New Roman" w:cs="Times New Roman"/>
          <w:color w:val="222222"/>
          <w:sz w:val="24"/>
          <w:szCs w:val="24"/>
          <w:lang w:val="en-GB"/>
        </w:rPr>
        <w:t>. [Online] Available at:</w:t>
      </w:r>
      <w:hyperlink r:id="rId17">
        <w:r w:rsidRPr="002513E9">
          <w:rPr>
            <w:rFonts w:ascii="Times New Roman" w:eastAsia="Times New Roman" w:hAnsi="Times New Roman" w:cs="Times New Roman"/>
            <w:color w:val="222222"/>
            <w:sz w:val="24"/>
            <w:szCs w:val="24"/>
            <w:lang w:val="en-GB"/>
          </w:rPr>
          <w:t xml:space="preserve"> </w:t>
        </w:r>
      </w:hyperlink>
      <w:hyperlink r:id="rId18">
        <w:r w:rsidRPr="002513E9">
          <w:rPr>
            <w:rFonts w:ascii="Times New Roman" w:eastAsia="Times New Roman" w:hAnsi="Times New Roman" w:cs="Times New Roman"/>
            <w:color w:val="1155CC"/>
            <w:sz w:val="24"/>
            <w:szCs w:val="24"/>
            <w:u w:val="single"/>
            <w:lang w:val="en-GB"/>
          </w:rPr>
          <w:t>https://www.iea.org/reports/breakthrough-agenda-report-2024/steel</w:t>
        </w:r>
      </w:hyperlink>
      <w:r w:rsidRPr="002513E9">
        <w:rPr>
          <w:rFonts w:ascii="Times New Roman" w:eastAsia="Times New Roman" w:hAnsi="Times New Roman" w:cs="Times New Roman"/>
          <w:color w:val="222222"/>
          <w:sz w:val="24"/>
          <w:szCs w:val="24"/>
          <w:lang w:val="en-GB"/>
        </w:rPr>
        <w:t xml:space="preserve"> [Accessed on 9 October 2026]</w:t>
      </w:r>
    </w:p>
    <w:p w14:paraId="41E5AB59"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IEA, (2025). </w:t>
      </w:r>
      <w:r w:rsidRPr="002513E9">
        <w:rPr>
          <w:rFonts w:ascii="Times New Roman" w:eastAsia="Times New Roman" w:hAnsi="Times New Roman" w:cs="Times New Roman"/>
          <w:i/>
          <w:iCs/>
          <w:color w:val="222222"/>
          <w:sz w:val="24"/>
          <w:szCs w:val="24"/>
          <w:lang w:val="en-GB"/>
        </w:rPr>
        <w:t>Breakthrough Agenda Report 2025: Steel</w:t>
      </w:r>
      <w:r w:rsidRPr="002513E9">
        <w:rPr>
          <w:rFonts w:ascii="Times New Roman" w:eastAsia="Times New Roman" w:hAnsi="Times New Roman" w:cs="Times New Roman"/>
          <w:color w:val="222222"/>
          <w:sz w:val="24"/>
          <w:szCs w:val="24"/>
          <w:lang w:val="en-GB"/>
        </w:rPr>
        <w:t>. Paris: IEA. [Online] Available at:</w:t>
      </w:r>
      <w:hyperlink r:id="rId19">
        <w:r w:rsidRPr="002513E9">
          <w:rPr>
            <w:rFonts w:ascii="Times New Roman" w:eastAsia="Times New Roman" w:hAnsi="Times New Roman" w:cs="Times New Roman"/>
            <w:color w:val="222222"/>
            <w:sz w:val="24"/>
            <w:szCs w:val="24"/>
            <w:lang w:val="en-GB"/>
          </w:rPr>
          <w:t xml:space="preserve"> </w:t>
        </w:r>
      </w:hyperlink>
      <w:hyperlink r:id="rId20">
        <w:r w:rsidRPr="002513E9">
          <w:rPr>
            <w:rFonts w:ascii="Times New Roman" w:eastAsia="Times New Roman" w:hAnsi="Times New Roman" w:cs="Times New Roman"/>
            <w:color w:val="1155CC"/>
            <w:sz w:val="24"/>
            <w:szCs w:val="24"/>
            <w:u w:val="single"/>
            <w:lang w:val="en-GB"/>
          </w:rPr>
          <w:t>https://www.iea.org/reports/breakthrough-agenda-report-2025/steel</w:t>
        </w:r>
      </w:hyperlink>
      <w:r w:rsidRPr="002513E9">
        <w:rPr>
          <w:rFonts w:ascii="Times New Roman" w:eastAsia="Times New Roman" w:hAnsi="Times New Roman" w:cs="Times New Roman"/>
          <w:color w:val="222222"/>
          <w:sz w:val="24"/>
          <w:szCs w:val="24"/>
          <w:lang w:val="en-GB"/>
        </w:rPr>
        <w:t xml:space="preserve"> [Accessed on 9 October 2026]</w:t>
      </w:r>
    </w:p>
    <w:p w14:paraId="22EB5492"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Ministry of Steel, (2024). </w:t>
      </w:r>
      <w:r w:rsidRPr="002513E9">
        <w:rPr>
          <w:rFonts w:ascii="Times New Roman" w:eastAsia="Times New Roman" w:hAnsi="Times New Roman" w:cs="Times New Roman"/>
          <w:i/>
          <w:iCs/>
          <w:color w:val="222222"/>
          <w:sz w:val="24"/>
          <w:szCs w:val="24"/>
          <w:lang w:val="en-GB"/>
        </w:rPr>
        <w:t>Green Steel Initiative</w:t>
      </w:r>
      <w:r w:rsidRPr="002513E9">
        <w:rPr>
          <w:rFonts w:ascii="Times New Roman" w:eastAsia="Times New Roman" w:hAnsi="Times New Roman" w:cs="Times New Roman"/>
          <w:color w:val="222222"/>
          <w:sz w:val="24"/>
          <w:szCs w:val="24"/>
          <w:lang w:val="en-GB"/>
        </w:rPr>
        <w:t>. Government of India. [Online] Available at:</w:t>
      </w:r>
      <w:hyperlink r:id="rId21">
        <w:r w:rsidRPr="002513E9">
          <w:rPr>
            <w:rFonts w:ascii="Times New Roman" w:eastAsia="Times New Roman" w:hAnsi="Times New Roman" w:cs="Times New Roman"/>
            <w:color w:val="222222"/>
            <w:sz w:val="24"/>
            <w:szCs w:val="24"/>
            <w:lang w:val="en-GB"/>
          </w:rPr>
          <w:t xml:space="preserve"> </w:t>
        </w:r>
      </w:hyperlink>
      <w:hyperlink r:id="rId22">
        <w:r w:rsidRPr="002513E9">
          <w:rPr>
            <w:rFonts w:ascii="Times New Roman" w:eastAsia="Times New Roman" w:hAnsi="Times New Roman" w:cs="Times New Roman"/>
            <w:color w:val="1155CC"/>
            <w:sz w:val="24"/>
            <w:szCs w:val="24"/>
            <w:u w:val="single"/>
            <w:lang w:val="en-GB"/>
          </w:rPr>
          <w:t>https://steel.gov.in/green-steel-initiative</w:t>
        </w:r>
      </w:hyperlink>
      <w:r w:rsidRPr="002513E9">
        <w:rPr>
          <w:rFonts w:ascii="Times New Roman" w:eastAsia="Times New Roman" w:hAnsi="Times New Roman" w:cs="Times New Roman"/>
          <w:color w:val="222222"/>
          <w:sz w:val="24"/>
          <w:szCs w:val="24"/>
          <w:lang w:val="en-GB"/>
        </w:rPr>
        <w:t xml:space="preserve"> [Accessed on 9 October 2026]</w:t>
      </w:r>
    </w:p>
    <w:p w14:paraId="391821BB"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Ministry of Steel, (2024). </w:t>
      </w:r>
      <w:r w:rsidRPr="002513E9">
        <w:rPr>
          <w:rFonts w:ascii="Times New Roman" w:eastAsia="Times New Roman" w:hAnsi="Times New Roman" w:cs="Times New Roman"/>
          <w:i/>
          <w:iCs/>
          <w:color w:val="222222"/>
          <w:sz w:val="24"/>
          <w:szCs w:val="24"/>
          <w:lang w:val="en-GB"/>
        </w:rPr>
        <w:t>Taxonomy for Green Steel for India</w:t>
      </w:r>
      <w:r w:rsidRPr="002513E9">
        <w:rPr>
          <w:rFonts w:ascii="Times New Roman" w:eastAsia="Times New Roman" w:hAnsi="Times New Roman" w:cs="Times New Roman"/>
          <w:color w:val="222222"/>
          <w:sz w:val="24"/>
          <w:szCs w:val="24"/>
          <w:lang w:val="en-GB"/>
        </w:rPr>
        <w:t>. Government of India. [Online] Available at:</w:t>
      </w:r>
      <w:hyperlink r:id="rId23">
        <w:r w:rsidRPr="002513E9">
          <w:rPr>
            <w:rFonts w:ascii="Times New Roman" w:eastAsia="Times New Roman" w:hAnsi="Times New Roman" w:cs="Times New Roman"/>
            <w:color w:val="222222"/>
            <w:sz w:val="24"/>
            <w:szCs w:val="24"/>
            <w:lang w:val="en-GB"/>
          </w:rPr>
          <w:t xml:space="preserve"> </w:t>
        </w:r>
      </w:hyperlink>
      <w:hyperlink r:id="rId24">
        <w:r w:rsidRPr="002513E9">
          <w:rPr>
            <w:rFonts w:ascii="Times New Roman" w:eastAsia="Times New Roman" w:hAnsi="Times New Roman" w:cs="Times New Roman"/>
            <w:color w:val="1155CC"/>
            <w:sz w:val="24"/>
            <w:szCs w:val="24"/>
            <w:u w:val="single"/>
            <w:lang w:val="en-GB"/>
          </w:rPr>
          <w:t>https://steel.gov.in/green-steel-taxonomy-india</w:t>
        </w:r>
      </w:hyperlink>
      <w:r w:rsidRPr="002513E9">
        <w:rPr>
          <w:rFonts w:ascii="Times New Roman" w:eastAsia="Times New Roman" w:hAnsi="Times New Roman" w:cs="Times New Roman"/>
          <w:color w:val="222222"/>
          <w:sz w:val="24"/>
          <w:szCs w:val="24"/>
          <w:lang w:val="en-GB"/>
        </w:rPr>
        <w:t xml:space="preserve"> [Accessed on 9 October 2026]</w:t>
      </w:r>
    </w:p>
    <w:p w14:paraId="6DD2E1B7"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PIB, (2024). </w:t>
      </w:r>
      <w:r w:rsidRPr="002513E9">
        <w:rPr>
          <w:rFonts w:ascii="Times New Roman" w:eastAsia="Times New Roman" w:hAnsi="Times New Roman" w:cs="Times New Roman"/>
          <w:i/>
          <w:iCs/>
          <w:sz w:val="24"/>
          <w:szCs w:val="24"/>
          <w:lang w:val="en-GB"/>
        </w:rPr>
        <w:t>Union Minister of Steel and Heavy Industries, Shri H.D. Kumaraswamy, Releases India’s Green Steel Taxonomy</w:t>
      </w:r>
      <w:r w:rsidRPr="002513E9">
        <w:rPr>
          <w:rFonts w:ascii="Times New Roman" w:eastAsia="Times New Roman" w:hAnsi="Times New Roman" w:cs="Times New Roman"/>
          <w:sz w:val="24"/>
          <w:szCs w:val="24"/>
          <w:lang w:val="en-GB"/>
        </w:rPr>
        <w:t>. [Online] Available at:</w:t>
      </w:r>
      <w:hyperlink r:id="rId25">
        <w:r w:rsidRPr="002513E9">
          <w:rPr>
            <w:rFonts w:ascii="Times New Roman" w:eastAsia="Times New Roman" w:hAnsi="Times New Roman" w:cs="Times New Roman"/>
            <w:sz w:val="24"/>
            <w:szCs w:val="24"/>
            <w:lang w:val="en-GB"/>
          </w:rPr>
          <w:t xml:space="preserve"> </w:t>
        </w:r>
      </w:hyperlink>
      <w:hyperlink r:id="rId26">
        <w:r w:rsidRPr="002513E9">
          <w:rPr>
            <w:rFonts w:ascii="Times New Roman" w:eastAsia="Times New Roman" w:hAnsi="Times New Roman" w:cs="Times New Roman"/>
            <w:color w:val="1155CC"/>
            <w:sz w:val="24"/>
            <w:szCs w:val="24"/>
            <w:u w:val="single"/>
            <w:lang w:val="en-GB"/>
          </w:rPr>
          <w:t>https://www.pib.gov.in/PressReleaseIframePage.aspx?PRID=2083839</w:t>
        </w:r>
      </w:hyperlink>
      <w:r w:rsidRPr="002513E9">
        <w:rPr>
          <w:rFonts w:ascii="Times New Roman" w:eastAsia="Times New Roman" w:hAnsi="Times New Roman" w:cs="Times New Roman"/>
          <w:sz w:val="24"/>
          <w:szCs w:val="24"/>
          <w:lang w:val="en-GB"/>
        </w:rPr>
        <w:t xml:space="preserve"> [Accessed on 5 October 2026]</w:t>
      </w:r>
    </w:p>
    <w:p w14:paraId="4E2A2111"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PIB, (2025). </w:t>
      </w:r>
      <w:r w:rsidRPr="002513E9">
        <w:rPr>
          <w:rFonts w:ascii="Times New Roman" w:eastAsia="Times New Roman" w:hAnsi="Times New Roman" w:cs="Times New Roman"/>
          <w:i/>
          <w:iCs/>
          <w:sz w:val="24"/>
          <w:szCs w:val="24"/>
          <w:lang w:val="en-GB"/>
        </w:rPr>
        <w:t>Unlocking India’s Green Hydrogen Production Potential.</w:t>
      </w:r>
      <w:r w:rsidRPr="002513E9">
        <w:rPr>
          <w:rFonts w:ascii="Times New Roman" w:eastAsia="Times New Roman" w:hAnsi="Times New Roman" w:cs="Times New Roman"/>
          <w:sz w:val="24"/>
          <w:szCs w:val="24"/>
          <w:lang w:val="en-GB"/>
        </w:rPr>
        <w:t xml:space="preserve"> [Online] Available at:</w:t>
      </w:r>
      <w:hyperlink r:id="rId27">
        <w:r w:rsidRPr="002513E9">
          <w:rPr>
            <w:rFonts w:ascii="Times New Roman" w:eastAsia="Times New Roman" w:hAnsi="Times New Roman" w:cs="Times New Roman"/>
            <w:sz w:val="24"/>
            <w:szCs w:val="24"/>
            <w:lang w:val="en-GB"/>
          </w:rPr>
          <w:t xml:space="preserve"> </w:t>
        </w:r>
      </w:hyperlink>
      <w:hyperlink r:id="rId28">
        <w:r w:rsidRPr="002513E9">
          <w:rPr>
            <w:rFonts w:ascii="Times New Roman" w:eastAsia="Times New Roman" w:hAnsi="Times New Roman" w:cs="Times New Roman"/>
            <w:color w:val="1155CC"/>
            <w:sz w:val="24"/>
            <w:szCs w:val="24"/>
            <w:u w:val="single"/>
            <w:lang w:val="en-GB"/>
          </w:rPr>
          <w:t>https://www.pib.gov.in/PressReleasePage.aspx?PRID=2189126</w:t>
        </w:r>
      </w:hyperlink>
      <w:r w:rsidRPr="002513E9">
        <w:rPr>
          <w:rFonts w:ascii="Times New Roman" w:eastAsia="Times New Roman" w:hAnsi="Times New Roman" w:cs="Times New Roman"/>
          <w:sz w:val="24"/>
          <w:szCs w:val="24"/>
          <w:lang w:val="en-GB"/>
        </w:rPr>
        <w:t xml:space="preserve"> [Accessed on 5 October 2026]</w:t>
      </w:r>
    </w:p>
    <w:p w14:paraId="41435F1E"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Prabhaker, S.P. and Kumar, S., (2024). 4. Development Of Framework For Optimised Value Delivery In Construction Projects With Reference To Tata Steel Limited. </w:t>
      </w:r>
      <w:r w:rsidRPr="002513E9">
        <w:rPr>
          <w:rFonts w:ascii="Times New Roman" w:eastAsia="Times New Roman" w:hAnsi="Times New Roman" w:cs="Times New Roman"/>
          <w:i/>
          <w:iCs/>
          <w:sz w:val="24"/>
          <w:szCs w:val="24"/>
          <w:lang w:val="en-GB"/>
        </w:rPr>
        <w:t>The Researchers’ International Research Journal</w:t>
      </w:r>
      <w:r w:rsidRPr="002513E9">
        <w:rPr>
          <w:rFonts w:ascii="Times New Roman" w:eastAsia="Times New Roman" w:hAnsi="Times New Roman" w:cs="Times New Roman"/>
          <w:sz w:val="24"/>
          <w:szCs w:val="24"/>
          <w:lang w:val="en-GB"/>
        </w:rPr>
        <w:t xml:space="preserve">, </w:t>
      </w:r>
      <w:r w:rsidRPr="002513E9">
        <w:rPr>
          <w:rFonts w:ascii="Times New Roman" w:eastAsia="Times New Roman" w:hAnsi="Times New Roman" w:cs="Times New Roman"/>
          <w:i/>
          <w:iCs/>
          <w:sz w:val="24"/>
          <w:szCs w:val="24"/>
          <w:lang w:val="en-GB"/>
        </w:rPr>
        <w:t>10</w:t>
      </w:r>
      <w:r w:rsidRPr="002513E9">
        <w:rPr>
          <w:rFonts w:ascii="Times New Roman" w:eastAsia="Times New Roman" w:hAnsi="Times New Roman" w:cs="Times New Roman"/>
          <w:sz w:val="24"/>
          <w:szCs w:val="24"/>
          <w:lang w:val="en-GB"/>
        </w:rPr>
        <w:t>(1), pp.23-43.</w:t>
      </w:r>
    </w:p>
    <w:p w14:paraId="50A4E8D9"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Rahman, M.S., Kumar, A. and Nasim, M., (2026). Driving Sustainability: Green Steel Production Powered by Green Hydrogen vs Electric Vehicles—A Future of Cleaner and Greener Innovations. In </w:t>
      </w:r>
      <w:r w:rsidRPr="002513E9">
        <w:rPr>
          <w:rFonts w:ascii="Times New Roman" w:eastAsia="Times New Roman" w:hAnsi="Times New Roman" w:cs="Times New Roman"/>
          <w:i/>
          <w:iCs/>
          <w:sz w:val="24"/>
          <w:szCs w:val="24"/>
          <w:lang w:val="en-GB"/>
        </w:rPr>
        <w:t>Green Hydrogen Transition: A Comprehensive Guide to Policies, Supply Chain and Market Dynamics in India</w:t>
      </w:r>
      <w:r w:rsidRPr="002513E9">
        <w:rPr>
          <w:rFonts w:ascii="Times New Roman" w:eastAsia="Times New Roman" w:hAnsi="Times New Roman" w:cs="Times New Roman"/>
          <w:sz w:val="24"/>
          <w:szCs w:val="24"/>
          <w:lang w:val="en-GB"/>
        </w:rPr>
        <w:t xml:space="preserve"> (pp. 133-146). Singapore: Springer Nature Singapore.</w:t>
      </w:r>
    </w:p>
    <w:p w14:paraId="6185BCB3" w14:textId="77777777" w:rsidR="00F938B6" w:rsidRPr="002513E9" w:rsidRDefault="00F938B6">
      <w:pPr>
        <w:spacing w:before="200" w:after="200" w:line="360" w:lineRule="auto"/>
        <w:jc w:val="both"/>
        <w:rPr>
          <w:rFonts w:ascii="Times New Roman" w:eastAsia="Times New Roman" w:hAnsi="Times New Roman" w:cs="Times New Roman"/>
          <w:sz w:val="24"/>
          <w:szCs w:val="24"/>
          <w:lang w:val="en-GB"/>
        </w:rPr>
      </w:pPr>
      <w:r w:rsidRPr="002513E9">
        <w:rPr>
          <w:rFonts w:ascii="Times New Roman" w:eastAsia="Times New Roman" w:hAnsi="Times New Roman" w:cs="Times New Roman"/>
          <w:sz w:val="24"/>
          <w:szCs w:val="24"/>
          <w:lang w:val="en-GB"/>
        </w:rPr>
        <w:t xml:space="preserve">Tata Steel, (2025). </w:t>
      </w:r>
      <w:r w:rsidRPr="002513E9">
        <w:rPr>
          <w:rFonts w:ascii="Times New Roman" w:eastAsia="Times New Roman" w:hAnsi="Times New Roman" w:cs="Times New Roman"/>
          <w:i/>
          <w:iCs/>
          <w:sz w:val="24"/>
          <w:szCs w:val="24"/>
          <w:lang w:val="en-GB"/>
        </w:rPr>
        <w:t>Climate Change Report.</w:t>
      </w:r>
      <w:r w:rsidRPr="002513E9">
        <w:rPr>
          <w:rFonts w:ascii="Times New Roman" w:eastAsia="Times New Roman" w:hAnsi="Times New Roman" w:cs="Times New Roman"/>
          <w:sz w:val="24"/>
          <w:szCs w:val="24"/>
          <w:lang w:val="en-GB"/>
        </w:rPr>
        <w:t xml:space="preserve"> [Online] Available at:</w:t>
      </w:r>
      <w:hyperlink r:id="rId29">
        <w:r w:rsidRPr="002513E9">
          <w:rPr>
            <w:rFonts w:ascii="Times New Roman" w:eastAsia="Times New Roman" w:hAnsi="Times New Roman" w:cs="Times New Roman"/>
            <w:sz w:val="24"/>
            <w:szCs w:val="24"/>
            <w:lang w:val="en-GB"/>
          </w:rPr>
          <w:t xml:space="preserve"> </w:t>
        </w:r>
      </w:hyperlink>
      <w:hyperlink r:id="rId30">
        <w:r w:rsidRPr="002513E9">
          <w:rPr>
            <w:rFonts w:ascii="Times New Roman" w:eastAsia="Times New Roman" w:hAnsi="Times New Roman" w:cs="Times New Roman"/>
            <w:color w:val="1155CC"/>
            <w:sz w:val="24"/>
            <w:szCs w:val="24"/>
            <w:u w:val="single"/>
            <w:lang w:val="en-GB"/>
          </w:rPr>
          <w:t>https://www.tatasteel.com/investors/integrated-report-2025-26/pdf/Climate%20Change%20Report.pdf</w:t>
        </w:r>
      </w:hyperlink>
      <w:r w:rsidRPr="002513E9">
        <w:rPr>
          <w:rFonts w:ascii="Times New Roman" w:eastAsia="Times New Roman" w:hAnsi="Times New Roman" w:cs="Times New Roman"/>
          <w:sz w:val="24"/>
          <w:szCs w:val="24"/>
          <w:lang w:val="en-GB"/>
        </w:rPr>
        <w:t xml:space="preserve"> [Accessed on 5 October 2026]</w:t>
      </w:r>
    </w:p>
    <w:p w14:paraId="62A50022"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Tata Steel, (2025). </w:t>
      </w:r>
      <w:r w:rsidRPr="002513E9">
        <w:rPr>
          <w:rFonts w:ascii="Times New Roman" w:eastAsia="Times New Roman" w:hAnsi="Times New Roman" w:cs="Times New Roman"/>
          <w:i/>
          <w:iCs/>
          <w:color w:val="222222"/>
          <w:sz w:val="24"/>
          <w:szCs w:val="24"/>
          <w:lang w:val="en-GB"/>
        </w:rPr>
        <w:t>Integrated Report and Annual Accounts 2024-25: ESG Goals.</w:t>
      </w:r>
      <w:r w:rsidRPr="002513E9">
        <w:rPr>
          <w:rFonts w:ascii="Times New Roman" w:eastAsia="Times New Roman" w:hAnsi="Times New Roman" w:cs="Times New Roman"/>
          <w:color w:val="222222"/>
          <w:sz w:val="24"/>
          <w:szCs w:val="24"/>
          <w:lang w:val="en-GB"/>
        </w:rPr>
        <w:t xml:space="preserve"> [Online] Available at:</w:t>
      </w:r>
      <w:hyperlink r:id="rId31">
        <w:r w:rsidRPr="002513E9">
          <w:rPr>
            <w:rFonts w:ascii="Times New Roman" w:eastAsia="Times New Roman" w:hAnsi="Times New Roman" w:cs="Times New Roman"/>
            <w:color w:val="222222"/>
            <w:sz w:val="24"/>
            <w:szCs w:val="24"/>
            <w:lang w:val="en-GB"/>
          </w:rPr>
          <w:t xml:space="preserve"> </w:t>
        </w:r>
      </w:hyperlink>
      <w:hyperlink r:id="rId32">
        <w:r w:rsidRPr="002513E9">
          <w:rPr>
            <w:rFonts w:ascii="Times New Roman" w:eastAsia="Times New Roman" w:hAnsi="Times New Roman" w:cs="Times New Roman"/>
            <w:color w:val="1155CC"/>
            <w:sz w:val="24"/>
            <w:szCs w:val="24"/>
            <w:u w:val="single"/>
            <w:lang w:val="en-GB"/>
          </w:rPr>
          <w:t>https://www.tatasteel.com/investors/integrated-report-2024-25/esg-goals.html</w:t>
        </w:r>
      </w:hyperlink>
      <w:r w:rsidRPr="002513E9">
        <w:rPr>
          <w:rFonts w:ascii="Times New Roman" w:eastAsia="Times New Roman" w:hAnsi="Times New Roman" w:cs="Times New Roman"/>
          <w:color w:val="222222"/>
          <w:sz w:val="24"/>
          <w:szCs w:val="24"/>
          <w:lang w:val="en-GB"/>
        </w:rPr>
        <w:t xml:space="preserve"> [Accessed on 9 October 2026]</w:t>
      </w:r>
    </w:p>
    <w:p w14:paraId="6F0301C6"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Tata Steel, (2025b). </w:t>
      </w:r>
      <w:r w:rsidRPr="002513E9">
        <w:rPr>
          <w:rFonts w:ascii="Times New Roman" w:eastAsia="Times New Roman" w:hAnsi="Times New Roman" w:cs="Times New Roman"/>
          <w:i/>
          <w:iCs/>
          <w:color w:val="222222"/>
          <w:sz w:val="24"/>
          <w:szCs w:val="24"/>
          <w:lang w:val="en-GB"/>
        </w:rPr>
        <w:t>Integrated Report and Annual Accounts 2024-25.</w:t>
      </w:r>
      <w:r w:rsidRPr="002513E9">
        <w:rPr>
          <w:rFonts w:ascii="Times New Roman" w:eastAsia="Times New Roman" w:hAnsi="Times New Roman" w:cs="Times New Roman"/>
          <w:color w:val="222222"/>
          <w:sz w:val="24"/>
          <w:szCs w:val="24"/>
          <w:lang w:val="en-GB"/>
        </w:rPr>
        <w:t xml:space="preserve"> [Online] Available at:</w:t>
      </w:r>
      <w:hyperlink r:id="rId33">
        <w:r w:rsidRPr="002513E9">
          <w:rPr>
            <w:rFonts w:ascii="Times New Roman" w:eastAsia="Times New Roman" w:hAnsi="Times New Roman" w:cs="Times New Roman"/>
            <w:color w:val="222222"/>
            <w:sz w:val="24"/>
            <w:szCs w:val="24"/>
            <w:lang w:val="en-GB"/>
          </w:rPr>
          <w:t xml:space="preserve"> </w:t>
        </w:r>
      </w:hyperlink>
      <w:hyperlink r:id="rId34">
        <w:r w:rsidRPr="002513E9">
          <w:rPr>
            <w:rFonts w:ascii="Times New Roman" w:eastAsia="Times New Roman" w:hAnsi="Times New Roman" w:cs="Times New Roman"/>
            <w:color w:val="1155CC"/>
            <w:sz w:val="24"/>
            <w:szCs w:val="24"/>
            <w:u w:val="single"/>
            <w:lang w:val="en-GB"/>
          </w:rPr>
          <w:t>https://www.tatasteel.com/investors/integrated-reportannual-report/118-integrated-annual-report-2024-25/</w:t>
        </w:r>
      </w:hyperlink>
      <w:r w:rsidRPr="002513E9">
        <w:rPr>
          <w:rFonts w:ascii="Times New Roman" w:eastAsia="Times New Roman" w:hAnsi="Times New Roman" w:cs="Times New Roman"/>
          <w:color w:val="222222"/>
          <w:sz w:val="24"/>
          <w:szCs w:val="24"/>
          <w:lang w:val="en-GB"/>
        </w:rPr>
        <w:t xml:space="preserve"> [Accessed on 9 October 2026]</w:t>
      </w:r>
    </w:p>
    <w:p w14:paraId="6167F892"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Tata Steel, (2026). </w:t>
      </w:r>
      <w:r w:rsidRPr="002513E9">
        <w:rPr>
          <w:rFonts w:ascii="Times New Roman" w:eastAsia="Times New Roman" w:hAnsi="Times New Roman" w:cs="Times New Roman"/>
          <w:i/>
          <w:iCs/>
          <w:color w:val="222222"/>
          <w:sz w:val="24"/>
          <w:szCs w:val="24"/>
          <w:lang w:val="en-GB"/>
        </w:rPr>
        <w:t>Tata Steel inaugurates its first scrap-based Electric Arc Furnace in India.</w:t>
      </w:r>
      <w:r w:rsidRPr="002513E9">
        <w:rPr>
          <w:rFonts w:ascii="Times New Roman" w:eastAsia="Times New Roman" w:hAnsi="Times New Roman" w:cs="Times New Roman"/>
          <w:color w:val="222222"/>
          <w:sz w:val="24"/>
          <w:szCs w:val="24"/>
          <w:lang w:val="en-GB"/>
        </w:rPr>
        <w:t xml:space="preserve"> [Online] Available at:</w:t>
      </w:r>
      <w:hyperlink r:id="rId35">
        <w:r w:rsidRPr="002513E9">
          <w:rPr>
            <w:rFonts w:ascii="Times New Roman" w:eastAsia="Times New Roman" w:hAnsi="Times New Roman" w:cs="Times New Roman"/>
            <w:color w:val="222222"/>
            <w:sz w:val="24"/>
            <w:szCs w:val="24"/>
            <w:lang w:val="en-GB"/>
          </w:rPr>
          <w:t xml:space="preserve"> </w:t>
        </w:r>
      </w:hyperlink>
      <w:hyperlink r:id="rId36">
        <w:r w:rsidRPr="002513E9">
          <w:rPr>
            <w:rFonts w:ascii="Times New Roman" w:eastAsia="Times New Roman" w:hAnsi="Times New Roman" w:cs="Times New Roman"/>
            <w:color w:val="1155CC"/>
            <w:sz w:val="24"/>
            <w:szCs w:val="24"/>
            <w:u w:val="single"/>
            <w:lang w:val="en-GB"/>
          </w:rPr>
          <w:t>https://www.tatasteel.com/newsroom/press-releases/india/2026/tata-steel-inaugurates-its-first-scrap-based-electric-arc-furnace-in-india/</w:t>
        </w:r>
      </w:hyperlink>
      <w:r w:rsidRPr="002513E9">
        <w:rPr>
          <w:rFonts w:ascii="Times New Roman" w:eastAsia="Times New Roman" w:hAnsi="Times New Roman" w:cs="Times New Roman"/>
          <w:color w:val="222222"/>
          <w:sz w:val="24"/>
          <w:szCs w:val="24"/>
          <w:lang w:val="en-GB"/>
        </w:rPr>
        <w:t xml:space="preserve"> [Accessed on 9 October 2026]</w:t>
      </w:r>
    </w:p>
    <w:p w14:paraId="6CB7EBC0"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The World Economic Forum, (2024a). </w:t>
      </w:r>
      <w:r w:rsidRPr="002513E9">
        <w:rPr>
          <w:rFonts w:ascii="Times New Roman" w:eastAsia="Times New Roman" w:hAnsi="Times New Roman" w:cs="Times New Roman"/>
          <w:i/>
          <w:iCs/>
          <w:color w:val="222222"/>
          <w:sz w:val="24"/>
          <w:szCs w:val="24"/>
          <w:lang w:val="en-GB"/>
        </w:rPr>
        <w:t>Net-Zero Industry Tracker 2024: Steel</w:t>
      </w:r>
      <w:r w:rsidRPr="002513E9">
        <w:rPr>
          <w:rFonts w:ascii="Times New Roman" w:eastAsia="Times New Roman" w:hAnsi="Times New Roman" w:cs="Times New Roman"/>
          <w:color w:val="222222"/>
          <w:sz w:val="24"/>
          <w:szCs w:val="24"/>
          <w:lang w:val="en-GB"/>
        </w:rPr>
        <w:t>. [Online] Available at:</w:t>
      </w:r>
      <w:hyperlink r:id="rId37">
        <w:r w:rsidRPr="002513E9">
          <w:rPr>
            <w:rFonts w:ascii="Times New Roman" w:eastAsia="Times New Roman" w:hAnsi="Times New Roman" w:cs="Times New Roman"/>
            <w:color w:val="222222"/>
            <w:sz w:val="24"/>
            <w:szCs w:val="24"/>
            <w:lang w:val="en-GB"/>
          </w:rPr>
          <w:t xml:space="preserve"> </w:t>
        </w:r>
      </w:hyperlink>
      <w:hyperlink r:id="rId38">
        <w:r w:rsidRPr="002513E9">
          <w:rPr>
            <w:rFonts w:ascii="Times New Roman" w:eastAsia="Times New Roman" w:hAnsi="Times New Roman" w:cs="Times New Roman"/>
            <w:color w:val="1155CC"/>
            <w:sz w:val="24"/>
            <w:szCs w:val="24"/>
            <w:u w:val="single"/>
            <w:lang w:val="en-GB"/>
          </w:rPr>
          <w:t>https://www.weforum.org/publications/net-zero-industry-tracker-2024/steel-net-zero-tracker-2024/</w:t>
        </w:r>
      </w:hyperlink>
      <w:r w:rsidRPr="002513E9">
        <w:rPr>
          <w:rFonts w:ascii="Times New Roman" w:eastAsia="Times New Roman" w:hAnsi="Times New Roman" w:cs="Times New Roman"/>
          <w:color w:val="222222"/>
          <w:sz w:val="24"/>
          <w:szCs w:val="24"/>
          <w:lang w:val="en-GB"/>
        </w:rPr>
        <w:t xml:space="preserve"> [Accessed on 9 October 2026]</w:t>
      </w:r>
    </w:p>
    <w:p w14:paraId="66DC2879"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lastRenderedPageBreak/>
        <w:t xml:space="preserve">The World Economic Forum, (2024b). </w:t>
      </w:r>
      <w:r w:rsidRPr="002513E9">
        <w:rPr>
          <w:rFonts w:ascii="Times New Roman" w:eastAsia="Times New Roman" w:hAnsi="Times New Roman" w:cs="Times New Roman"/>
          <w:i/>
          <w:iCs/>
          <w:color w:val="222222"/>
          <w:sz w:val="24"/>
          <w:szCs w:val="24"/>
          <w:lang w:val="en-GB"/>
        </w:rPr>
        <w:t>First Movers Coalition: 120 Commitments for Breakthrough Industrial Decarbonization Technologies</w:t>
      </w:r>
      <w:r w:rsidRPr="002513E9">
        <w:rPr>
          <w:rFonts w:ascii="Times New Roman" w:eastAsia="Times New Roman" w:hAnsi="Times New Roman" w:cs="Times New Roman"/>
          <w:color w:val="222222"/>
          <w:sz w:val="24"/>
          <w:szCs w:val="24"/>
          <w:lang w:val="en-GB"/>
        </w:rPr>
        <w:t>. [Online] Available at:</w:t>
      </w:r>
      <w:hyperlink r:id="rId39">
        <w:r w:rsidRPr="002513E9">
          <w:rPr>
            <w:rFonts w:ascii="Times New Roman" w:eastAsia="Times New Roman" w:hAnsi="Times New Roman" w:cs="Times New Roman"/>
            <w:color w:val="222222"/>
            <w:sz w:val="24"/>
            <w:szCs w:val="24"/>
            <w:lang w:val="en-GB"/>
          </w:rPr>
          <w:t xml:space="preserve"> </w:t>
        </w:r>
      </w:hyperlink>
      <w:hyperlink r:id="rId40">
        <w:r w:rsidRPr="002513E9">
          <w:rPr>
            <w:rFonts w:ascii="Times New Roman" w:eastAsia="Times New Roman" w:hAnsi="Times New Roman" w:cs="Times New Roman"/>
            <w:color w:val="1155CC"/>
            <w:sz w:val="24"/>
            <w:szCs w:val="24"/>
            <w:u w:val="single"/>
            <w:lang w:val="en-GB"/>
          </w:rPr>
          <w:t>https://www.weforum.org/media/wef24-first-movers-coalition-commitments/</w:t>
        </w:r>
      </w:hyperlink>
      <w:r w:rsidRPr="002513E9">
        <w:rPr>
          <w:rFonts w:ascii="Times New Roman" w:eastAsia="Times New Roman" w:hAnsi="Times New Roman" w:cs="Times New Roman"/>
          <w:color w:val="222222"/>
          <w:sz w:val="24"/>
          <w:szCs w:val="24"/>
          <w:lang w:val="en-GB"/>
        </w:rPr>
        <w:t xml:space="preserve"> [Accessed on 9 October 2026]</w:t>
      </w:r>
    </w:p>
    <w:p w14:paraId="27099063" w14:textId="77777777" w:rsidR="00F938B6" w:rsidRPr="002513E9" w:rsidRDefault="00F938B6">
      <w:pPr>
        <w:widowControl w:val="0"/>
        <w:spacing w:before="200" w:after="200" w:line="360" w:lineRule="auto"/>
        <w:jc w:val="both"/>
        <w:rPr>
          <w:rFonts w:ascii="Times New Roman" w:eastAsia="Times New Roman" w:hAnsi="Times New Roman" w:cs="Times New Roman"/>
          <w:color w:val="222222"/>
          <w:sz w:val="24"/>
          <w:szCs w:val="24"/>
          <w:lang w:val="en-GB"/>
        </w:rPr>
      </w:pPr>
      <w:r w:rsidRPr="002513E9">
        <w:rPr>
          <w:rFonts w:ascii="Times New Roman" w:eastAsia="Times New Roman" w:hAnsi="Times New Roman" w:cs="Times New Roman"/>
          <w:color w:val="222222"/>
          <w:sz w:val="24"/>
          <w:szCs w:val="24"/>
          <w:lang w:val="en-GB"/>
        </w:rPr>
        <w:t xml:space="preserve">The World Economic Forum, (2024c). </w:t>
      </w:r>
      <w:r w:rsidRPr="002513E9">
        <w:rPr>
          <w:rFonts w:ascii="Times New Roman" w:eastAsia="Times New Roman" w:hAnsi="Times New Roman" w:cs="Times New Roman"/>
          <w:i/>
          <w:iCs/>
          <w:color w:val="222222"/>
          <w:sz w:val="24"/>
          <w:szCs w:val="24"/>
          <w:lang w:val="en-GB"/>
        </w:rPr>
        <w:t>High-Emitting Sectors: Challenges and Opportunities for Low-Carbon Suppliers</w:t>
      </w:r>
      <w:r w:rsidRPr="002513E9">
        <w:rPr>
          <w:rFonts w:ascii="Times New Roman" w:eastAsia="Times New Roman" w:hAnsi="Times New Roman" w:cs="Times New Roman"/>
          <w:color w:val="222222"/>
          <w:sz w:val="24"/>
          <w:szCs w:val="24"/>
          <w:lang w:val="en-GB"/>
        </w:rPr>
        <w:t>. [Online] Available at:</w:t>
      </w:r>
      <w:hyperlink r:id="rId41">
        <w:r w:rsidRPr="002513E9">
          <w:rPr>
            <w:rFonts w:ascii="Times New Roman" w:eastAsia="Times New Roman" w:hAnsi="Times New Roman" w:cs="Times New Roman"/>
            <w:color w:val="222222"/>
            <w:sz w:val="24"/>
            <w:szCs w:val="24"/>
            <w:lang w:val="en-GB"/>
          </w:rPr>
          <w:t xml:space="preserve"> </w:t>
        </w:r>
      </w:hyperlink>
      <w:hyperlink r:id="rId42">
        <w:r w:rsidRPr="002513E9">
          <w:rPr>
            <w:rFonts w:ascii="Times New Roman" w:eastAsia="Times New Roman" w:hAnsi="Times New Roman" w:cs="Times New Roman"/>
            <w:color w:val="1155CC"/>
            <w:sz w:val="24"/>
            <w:szCs w:val="24"/>
            <w:u w:val="single"/>
            <w:lang w:val="en-GB"/>
          </w:rPr>
          <w:t>https://www.weforum.org/publications/high-emitting-sectors-challenges-and-opportunities-for-low-carbon-suppliers/</w:t>
        </w:r>
      </w:hyperlink>
      <w:r w:rsidRPr="002513E9">
        <w:rPr>
          <w:rFonts w:ascii="Times New Roman" w:eastAsia="Times New Roman" w:hAnsi="Times New Roman" w:cs="Times New Roman"/>
          <w:color w:val="222222"/>
          <w:sz w:val="24"/>
          <w:szCs w:val="24"/>
          <w:lang w:val="en-GB"/>
        </w:rPr>
        <w:t xml:space="preserve"> [Accessed on 9 October 2026]</w:t>
      </w:r>
    </w:p>
    <w:sectPr w:rsidR="00F938B6" w:rsidRPr="002513E9">
      <w:footerReference w:type="default" r:id="rId4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82CBB" w14:textId="77777777" w:rsidR="002F7686" w:rsidRDefault="002F7686">
      <w:pPr>
        <w:spacing w:line="240" w:lineRule="auto"/>
      </w:pPr>
      <w:r>
        <w:separator/>
      </w:r>
    </w:p>
  </w:endnote>
  <w:endnote w:type="continuationSeparator" w:id="0">
    <w:p w14:paraId="7CE57D7C" w14:textId="77777777" w:rsidR="002F7686" w:rsidRDefault="002F76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572A837-EB21-4BD7-80CB-4C6D9107843C}"/>
  </w:font>
  <w:font w:name="Cambria">
    <w:panose1 w:val="02040503050406030204"/>
    <w:charset w:val="00"/>
    <w:family w:val="roman"/>
    <w:pitch w:val="variable"/>
    <w:sig w:usb0="E00006FF" w:usb1="420024FF" w:usb2="02000000" w:usb3="00000000" w:csb0="0000019F" w:csb1="00000000"/>
    <w:embedRegular r:id="rId2" w:fontKey="{BA01DDE8-0409-4306-9494-DFA7FEB522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10C1F" w14:textId="77777777" w:rsidR="00EF36F0" w:rsidRDefault="00000000">
    <w:pPr>
      <w:jc w:val="right"/>
    </w:pPr>
    <w:r>
      <w:fldChar w:fldCharType="begin"/>
    </w:r>
    <w:r>
      <w:instrText>PAGE</w:instrText>
    </w:r>
    <w:r>
      <w:fldChar w:fldCharType="separate"/>
    </w:r>
    <w:r w:rsidR="00F938B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4476D" w14:textId="77777777" w:rsidR="002F7686" w:rsidRDefault="002F7686">
      <w:pPr>
        <w:spacing w:line="240" w:lineRule="auto"/>
      </w:pPr>
      <w:r>
        <w:separator/>
      </w:r>
    </w:p>
  </w:footnote>
  <w:footnote w:type="continuationSeparator" w:id="0">
    <w:p w14:paraId="3E6A3884" w14:textId="77777777" w:rsidR="002F7686" w:rsidRDefault="002F76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6F0"/>
    <w:rsid w:val="00085ECC"/>
    <w:rsid w:val="000979AD"/>
    <w:rsid w:val="002513E9"/>
    <w:rsid w:val="00291549"/>
    <w:rsid w:val="002F7686"/>
    <w:rsid w:val="00596038"/>
    <w:rsid w:val="00761DA5"/>
    <w:rsid w:val="00B2658C"/>
    <w:rsid w:val="00EF36F0"/>
    <w:rsid w:val="00F938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70142"/>
  <w15:docId w15:val="{415ECFDA-8856-49B1-93AD-2300D5A45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Revision">
    <w:name w:val="Revision"/>
    <w:hidden/>
    <w:uiPriority w:val="99"/>
    <w:semiHidden/>
    <w:rsid w:val="00596038"/>
    <w:pPr>
      <w:spacing w:line="240" w:lineRule="auto"/>
    </w:pPr>
  </w:style>
  <w:style w:type="paragraph" w:styleId="ListParagraph">
    <w:name w:val="List Paragraph"/>
    <w:basedOn w:val="Normal"/>
    <w:uiPriority w:val="34"/>
    <w:qFormat/>
    <w:rsid w:val="002513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climategroup.org/steelzero" TargetMode="External"/><Relationship Id="rId18" Type="http://schemas.openxmlformats.org/officeDocument/2006/relationships/hyperlink" Target="https://www.iea.org/reports/breakthrough-agenda-report-2024/steel" TargetMode="External"/><Relationship Id="rId26" Type="http://schemas.openxmlformats.org/officeDocument/2006/relationships/hyperlink" Target="https://www.pib.gov.in/PressReleaseIframePage.aspx?PRID=2083839" TargetMode="External"/><Relationship Id="rId39" Type="http://schemas.openxmlformats.org/officeDocument/2006/relationships/hyperlink" Target="https://www.weforum.org/media/wef24-first-movers-coalition-commitments/" TargetMode="External"/><Relationship Id="rId21" Type="http://schemas.openxmlformats.org/officeDocument/2006/relationships/hyperlink" Target="https://steel.gov.in/green-steel-initiative" TargetMode="External"/><Relationship Id="rId34" Type="http://schemas.openxmlformats.org/officeDocument/2006/relationships/hyperlink" Target="https://www.tatasteel.com/investors/integrated-reportannual-report/118-integrated-annual-report-2024-25/" TargetMode="External"/><Relationship Id="rId42" Type="http://schemas.openxmlformats.org/officeDocument/2006/relationships/hyperlink" Target="https://www.weforum.org/publications/high-emitting-sectors-challenges-and-opportunities-for-low-carbon-suppliers/"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taxation-customs.ec.europa.eu/carbon-border-adjustment-mechanism_en" TargetMode="External"/><Relationship Id="rId29" Type="http://schemas.openxmlformats.org/officeDocument/2006/relationships/hyperlink" Target="https://www.tatasteel.com/investors/integrated-report-2025-26/pdf/Climate%20Change%20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climategroup.org/steelzero-publications" TargetMode="External"/><Relationship Id="rId24" Type="http://schemas.openxmlformats.org/officeDocument/2006/relationships/hyperlink" Target="https://steel.gov.in/green-steel-taxonomy-india" TargetMode="External"/><Relationship Id="rId32" Type="http://schemas.openxmlformats.org/officeDocument/2006/relationships/hyperlink" Target="https://www.tatasteel.com/investors/integrated-report-2024-25/esg-goals.html" TargetMode="External"/><Relationship Id="rId37" Type="http://schemas.openxmlformats.org/officeDocument/2006/relationships/hyperlink" Target="https://www.weforum.org/publications/net-zero-industry-tracker-2024/steel-net-zero-tracker-2024/" TargetMode="External"/><Relationship Id="rId40" Type="http://schemas.openxmlformats.org/officeDocument/2006/relationships/hyperlink" Target="https://www.weforum.org/media/wef24-first-movers-coalition-commitment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axation-customs.ec.europa.eu/carbon-border-adjustment-mechanism_en" TargetMode="External"/><Relationship Id="rId23" Type="http://schemas.openxmlformats.org/officeDocument/2006/relationships/hyperlink" Target="https://steel.gov.in/green-steel-taxonomy-india" TargetMode="External"/><Relationship Id="rId28" Type="http://schemas.openxmlformats.org/officeDocument/2006/relationships/hyperlink" Target="https://www.pib.gov.in/PressReleasePage.aspx?PRID=2189126" TargetMode="External"/><Relationship Id="rId36" Type="http://schemas.openxmlformats.org/officeDocument/2006/relationships/hyperlink" Target="https://www.tatasteel.com/newsroom/press-releases/india/2026/tata-steel-inaugurates-its-first-scrap-based-electric-arc-furnace-in-india/" TargetMode="External"/><Relationship Id="rId10" Type="http://schemas.openxmlformats.org/officeDocument/2006/relationships/hyperlink" Target="https://www.business-standard.com/companies/news/tata-steel-commissions-rs-3200-crore-ludhiana-eaf-in-green-push-126032001015_1.html" TargetMode="External"/><Relationship Id="rId19" Type="http://schemas.openxmlformats.org/officeDocument/2006/relationships/hyperlink" Target="https://www.iea.org/reports/breakthrough-agenda-report-2025/steel" TargetMode="External"/><Relationship Id="rId31" Type="http://schemas.openxmlformats.org/officeDocument/2006/relationships/hyperlink" Target="https://www.tatasteel.com/investors/integrated-report-2024-25/esg-goals.htm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standard.com/companies/news/tata-steel-commissions-rs-3200-crore-ludhiana-eaf-in-green-push-126032001015_1.html" TargetMode="External"/><Relationship Id="rId14" Type="http://schemas.openxmlformats.org/officeDocument/2006/relationships/hyperlink" Target="https://www.theclimategroup.org/steelzero" TargetMode="External"/><Relationship Id="rId22" Type="http://schemas.openxmlformats.org/officeDocument/2006/relationships/hyperlink" Target="https://steel.gov.in/green-steel-initiative" TargetMode="External"/><Relationship Id="rId27" Type="http://schemas.openxmlformats.org/officeDocument/2006/relationships/hyperlink" Target="https://www.pib.gov.in/PressReleasePage.aspx?PRID=2189126" TargetMode="External"/><Relationship Id="rId30" Type="http://schemas.openxmlformats.org/officeDocument/2006/relationships/hyperlink" Target="https://www.tatasteel.com/investors/integrated-report-2025-26/pdf/Climate%20Change%20Report.pdf" TargetMode="External"/><Relationship Id="rId35" Type="http://schemas.openxmlformats.org/officeDocument/2006/relationships/hyperlink" Target="https://www.tatasteel.com/newsroom/press-releases/india/2026/tata-steel-inaugurates-its-first-scrap-based-electric-arc-furnace-in-india/"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heclimategroup.org/steelzero-publications" TargetMode="External"/><Relationship Id="rId17" Type="http://schemas.openxmlformats.org/officeDocument/2006/relationships/hyperlink" Target="https://www.iea.org/reports/breakthrough-agenda-report-2024/steel" TargetMode="External"/><Relationship Id="rId25" Type="http://schemas.openxmlformats.org/officeDocument/2006/relationships/hyperlink" Target="https://www.pib.gov.in/PressReleaseIframePage.aspx?PRID=2083839" TargetMode="External"/><Relationship Id="rId33" Type="http://schemas.openxmlformats.org/officeDocument/2006/relationships/hyperlink" Target="https://www.tatasteel.com/investors/integrated-reportannual-report/118-integrated-annual-report-2024-25/" TargetMode="External"/><Relationship Id="rId38" Type="http://schemas.openxmlformats.org/officeDocument/2006/relationships/hyperlink" Target="https://www.weforum.org/publications/net-zero-industry-tracker-2024/steel-net-zero-tracker-2024/" TargetMode="External"/><Relationship Id="rId20" Type="http://schemas.openxmlformats.org/officeDocument/2006/relationships/hyperlink" Target="https://www.iea.org/reports/breakthrough-agenda-report-2025/steel" TargetMode="External"/><Relationship Id="rId41" Type="http://schemas.openxmlformats.org/officeDocument/2006/relationships/hyperlink" Target="https://www.weforum.org/publications/high-emitting-sectors-challenges-and-opportunities-for-low-carbon-supplier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uMMkYwSd3vk/9U21CmvdQVTkbg==">CgMxLjAyDmguM3BmeGpwc2lrODYxMg5oLnRpcnBoNjI4NHJvejIOaC54MHhkZGI3ZDN0d3gyDmgucGc1a3kyc280OGloMg5oLnExN2lkcmpzeGh1bzIOaC5kYnl4MWVycGJjenI4AHIhMXl0TDhuNnFoT01Db3RUeWlhb1lrNHFqQzJ0WEdselkz</go:docsCustomData>
</go:gDocsCustomXmlDataStorage>
</file>

<file path=customXml/itemProps1.xml><?xml version="1.0" encoding="utf-8"?>
<ds:datastoreItem xmlns:ds="http://schemas.openxmlformats.org/officeDocument/2006/customXml" ds:itemID="{A739146B-7108-4E98-999F-36A924002FE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4274</Words>
  <Characters>24367</Characters>
  <Application>Microsoft Office Word</Application>
  <DocSecurity>0</DocSecurity>
  <Lines>203</Lines>
  <Paragraphs>57</Paragraphs>
  <ScaleCrop>false</ScaleCrop>
  <Company/>
  <LinksUpToDate>false</LinksUpToDate>
  <CharactersWithSpaces>28584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My PC</cp:lastModifiedBy>
  <cp:revision>4</cp:revision>
  <dcterms:created xsi:type="dcterms:W3CDTF">2026-10-08T07:19:00Z</dcterms:created>
  <dcterms:modified xsi:type="dcterms:W3CDTF">2026-10-09T10:35:00Z</dcterms:modified>
</cp:coreProperties>
</file>