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679B" w14:textId="26CC41E9" w:rsidR="00105DF1" w:rsidRDefault="00105DF1" w:rsidP="00857501">
      <w:pPr>
        <w:rPr>
          <w:lang w:val="en-US" w:eastAsia="en-US"/>
        </w:rPr>
      </w:pPr>
    </w:p>
    <w:p w14:paraId="79BCF58B" w14:textId="77777777" w:rsidR="00D13D80" w:rsidRPr="00D13D80" w:rsidRDefault="00D13D80" w:rsidP="00D13D80">
      <w:pPr>
        <w:jc w:val="center"/>
        <w:rPr>
          <w:sz w:val="36"/>
          <w:szCs w:val="32"/>
          <w:lang w:val="en-US" w:eastAsia="en-US"/>
        </w:rPr>
      </w:pPr>
      <w:r w:rsidRPr="00D13D80">
        <w:rPr>
          <w:sz w:val="36"/>
          <w:szCs w:val="32"/>
          <w:lang w:val="en-US" w:eastAsia="en-US"/>
        </w:rPr>
        <w:t>ECES4009</w:t>
      </w:r>
    </w:p>
    <w:p w14:paraId="6124D493" w14:textId="77777777" w:rsidR="00D13D80" w:rsidRPr="00D13D80" w:rsidRDefault="00D13D80" w:rsidP="00D13D80">
      <w:pPr>
        <w:jc w:val="center"/>
        <w:rPr>
          <w:sz w:val="36"/>
          <w:szCs w:val="32"/>
          <w:lang w:val="en-US" w:eastAsia="en-US"/>
        </w:rPr>
      </w:pPr>
      <w:r w:rsidRPr="00D13D80">
        <w:rPr>
          <w:sz w:val="36"/>
          <w:szCs w:val="32"/>
          <w:lang w:val="en-US" w:eastAsia="en-US"/>
        </w:rPr>
        <w:t>E-Portfolio/Blog</w:t>
      </w:r>
    </w:p>
    <w:p w14:paraId="5CFBE7A3" w14:textId="77777777" w:rsidR="00D13D80" w:rsidRPr="00D13D80" w:rsidRDefault="00D13D80" w:rsidP="00D13D80">
      <w:pPr>
        <w:jc w:val="center"/>
        <w:rPr>
          <w:sz w:val="36"/>
          <w:szCs w:val="32"/>
          <w:lang w:val="en-US" w:eastAsia="en-US"/>
        </w:rPr>
      </w:pPr>
      <w:r w:rsidRPr="00D13D80">
        <w:rPr>
          <w:sz w:val="36"/>
          <w:szCs w:val="32"/>
          <w:lang w:val="en-US" w:eastAsia="en-US"/>
        </w:rPr>
        <w:t xml:space="preserve"> Gundo Susso</w:t>
      </w:r>
    </w:p>
    <w:p w14:paraId="46F2490F" w14:textId="77777777" w:rsidR="00D13D80" w:rsidRPr="00D13D80" w:rsidRDefault="00D13D80" w:rsidP="00D13D80">
      <w:pPr>
        <w:jc w:val="center"/>
        <w:rPr>
          <w:sz w:val="36"/>
          <w:szCs w:val="32"/>
          <w:lang w:val="en-US" w:eastAsia="en-US"/>
        </w:rPr>
      </w:pPr>
      <w:r w:rsidRPr="00D13D80">
        <w:rPr>
          <w:sz w:val="36"/>
          <w:szCs w:val="32"/>
          <w:lang w:val="en-US" w:eastAsia="en-US"/>
        </w:rPr>
        <w:t xml:space="preserve">Lecturer: Laura </w:t>
      </w:r>
    </w:p>
    <w:p w14:paraId="57E98D0E" w14:textId="77777777" w:rsidR="00D13D80" w:rsidRDefault="00D13D80" w:rsidP="00D13D80">
      <w:pPr>
        <w:jc w:val="center"/>
        <w:rPr>
          <w:lang w:val="en-US" w:eastAsia="en-US"/>
        </w:rPr>
      </w:pPr>
    </w:p>
    <w:p w14:paraId="2E740B5A" w14:textId="61B0F346" w:rsidR="00105DF1" w:rsidRDefault="00105DF1" w:rsidP="00105DF1">
      <w:pPr>
        <w:jc w:val="center"/>
        <w:rPr>
          <w:lang w:val="en-US" w:eastAsia="en-US"/>
        </w:rPr>
      </w:pPr>
    </w:p>
    <w:p w14:paraId="5BCEEC5E" w14:textId="1F83EDFB" w:rsidR="0034237D" w:rsidRPr="0034237D" w:rsidRDefault="0034237D" w:rsidP="00857501">
      <w:pPr>
        <w:pStyle w:val="Heading1"/>
        <w:rPr>
          <w:lang w:val="en-US" w:eastAsia="en-US"/>
        </w:rPr>
      </w:pPr>
      <w:r w:rsidRPr="0034237D">
        <w:rPr>
          <w:lang w:val="en-US" w:eastAsia="en-US"/>
        </w:rPr>
        <w:t>Entry 1. Attachment, caregiver sensitivity and socio-emotional development in early childhood</w:t>
      </w:r>
    </w:p>
    <w:p w14:paraId="2C4EBE46" w14:textId="33595DDF" w:rsidR="0034237D" w:rsidRPr="00A3373D" w:rsidRDefault="0034237D" w:rsidP="00A3373D">
      <w:pPr>
        <w:rPr>
          <w:lang w:val="en-US" w:eastAsia="en-US"/>
        </w:rPr>
      </w:pPr>
      <w:r w:rsidRPr="0034237D">
        <w:rPr>
          <w:lang w:val="en-US" w:eastAsia="en-US"/>
        </w:rPr>
        <w:t xml:space="preserve">A </w:t>
      </w:r>
      <w:r w:rsidRPr="00A3373D">
        <w:rPr>
          <w:lang w:val="en-US" w:eastAsia="en-US"/>
        </w:rPr>
        <w:t xml:space="preserve">typical early-years environment is a two-year-old who cries at drop-off, does not allow the staff to comfort her, and then hits peers during transition time. In most environments the </w:t>
      </w:r>
      <w:r w:rsidR="00D13D80" w:rsidRPr="00A3373D">
        <w:rPr>
          <w:lang w:val="en-US" w:eastAsia="en-US"/>
        </w:rPr>
        <w:t>behavior</w:t>
      </w:r>
      <w:r w:rsidRPr="00A3373D">
        <w:rPr>
          <w:lang w:val="en-US" w:eastAsia="en-US"/>
        </w:rPr>
        <w:t xml:space="preserve"> is already termed as an attachment issue. Such a reaction is usually too prompt and intellectually feeble. Socio-emotional development comprises trust in adults, frustration tolerance, emotion regulation, peer interactions, and the ability to bounce back after stress. One aspect of that picture of development is attachment, but it is not the entire picture. Classical attachment theory, attributed to Bowlby and Ainsworth, is still popular since it views the caregiver-child relationship as a safety and regulation system, with caregiver sensitivity as its core, but recent reviews indicate that attachment should be interpreted in the context of larger developmental and environmental processes and not as an all-encompassing explanation of </w:t>
      </w:r>
      <w:r w:rsidR="00D13D80" w:rsidRPr="00A3373D">
        <w:rPr>
          <w:lang w:val="en-US" w:eastAsia="en-US"/>
        </w:rPr>
        <w:t>behavior</w:t>
      </w:r>
      <w:r w:rsidRPr="00A3373D">
        <w:rPr>
          <w:lang w:val="en-US" w:eastAsia="en-US"/>
        </w:rPr>
        <w:t xml:space="preserve"> (</w:t>
      </w:r>
      <w:proofErr w:type="spellStart"/>
      <w:r w:rsidRPr="00A3373D">
        <w:rPr>
          <w:lang w:val="en-US" w:eastAsia="en-US"/>
        </w:rPr>
        <w:t>Jethava</w:t>
      </w:r>
      <w:proofErr w:type="spellEnd"/>
      <w:r w:rsidRPr="00A3373D">
        <w:rPr>
          <w:lang w:val="en-US" w:eastAsia="en-US"/>
        </w:rPr>
        <w:t xml:space="preserve"> et al., 2022; Wright et al., 2023).</w:t>
      </w:r>
    </w:p>
    <w:p w14:paraId="63E63B06" w14:textId="77777777" w:rsidR="0034237D" w:rsidRPr="00A3373D" w:rsidRDefault="0034237D" w:rsidP="00A3373D">
      <w:pPr>
        <w:rPr>
          <w:lang w:val="en-US" w:eastAsia="en-US"/>
        </w:rPr>
      </w:pPr>
      <w:r w:rsidRPr="00A3373D">
        <w:rPr>
          <w:lang w:val="en-US" w:eastAsia="en-US"/>
        </w:rPr>
        <w:t xml:space="preserve">The analogy of the two positions of Bowlby and Ainsworth remains helpful since they are closely related but not the same. Bowlby provided an evolutionary and developmental explanation of attachment, which states that initial relationships influence internal working models of self and others. Ainsworth took that theory to </w:t>
      </w:r>
      <w:r w:rsidRPr="00A3373D">
        <w:rPr>
          <w:lang w:val="en-US" w:eastAsia="en-US"/>
        </w:rPr>
        <w:lastRenderedPageBreak/>
        <w:t>observation and classification with her efforts on caregiver sensitivity and attachment patterns. The commonality in their assertions is that responsive care is important. Bowlby describes the role of attachment throughout development, and Ainsworth describes the variation in the quality of attachment by closely examining the interaction. The shortcoming of both classical positions is that they can be read in too dyadic a way. Temperament, neurodevelopment, and the broader ecology of stress also influence the emotional life of a child. This is why recent research has attempted to relate attachment to social communication, cognition, and regulation without implying that a single early bond is determinant of the whole future of the child (</w:t>
      </w:r>
      <w:proofErr w:type="spellStart"/>
      <w:r w:rsidRPr="00A3373D">
        <w:rPr>
          <w:lang w:val="en-US" w:eastAsia="en-US"/>
        </w:rPr>
        <w:t>Jethava</w:t>
      </w:r>
      <w:proofErr w:type="spellEnd"/>
      <w:r w:rsidRPr="00A3373D">
        <w:rPr>
          <w:lang w:val="en-US" w:eastAsia="en-US"/>
        </w:rPr>
        <w:t xml:space="preserve"> et al., 2022).</w:t>
      </w:r>
    </w:p>
    <w:p w14:paraId="12734CD8" w14:textId="5DB13C5F" w:rsidR="0034237D" w:rsidRPr="00A3373D" w:rsidRDefault="0034237D" w:rsidP="00A3373D">
      <w:pPr>
        <w:rPr>
          <w:lang w:val="en-US" w:eastAsia="en-US"/>
        </w:rPr>
      </w:pPr>
      <w:r w:rsidRPr="00A3373D">
        <w:rPr>
          <w:lang w:val="en-US" w:eastAsia="en-US"/>
        </w:rPr>
        <w:t xml:space="preserve">Existing data supports the role of attachment, yet it also prompts one to be cautious. The authors of the study by Cooke et al. (2019) discovered that children who are more securely attached are more likely to demonstrate better emotion regulation, more positive affect, less negative affect, and adaptive coping. That is a good reason to attach importance to attachment, but it is not a reason to overrate it. These are not deterministic associations, but rather meaningful ones. Groh et al. (2017) are particularly relevant in this case since they have discovered that there is a weak connection between attachment and temperament. The result is important to practice. A very sensitive, wary, or hard-to-get-along child is not necessarily insecurely attached. If a practitioner collapses temperament into attachment, they run the risk of misinterpreting the child and </w:t>
      </w:r>
      <w:r w:rsidR="00D13D80" w:rsidRPr="00A3373D">
        <w:rPr>
          <w:lang w:val="en-US" w:eastAsia="en-US"/>
        </w:rPr>
        <w:t>pathologizing</w:t>
      </w:r>
      <w:r w:rsidRPr="00A3373D">
        <w:rPr>
          <w:lang w:val="en-US" w:eastAsia="en-US"/>
        </w:rPr>
        <w:t xml:space="preserve"> the family. A more appropriate explanation is that attachment and temperament are two different but interacting factors in socio-emotional development (Cooke et al., 2019; Groh et al., 2017).</w:t>
      </w:r>
    </w:p>
    <w:p w14:paraId="6C57B104" w14:textId="77777777" w:rsidR="0034237D" w:rsidRPr="00A3373D" w:rsidRDefault="0034237D" w:rsidP="00A3373D">
      <w:pPr>
        <w:rPr>
          <w:lang w:val="en-US" w:eastAsia="en-US"/>
        </w:rPr>
      </w:pPr>
      <w:r w:rsidRPr="00A3373D">
        <w:rPr>
          <w:lang w:val="en-US" w:eastAsia="en-US"/>
        </w:rPr>
        <w:t xml:space="preserve">The most powerful inhibitors of healthy attachment are seldom narrowly dyadic. Caregiver sensitivity and access to regulation by the child are influenced by parental depression, prematurity, disability, chronic stress, inconsistent caregiving, and ineffective service coordination. This complexity is even demonstrated in the intervention literature. O’Hara et al. (2019) discovered moderate-certainty evidence that video-feedback enhances parental sensitivity in the short term, but there was low- or very low-certainty evidence regarding attachment security itself. The conclusion that Wright et al. (2023) arrived at about the UK practice is no less uncomfortable, namely, that a significant number of the most popular attachment interventions lack a strong evidence base, whereas some of the more supported ones are not as popular. This is an aspect that should be highlighted since attachment language is frequently applied in </w:t>
      </w:r>
      <w:r w:rsidRPr="00A3373D">
        <w:rPr>
          <w:lang w:val="en-US" w:eastAsia="en-US"/>
        </w:rPr>
        <w:lastRenderedPageBreak/>
        <w:t>practice, much more confidently than the evidence can support. “This child needs attachment work” can be a rather sophisticated statement that, in fact, hides vagueness (O’Hara et al., 2019; Wright et al., 2023).</w:t>
      </w:r>
    </w:p>
    <w:p w14:paraId="7B2EC948" w14:textId="77777777" w:rsidR="0034237D" w:rsidRPr="00A3373D" w:rsidRDefault="0034237D" w:rsidP="00A3373D">
      <w:pPr>
        <w:rPr>
          <w:lang w:val="en-US" w:eastAsia="en-US"/>
        </w:rPr>
      </w:pPr>
      <w:r w:rsidRPr="00A3373D">
        <w:rPr>
          <w:lang w:val="en-US" w:eastAsia="en-US"/>
        </w:rPr>
        <w:t xml:space="preserve">This does not imply that the practice based on attachment is useless. It implies that it has to be accurate. More specific intervention studies of Video-feedback Intervention to Promote Positive Parenting and Sensitive Discipline indicate parenting benefits and certain child outcomes, particularly when the intervention is narrowly defined and based on parental sensitivity as opposed to general therapeutic assertions (van </w:t>
      </w:r>
      <w:proofErr w:type="spellStart"/>
      <w:r w:rsidRPr="00A3373D">
        <w:rPr>
          <w:lang w:val="en-US" w:eastAsia="en-US"/>
        </w:rPr>
        <w:t>Ijzendoorn</w:t>
      </w:r>
      <w:proofErr w:type="spellEnd"/>
      <w:r w:rsidRPr="00A3373D">
        <w:rPr>
          <w:lang w:val="en-US" w:eastAsia="en-US"/>
        </w:rPr>
        <w:t xml:space="preserve"> et al., 2023; Juffer et al., 2017). The critical implication is that practitioners are no longer to refer to the so-called attachment intervention as a single validated category. It is not. There are some that are evidenced, some with a bit of evidence, and most are practiced in systems where employees are not well trained on what attachment really entails. It is not a technical issue, but a conceptual and professional issue.</w:t>
      </w:r>
    </w:p>
    <w:p w14:paraId="4CECBF79" w14:textId="77777777" w:rsidR="0034237D" w:rsidRPr="00A3373D" w:rsidRDefault="0034237D" w:rsidP="00A3373D">
      <w:pPr>
        <w:rPr>
          <w:lang w:val="en-US" w:eastAsia="en-US"/>
        </w:rPr>
      </w:pPr>
      <w:r w:rsidRPr="00A3373D">
        <w:rPr>
          <w:lang w:val="en-US" w:eastAsia="en-US"/>
        </w:rPr>
        <w:t>Attachment is important to practitioners in England as socio-emotional development is an educational as well as a safeguarding concern (Department for Education, 2025). The existing EYFS mandates providers to promote the learning, development, health, safety, and school preparedness of children. The Children Act (2004) places the responsibility on agencies to protect and enhance the welfare of children in Section 11. The 2024 practitioner guide on parent-infant relationships specifically covers parent-infant relationships, perinatal mental health, and sensitive, responsive caregiving, and the current Family Hubs and Start for Life policy expressly incorporates these aspects, providing frontline staff with a framework to use when talking to parents and identifying difficulty. An example would be a health visitor or nursery special educational needs coordinator who observes low reciprocity, flat affect, increasing parental distress, and a child who cannot settle with any adult. Good practice includes being observant, talking sensitively with the carer, taking into account mental health and developmental issues, and linking the family to evidence-based support through health visiting, family hubs, or specialist referral. Weak practice is to diagnose an attachment disorder following a single challenging transition (Department for Education, 2025; Department of Health and Social Care, 2024).</w:t>
      </w:r>
    </w:p>
    <w:p w14:paraId="317A6996" w14:textId="77777777" w:rsidR="0034237D" w:rsidRPr="0034237D" w:rsidRDefault="0034237D" w:rsidP="00A3373D">
      <w:pPr>
        <w:rPr>
          <w:lang w:val="en-US" w:eastAsia="en-US"/>
        </w:rPr>
      </w:pPr>
      <w:r w:rsidRPr="00A3373D">
        <w:rPr>
          <w:lang w:val="en-US" w:eastAsia="en-US"/>
        </w:rPr>
        <w:t xml:space="preserve">To sum up, socio-emotional development revolves around attachment, although simplistic attachment stories are feeble. The classical theory of attachment still gives </w:t>
      </w:r>
      <w:r w:rsidRPr="00A3373D">
        <w:rPr>
          <w:lang w:val="en-US" w:eastAsia="en-US"/>
        </w:rPr>
        <w:lastRenderedPageBreak/>
        <w:t>us the reason as to why initial relationships are important. The conclusion is sharpened by recent evidence. Safe relationships aid regulation and resilience, insecurity increases risk but not fate, and good professional practice is based on accurate observation, interagency w</w:t>
      </w:r>
      <w:r w:rsidRPr="0034237D">
        <w:rPr>
          <w:lang w:val="en-US" w:eastAsia="en-US"/>
        </w:rPr>
        <w:t>orking, and interventions with an evidence base, but not on trendy terminology.</w:t>
      </w:r>
    </w:p>
    <w:p w14:paraId="7690BEAE" w14:textId="7AB86D14" w:rsidR="00857501" w:rsidRDefault="0034237D" w:rsidP="00857501">
      <w:pPr>
        <w:pStyle w:val="Heading1"/>
        <w:rPr>
          <w:lang w:val="en-US" w:eastAsia="en-US"/>
        </w:rPr>
      </w:pPr>
      <w:r w:rsidRPr="0034237D">
        <w:rPr>
          <w:lang w:val="en-US" w:eastAsia="en-US"/>
        </w:rPr>
        <w:t>ENTRY 2. Poor nutrition, food insecurity and physical development</w:t>
      </w:r>
    </w:p>
    <w:p w14:paraId="40317729" w14:textId="3DD70AC5" w:rsidR="0034237D" w:rsidRPr="00A3373D" w:rsidRDefault="0034237D" w:rsidP="00A3373D">
      <w:pPr>
        <w:rPr>
          <w:lang w:val="en-US" w:eastAsia="en-US"/>
        </w:rPr>
      </w:pPr>
      <w:r w:rsidRPr="0034237D">
        <w:rPr>
          <w:lang w:val="en-US" w:eastAsia="en-US"/>
        </w:rPr>
        <w:t xml:space="preserve">A child who comes to school hungry, falls asleep mid-morning and cannot even continue </w:t>
      </w:r>
      <w:r w:rsidRPr="00A3373D">
        <w:rPr>
          <w:lang w:val="en-US" w:eastAsia="en-US"/>
        </w:rPr>
        <w:t xml:space="preserve">with fine-motor or literacy activities is said to be unfocused or not well-motivated. This reading may be terribly misguided. The factors that influence physical development include sufficient energy consumption, micronutrients, consistent growth, sleep, and overall health, and these interplay with attention, </w:t>
      </w:r>
      <w:r w:rsidR="00D13D80" w:rsidRPr="00A3373D">
        <w:rPr>
          <w:lang w:val="en-US" w:eastAsia="en-US"/>
        </w:rPr>
        <w:t>behavior</w:t>
      </w:r>
      <w:r w:rsidRPr="00A3373D">
        <w:rPr>
          <w:lang w:val="en-US" w:eastAsia="en-US"/>
        </w:rPr>
        <w:t>, and learning in the earliest years. Initially, there is a need to draw a line between poor nutrition and food insecurity. Poor nutrition is the lack of proper or balanced nutrition. Food insecurity is a limited or unpredictable access to adequate food that is suitable. Analytically stronger is the second concept as it connects the body of the child with the material conditions in which families are struggling to feed children (Gallegos et al., 2021; de Oliveira et al., 2020).</w:t>
      </w:r>
    </w:p>
    <w:p w14:paraId="44B5274D" w14:textId="2B553292" w:rsidR="0034237D" w:rsidRPr="00A3373D" w:rsidRDefault="0034237D" w:rsidP="00A3373D">
      <w:pPr>
        <w:rPr>
          <w:lang w:val="en-US" w:eastAsia="en-US"/>
        </w:rPr>
      </w:pPr>
      <w:r w:rsidRPr="00A3373D">
        <w:rPr>
          <w:lang w:val="en-US" w:eastAsia="en-US"/>
        </w:rPr>
        <w:t xml:space="preserve">There are two theoretical perspectives that can be of particular use. A biological or nutritional explanation is the impact of poor consumption on growth, concentration, immunity, and some of brain development. A socio-ecological explanation is the reason why the nutritional risk is not evenly distributed across income groups, </w:t>
      </w:r>
      <w:r w:rsidR="00D13D80" w:rsidRPr="00A3373D">
        <w:rPr>
          <w:lang w:val="en-US" w:eastAsia="en-US"/>
        </w:rPr>
        <w:t>neighborhoods</w:t>
      </w:r>
      <w:r w:rsidRPr="00A3373D">
        <w:rPr>
          <w:lang w:val="en-US" w:eastAsia="en-US"/>
        </w:rPr>
        <w:t>, and family situations based on food prices, housing costs, transport, childcare provision, parental work patterns, and stress. The biological model is required since children grow both in bodies and relationships. It is inadequate in itself since it tends to shift towards parent blame. Recent reviews indicate that food insecurity has dual impacts on development, both nutritional and psychosocial, simultaneously, such as caregiver stress, feeding practices, and less access to stable routines and learning at home (Gallegos et al., 2021).</w:t>
      </w:r>
    </w:p>
    <w:p w14:paraId="74B192C8" w14:textId="0BBC6E79" w:rsidR="0034237D" w:rsidRPr="00A3373D" w:rsidRDefault="0034237D" w:rsidP="00A3373D">
      <w:pPr>
        <w:rPr>
          <w:lang w:val="en-US" w:eastAsia="en-US"/>
        </w:rPr>
      </w:pPr>
      <w:r w:rsidRPr="00A3373D">
        <w:rPr>
          <w:lang w:val="en-US" w:eastAsia="en-US"/>
        </w:rPr>
        <w:lastRenderedPageBreak/>
        <w:t xml:space="preserve">Since 2010, the research base is consistent on the direction of effect in the case of complex causality. De Oliveira et al. (2020) discovered that food insecurity is linked to worse early developmental outcomes and Gallegos et al. (2021) concluded that food insecurity hinders children from achieving their full physical, cognitive, and psychosocial potential. Even after numerous studies adjusted for confounders, Shankar et al. (2017) associated food insecurity with </w:t>
      </w:r>
      <w:r w:rsidR="00D13D80" w:rsidRPr="00A3373D">
        <w:rPr>
          <w:lang w:val="en-US" w:eastAsia="en-US"/>
        </w:rPr>
        <w:t>behavioral</w:t>
      </w:r>
      <w:r w:rsidRPr="00A3373D">
        <w:rPr>
          <w:lang w:val="en-US" w:eastAsia="en-US"/>
        </w:rPr>
        <w:t>, emotional, and academic challenges during childhood and adolescence. Recent literature also holds that childcare environments can be a severe intervention point since they can offset the developmental damage by providing regular meals, routines, and close monitoring of need instead of leaving the problem solely to the families that might be under severe stress (Shankar et al., 2017; Casey and Winsler, 2025).</w:t>
      </w:r>
    </w:p>
    <w:p w14:paraId="5B58EC61" w14:textId="77777777" w:rsidR="0034237D" w:rsidRPr="00A3373D" w:rsidRDefault="0034237D" w:rsidP="00A3373D">
      <w:pPr>
        <w:rPr>
          <w:lang w:val="en-US" w:eastAsia="en-US"/>
        </w:rPr>
      </w:pPr>
      <w:r w:rsidRPr="00A3373D">
        <w:rPr>
          <w:lang w:val="en-US" w:eastAsia="en-US"/>
        </w:rPr>
        <w:t xml:space="preserve">The problem can be well demonstrated by research on breakfast, but it requires a critical reading. </w:t>
      </w:r>
      <w:proofErr w:type="spellStart"/>
      <w:r w:rsidRPr="00A3373D">
        <w:rPr>
          <w:lang w:val="en-US" w:eastAsia="en-US"/>
        </w:rPr>
        <w:t>Littlecott</w:t>
      </w:r>
      <w:proofErr w:type="spellEnd"/>
      <w:r w:rsidRPr="00A3373D">
        <w:rPr>
          <w:lang w:val="en-US" w:eastAsia="en-US"/>
        </w:rPr>
        <w:t xml:space="preserve"> et al. (2016), Liu et al. (2021), and Yao et al. (2019) all find a correlation between breakfast intake and educational or cognitive performance, and </w:t>
      </w:r>
      <w:proofErr w:type="spellStart"/>
      <w:r w:rsidRPr="00A3373D">
        <w:rPr>
          <w:lang w:val="en-US" w:eastAsia="en-US"/>
        </w:rPr>
        <w:t>Sincovich</w:t>
      </w:r>
      <w:proofErr w:type="spellEnd"/>
      <w:r w:rsidRPr="00A3373D">
        <w:rPr>
          <w:lang w:val="en-US" w:eastAsia="en-US"/>
        </w:rPr>
        <w:t xml:space="preserve"> et al. (2025) once again found a correlation between breakfast skipping and poor academic performance in a large population study. The importance of these findings is that they relate day-to-day nutrition to the type of developmental milestones that practitioners observe in reality, namely, attention, persistence, classroom participation, and school readiness. Meanwhile, breakfast cannot be considered a magic potion. Children who skip breakfast are also likely to be living with economic stress, sleep deprivation, time constraints, or hectic schedules. Breakfast can thus be interpreted as an immediate input and an indicator of more general structural circumstances (</w:t>
      </w:r>
      <w:proofErr w:type="spellStart"/>
      <w:r w:rsidRPr="00A3373D">
        <w:rPr>
          <w:lang w:val="en-US" w:eastAsia="en-US"/>
        </w:rPr>
        <w:t>Sincovich</w:t>
      </w:r>
      <w:proofErr w:type="spellEnd"/>
      <w:r w:rsidRPr="00A3373D">
        <w:rPr>
          <w:lang w:val="en-US" w:eastAsia="en-US"/>
        </w:rPr>
        <w:t xml:space="preserve"> et al., 2025).</w:t>
      </w:r>
    </w:p>
    <w:p w14:paraId="7D712A77" w14:textId="77777777" w:rsidR="0034237D" w:rsidRPr="00A3373D" w:rsidRDefault="0034237D" w:rsidP="00A3373D">
      <w:pPr>
        <w:rPr>
          <w:lang w:val="en-US" w:eastAsia="en-US"/>
        </w:rPr>
      </w:pPr>
      <w:r w:rsidRPr="00A3373D">
        <w:rPr>
          <w:lang w:val="en-US" w:eastAsia="en-US"/>
        </w:rPr>
        <w:t>It is at this point that an individual explanation fails. Families might be aware of what healthy food is and may not be able to purchase, carry, store, and serve it regularly. Turner et al. (2025) demonstrate that the food policy, practice, and provision in early childhood education and care in the UK are uneven and underdeveloped. This is important since early years environments have been referred to as protective environments, but the real nutritional support they offer is subject to change. A child who comes with stumbling focus, lacks stamina, is irritable, or lacks consistent growth does not require another talk on healthy options. Such a child requires stable access to food and a non-</w:t>
      </w:r>
      <w:proofErr w:type="spellStart"/>
      <w:r w:rsidRPr="00A3373D">
        <w:rPr>
          <w:lang w:val="en-US" w:eastAsia="en-US"/>
        </w:rPr>
        <w:t>privatisation</w:t>
      </w:r>
      <w:proofErr w:type="spellEnd"/>
      <w:r w:rsidRPr="00A3373D">
        <w:rPr>
          <w:lang w:val="en-US" w:eastAsia="en-US"/>
        </w:rPr>
        <w:t xml:space="preserve"> of structural deprivation in the form of parental failure (Turner et al., 2025).</w:t>
      </w:r>
    </w:p>
    <w:p w14:paraId="79770047" w14:textId="29C4A9F9" w:rsidR="0034237D" w:rsidRPr="00A3373D" w:rsidRDefault="0034237D" w:rsidP="00A3373D">
      <w:pPr>
        <w:rPr>
          <w:lang w:val="en-US" w:eastAsia="en-US"/>
        </w:rPr>
      </w:pPr>
      <w:r w:rsidRPr="00A3373D">
        <w:rPr>
          <w:lang w:val="en-US" w:eastAsia="en-US"/>
        </w:rPr>
        <w:lastRenderedPageBreak/>
        <w:t xml:space="preserve">Practitioners are significant as the reaction to the nutritional risk can be feasible and instant. In England, the Healthy Start scheme assists pregnant women and children under four years old with assistance to purchase healthy foods and to get vitamins. School food standards are aimed at providing children with the energy and nutrition needed to get through the school day, and the current breakfast club </w:t>
      </w:r>
      <w:r w:rsidR="00D13D80" w:rsidRPr="00A3373D">
        <w:rPr>
          <w:lang w:val="en-US" w:eastAsia="en-US"/>
        </w:rPr>
        <w:t>programmed</w:t>
      </w:r>
      <w:r w:rsidRPr="00A3373D">
        <w:rPr>
          <w:lang w:val="en-US" w:eastAsia="en-US"/>
        </w:rPr>
        <w:t xml:space="preserve"> is clearly aimed at addressing the effects of child poverty and making sure that children are prepared to learn. An actual case in point is the breakfast club model. It is not just food that is valuable. It offers routine, supervision, a less stressful arrival, a less formal social bond, and a more controlled beginning of the day. Non-</w:t>
      </w:r>
      <w:r w:rsidR="00D13D80" w:rsidRPr="00A3373D">
        <w:rPr>
          <w:lang w:val="en-US" w:eastAsia="en-US"/>
        </w:rPr>
        <w:t>stigmatizing</w:t>
      </w:r>
      <w:r w:rsidRPr="00A3373D">
        <w:rPr>
          <w:lang w:val="en-US" w:eastAsia="en-US"/>
        </w:rPr>
        <w:t xml:space="preserve"> questions about access to food, awareness of entitlement routes, focus on recurring patterns and not individual events, and </w:t>
      </w:r>
      <w:r w:rsidR="00D13D80" w:rsidRPr="00A3373D">
        <w:rPr>
          <w:lang w:val="en-US" w:eastAsia="en-US"/>
        </w:rPr>
        <w:t>coordinated</w:t>
      </w:r>
      <w:r w:rsidRPr="00A3373D">
        <w:rPr>
          <w:lang w:val="en-US" w:eastAsia="en-US"/>
        </w:rPr>
        <w:t xml:space="preserve"> work with families, school nurses, family support workers, and community services are all part of good professional practice (Department for Education, 2025b; GOV.UK, 2026).</w:t>
      </w:r>
    </w:p>
    <w:p w14:paraId="6552971B" w14:textId="7D0C7E35" w:rsidR="0034237D" w:rsidRPr="0034237D" w:rsidRDefault="0034237D" w:rsidP="00A3373D">
      <w:pPr>
        <w:rPr>
          <w:lang w:val="en-US" w:eastAsia="en-US"/>
        </w:rPr>
      </w:pPr>
      <w:r w:rsidRPr="00A3373D">
        <w:rPr>
          <w:lang w:val="en-US" w:eastAsia="en-US"/>
        </w:rPr>
        <w:t xml:space="preserve">To sum up, bad nutrition has an impact on the development of the body, but it should not be limited to the body. Food insecurity interferes with the physical, cognitive, and emotional functioning, since children grow in an integrated system. The mechanism is explained by biological accounts. The unequal distribution of risk is attributed to socio-ecological accounts. Good practice thus integrates nutritional support, work with families that </w:t>
      </w:r>
      <w:proofErr w:type="gramStart"/>
      <w:r w:rsidRPr="00A3373D">
        <w:rPr>
          <w:lang w:val="en-US" w:eastAsia="en-US"/>
        </w:rPr>
        <w:t>is</w:t>
      </w:r>
      <w:proofErr w:type="gramEnd"/>
      <w:r w:rsidRPr="00A3373D">
        <w:rPr>
          <w:lang w:val="en-US" w:eastAsia="en-US"/>
        </w:rPr>
        <w:t xml:space="preserve"> poverty conscious, and consistent food supply in early years and</w:t>
      </w:r>
      <w:r w:rsidRPr="0034237D">
        <w:rPr>
          <w:lang w:val="en-US" w:eastAsia="en-US"/>
        </w:rPr>
        <w:t xml:space="preserve"> school environments instead of basing judgements on </w:t>
      </w:r>
      <w:r w:rsidR="00D13D80" w:rsidRPr="0034237D">
        <w:rPr>
          <w:lang w:val="en-US" w:eastAsia="en-US"/>
        </w:rPr>
        <w:t>behavior</w:t>
      </w:r>
      <w:r w:rsidRPr="0034237D">
        <w:rPr>
          <w:lang w:val="en-US" w:eastAsia="en-US"/>
        </w:rPr>
        <w:t>, effort, or motivation.</w:t>
      </w:r>
    </w:p>
    <w:p w14:paraId="332431B9" w14:textId="7618A379" w:rsidR="00857501" w:rsidRDefault="0034237D" w:rsidP="00857501">
      <w:pPr>
        <w:pStyle w:val="Heading1"/>
        <w:rPr>
          <w:lang w:val="en-US" w:eastAsia="en-US"/>
        </w:rPr>
      </w:pPr>
      <w:r w:rsidRPr="0034237D">
        <w:rPr>
          <w:lang w:val="en-US" w:eastAsia="en-US"/>
        </w:rPr>
        <w:t xml:space="preserve">ENTRY 3. POVERTY, </w:t>
      </w:r>
      <w:r w:rsidR="00D13D80" w:rsidRPr="0034237D">
        <w:rPr>
          <w:lang w:val="en-US" w:eastAsia="en-US"/>
        </w:rPr>
        <w:t>Stress</w:t>
      </w:r>
      <w:r w:rsidRPr="0034237D">
        <w:rPr>
          <w:lang w:val="en-US" w:eastAsia="en-US"/>
        </w:rPr>
        <w:t>, and Early language development</w:t>
      </w:r>
    </w:p>
    <w:p w14:paraId="2C7BD5A1" w14:textId="60DFCFFB" w:rsidR="0034237D" w:rsidRPr="00A3373D" w:rsidRDefault="0034237D" w:rsidP="00A3373D">
      <w:pPr>
        <w:rPr>
          <w:lang w:val="en-US" w:eastAsia="en-US"/>
        </w:rPr>
      </w:pPr>
      <w:r w:rsidRPr="0034237D">
        <w:rPr>
          <w:lang w:val="en-US" w:eastAsia="en-US"/>
        </w:rPr>
        <w:t xml:space="preserve">A </w:t>
      </w:r>
      <w:proofErr w:type="gramStart"/>
      <w:r w:rsidRPr="00A3373D">
        <w:rPr>
          <w:lang w:val="en-US" w:eastAsia="en-US"/>
        </w:rPr>
        <w:t>four year-old</w:t>
      </w:r>
      <w:proofErr w:type="gramEnd"/>
      <w:r w:rsidRPr="00A3373D">
        <w:rPr>
          <w:lang w:val="en-US" w:eastAsia="en-US"/>
        </w:rPr>
        <w:t xml:space="preserve"> might be able to identify </w:t>
      </w:r>
      <w:r w:rsidR="00D13D80" w:rsidRPr="00A3373D">
        <w:rPr>
          <w:lang w:val="en-US" w:eastAsia="en-US"/>
        </w:rPr>
        <w:t>colors</w:t>
      </w:r>
      <w:r w:rsidRPr="00A3373D">
        <w:rPr>
          <w:lang w:val="en-US" w:eastAsia="en-US"/>
        </w:rPr>
        <w:t xml:space="preserve">, stick to routines of everyday life and yet not be able to recount a simple story, comprehend a more complex command or describe what occurred during play. When this happens in a low-income situation, the discourse tends to break down into the general terms of the so-called word gap. Such a phrase is too crude to engage in serious analysis. Quality of interaction, emotional regulation, hearing, early education, and sustained talk opportunities influence language development. Some of those conditions are simultaneously impacted by poverty. It is not a diminution of the potential of a child. It alters the circumstances in </w:t>
      </w:r>
      <w:r w:rsidRPr="00A3373D">
        <w:rPr>
          <w:lang w:val="en-US" w:eastAsia="en-US"/>
        </w:rPr>
        <w:lastRenderedPageBreak/>
        <w:t xml:space="preserve">accordance with which that potential is </w:t>
      </w:r>
      <w:r w:rsidR="00D13D80" w:rsidRPr="00A3373D">
        <w:rPr>
          <w:lang w:val="en-US" w:eastAsia="en-US"/>
        </w:rPr>
        <w:t>actualized</w:t>
      </w:r>
      <w:r w:rsidRPr="00A3373D">
        <w:rPr>
          <w:lang w:val="en-US" w:eastAsia="en-US"/>
        </w:rPr>
        <w:t xml:space="preserve"> (Perkins et al., 2013; Hurt and Betancourt, 2016; Johnson et al., 2016).</w:t>
      </w:r>
    </w:p>
    <w:p w14:paraId="25BF4DC4" w14:textId="382EC79E" w:rsidR="0034237D" w:rsidRPr="00A3373D" w:rsidRDefault="0034237D" w:rsidP="00A3373D">
      <w:pPr>
        <w:rPr>
          <w:lang w:val="en-US" w:eastAsia="en-US"/>
        </w:rPr>
      </w:pPr>
      <w:r w:rsidRPr="00A3373D">
        <w:rPr>
          <w:lang w:val="en-US" w:eastAsia="en-US"/>
        </w:rPr>
        <w:t xml:space="preserve">This can be explained through two theoretical perspectives. Vygotskian and social interactionist theories explain the development of language as one that occurs via shared attention, scaffolding, guided participation, and socially </w:t>
      </w:r>
      <w:r w:rsidR="00D13D80" w:rsidRPr="00A3373D">
        <w:rPr>
          <w:lang w:val="en-US" w:eastAsia="en-US"/>
        </w:rPr>
        <w:t>organized</w:t>
      </w:r>
      <w:r w:rsidRPr="00A3373D">
        <w:rPr>
          <w:lang w:val="en-US" w:eastAsia="en-US"/>
        </w:rPr>
        <w:t xml:space="preserve"> talk. Family stress and parental investment models describe the way material deprivation changes the amount and quality of such interaction through chronic strain, unstable routines, less time, and less access to language-rich resources. Such theories cannot be considered competitors in a straightforward manner. They respond to various questions. Vygotsky describes the process of language development in interaction. The stresses of the family and the parental investment justify why certain families have to deal with that interaction with more pressure. Perkins et al. (2013) explicitly make this connection by addressing parenting and stress, whereas Rakesh et al. (2025) demonstrate that stimulation, support, classroom and school environment, and the wider context mediate or buffer the relationship between socioeconomic status and language or academic outcomes.</w:t>
      </w:r>
    </w:p>
    <w:p w14:paraId="37172E99" w14:textId="01216A50" w:rsidR="0034237D" w:rsidRPr="00A3373D" w:rsidRDefault="0034237D" w:rsidP="00A3373D">
      <w:pPr>
        <w:rPr>
          <w:lang w:val="en-US" w:eastAsia="en-US"/>
        </w:rPr>
      </w:pPr>
      <w:r w:rsidRPr="00A3373D">
        <w:rPr>
          <w:lang w:val="en-US" w:eastAsia="en-US"/>
        </w:rPr>
        <w:t xml:space="preserve">This argument has been reinforced by neuroscience without being simplistic. Hurt and Betancourt (2016) demonstrate that the relationship between socioeconomic disparity and child language and neural outcomes is present very early in development, whereas Johnson et al. (2016) review the impact of poverty on the developing brain through a number of pathways as opposed to a single causal pathway. Abo Hamza et al. (2024) introduce a single conceptual framework of the interconnection between poverty and stress biology, brain development, </w:t>
      </w:r>
      <w:r w:rsidR="00D13D80" w:rsidRPr="00A3373D">
        <w:rPr>
          <w:lang w:val="en-US" w:eastAsia="en-US"/>
        </w:rPr>
        <w:t>behavior</w:t>
      </w:r>
      <w:r w:rsidRPr="00A3373D">
        <w:rPr>
          <w:lang w:val="en-US" w:eastAsia="en-US"/>
        </w:rPr>
        <w:t>, and environment. The point of interest is that this evidence cannot be used to justify fatalism. It exhibits constrained plasticity. The effects of poverty on developmental pathways are early in nature, yet the pathways are still susceptible to change if systems alleviate stress and enhance the quality of interaction and support (Hurt and Betancourt, 2016; Johnson et al., 2016; Abo Hamza et al., 2024).</w:t>
      </w:r>
    </w:p>
    <w:p w14:paraId="0F63679F" w14:textId="77777777" w:rsidR="0034237D" w:rsidRPr="00A3373D" w:rsidRDefault="0034237D" w:rsidP="00A3373D">
      <w:pPr>
        <w:rPr>
          <w:lang w:val="en-US" w:eastAsia="en-US"/>
        </w:rPr>
      </w:pPr>
      <w:r w:rsidRPr="00A3373D">
        <w:rPr>
          <w:lang w:val="en-US" w:eastAsia="en-US"/>
        </w:rPr>
        <w:t xml:space="preserve">Protective factors evidence is of particular importance since it helps avoid the drift of the discussion towards deficit language. The authors of </w:t>
      </w:r>
      <w:proofErr w:type="spellStart"/>
      <w:r w:rsidRPr="00A3373D">
        <w:rPr>
          <w:lang w:val="en-US" w:eastAsia="en-US"/>
        </w:rPr>
        <w:t>Shahaeian</w:t>
      </w:r>
      <w:proofErr w:type="spellEnd"/>
      <w:r w:rsidRPr="00A3373D">
        <w:rPr>
          <w:lang w:val="en-US" w:eastAsia="en-US"/>
        </w:rPr>
        <w:t xml:space="preserve"> et al. (2018) discovered that early shared reading was associated with future cognitive and school competencies in six-year-olds, and the associations were stronger in low and middle </w:t>
      </w:r>
      <w:r w:rsidRPr="00A3373D">
        <w:rPr>
          <w:lang w:val="en-US" w:eastAsia="en-US"/>
        </w:rPr>
        <w:lastRenderedPageBreak/>
        <w:t>socioeconomic groups compared to high socioeconomic groups. That discovery is commonly reduced to the advice to simply read more books. An even more grave meaning is that socioeconomic risk can to some extent be buffered by responsive, repeated, language-rich interaction. This opinion is supported by Rakesh et al. (2025) who note that cognitive stimulation, preschool attendance, home learning activities, and teacher-student relationships are the mechanisms that could weaken the association between poor language or educational outcomes and low socioeconomic status. The advantage of this analysis is self-evident. It changes the discussion from faulting families to pointing out the conditions that can be modified (</w:t>
      </w:r>
      <w:proofErr w:type="spellStart"/>
      <w:r w:rsidRPr="00A3373D">
        <w:rPr>
          <w:lang w:val="en-US" w:eastAsia="en-US"/>
        </w:rPr>
        <w:t>Shahaeian</w:t>
      </w:r>
      <w:proofErr w:type="spellEnd"/>
      <w:r w:rsidRPr="00A3373D">
        <w:rPr>
          <w:lang w:val="en-US" w:eastAsia="en-US"/>
        </w:rPr>
        <w:t xml:space="preserve"> et al., 2018; Rakesh et al., 2025).</w:t>
      </w:r>
    </w:p>
    <w:p w14:paraId="738AEF8A" w14:textId="37E13458" w:rsidR="0034237D" w:rsidRPr="00A3373D" w:rsidRDefault="0034237D" w:rsidP="00A3373D">
      <w:pPr>
        <w:rPr>
          <w:lang w:val="en-US" w:eastAsia="en-US"/>
        </w:rPr>
      </w:pPr>
      <w:r w:rsidRPr="00A3373D">
        <w:rPr>
          <w:lang w:val="en-US" w:eastAsia="en-US"/>
        </w:rPr>
        <w:t xml:space="preserve">Intervention research in the recent past is particularly useful as it goes beyond description. West et al. (2021) demonstrated the possibility of successful scale implementation of early language screening and intervention. West et al. (2022) discovered that </w:t>
      </w:r>
      <w:r w:rsidR="00D13D80" w:rsidRPr="00A3373D">
        <w:rPr>
          <w:lang w:val="en-US" w:eastAsia="en-US"/>
        </w:rPr>
        <w:t>behavioral</w:t>
      </w:r>
      <w:r w:rsidRPr="00A3373D">
        <w:rPr>
          <w:lang w:val="en-US" w:eastAsia="en-US"/>
        </w:rPr>
        <w:t xml:space="preserve"> adjustment in school also improved with language intervention, which is significant since language difficulty and </w:t>
      </w:r>
      <w:r w:rsidR="00D13D80" w:rsidRPr="00A3373D">
        <w:rPr>
          <w:lang w:val="en-US" w:eastAsia="en-US"/>
        </w:rPr>
        <w:t>behavior</w:t>
      </w:r>
      <w:r w:rsidRPr="00A3373D">
        <w:rPr>
          <w:lang w:val="en-US" w:eastAsia="en-US"/>
        </w:rPr>
        <w:t xml:space="preserve"> difficulty are often confused in practice. West et al. (2024) then demonstrated that oral language enrichment during preschool can enhance the language abilities of children prior to school admission. Practical experience in the country-wide implementation of the Nuffield Early Language Intervention in England indicates that significant improvements can be achieved even without highly controlled trials, which is exactly what practitioners and commissioners require (West et al., 2026).</w:t>
      </w:r>
    </w:p>
    <w:p w14:paraId="3414647D" w14:textId="77777777" w:rsidR="0034237D" w:rsidRPr="00A3373D" w:rsidRDefault="0034237D" w:rsidP="00A3373D">
      <w:pPr>
        <w:rPr>
          <w:lang w:val="en-US" w:eastAsia="en-US"/>
        </w:rPr>
      </w:pPr>
      <w:r w:rsidRPr="00A3373D">
        <w:rPr>
          <w:lang w:val="en-US" w:eastAsia="en-US"/>
        </w:rPr>
        <w:t>Specific practice in underprivileged communities also helps to uphold this stance. The Happy Talk intervention had promising results (Frizelle et al., 2021), and Gibbard et al. (2024) discovered that there was evidence of parent-based language intervention models for very young children with speech, language and communication needs in socially disadvantaged areas. These works are important as they refute two feeble assumptions simultaneously. The initial false premise is that language delay associated with poverty will just go away without systematic assistance. The second one is that any successful language work should be clinic-based and specialist. A combination of universal enrichment, small-group work, parent support, and specialist referral where necessary is now supported by good evidence. It is not sufficient to screen. Anxiety is merely reallocated with identification without staffing, fidelity, and follow-through (Frizelle et al., 2021; Gibbard et al., 2024).</w:t>
      </w:r>
    </w:p>
    <w:p w14:paraId="0D5FE3DC" w14:textId="77777777" w:rsidR="0034237D" w:rsidRPr="00A3373D" w:rsidRDefault="0034237D" w:rsidP="00A3373D">
      <w:pPr>
        <w:rPr>
          <w:lang w:val="en-US" w:eastAsia="en-US"/>
        </w:rPr>
      </w:pPr>
      <w:r w:rsidRPr="00A3373D">
        <w:rPr>
          <w:lang w:val="en-US" w:eastAsia="en-US"/>
        </w:rPr>
        <w:lastRenderedPageBreak/>
        <w:t>Practitioner and policy implications are direct. School readiness, subsequent literacy, and school participation are all about communication and language. Education, health, and local authorities have responsibilities to coordinate support as specified in the current SEND Code of Practice and Part 3 of the Children and Families Act (2014). The existing guidance on Best Start Family Hubs outlines co-located speech and language support, referred to as professional contacts, and speech and language champions in hub systems, and the ELSEC expansion is aimed at offering earlier specific support before issues become critical. An example of this can be a nursery practitioner who observes poor listening comprehension, poor sentence structure, and poor narrative recall at age four. Best practice includes noting the pattern, graduated support, engaging parents in tangible home-language strategies, and escalation via SEND and speech and language pathways if progress is slow. Weak practice is to inform the family to wait and see since the child is just likely to be a bit behind (Department for Education &amp; Department of Health and Social Care, 2024).</w:t>
      </w:r>
    </w:p>
    <w:p w14:paraId="32B5173C" w14:textId="5677098E" w:rsidR="00BF2406" w:rsidRDefault="0034237D" w:rsidP="00A3373D">
      <w:pPr>
        <w:rPr>
          <w:lang w:val="en-US" w:eastAsia="en-US"/>
        </w:rPr>
      </w:pPr>
      <w:r w:rsidRPr="00A3373D">
        <w:rPr>
          <w:lang w:val="en-US" w:eastAsia="en-US"/>
        </w:rPr>
        <w:t>To sum up, the connection between poverty and language development is a fact, but deficit discourses about poor families lack analytical strength. The issue of poverty is that it is a concentration of stress and lack of opportunities to interact in high-quality ways, not because low-income children are less capable. The most robust conclusion is thus both pragmatic and theoretical: language development is enhanced when systems minimize stress, enhance interactions, recognize the</w:t>
      </w:r>
      <w:r w:rsidRPr="0034237D">
        <w:rPr>
          <w:lang w:val="en-US" w:eastAsia="en-US"/>
        </w:rPr>
        <w:t xml:space="preserve"> need at an early stage, and provide evidence-based support with adequate intensity.</w:t>
      </w:r>
    </w:p>
    <w:p w14:paraId="1AEECE8F" w14:textId="20C809CD" w:rsidR="0034237D" w:rsidRPr="0034237D" w:rsidRDefault="00BF2406" w:rsidP="00BF2406">
      <w:pPr>
        <w:spacing w:line="259" w:lineRule="auto"/>
        <w:jc w:val="left"/>
        <w:rPr>
          <w:lang w:val="en-US" w:eastAsia="en-US"/>
        </w:rPr>
      </w:pPr>
      <w:r>
        <w:rPr>
          <w:lang w:val="en-US" w:eastAsia="en-US"/>
        </w:rPr>
        <w:br w:type="page"/>
      </w:r>
    </w:p>
    <w:p w14:paraId="684927FE" w14:textId="77777777" w:rsidR="0034237D" w:rsidRPr="0034237D" w:rsidRDefault="0034237D" w:rsidP="00857501">
      <w:pPr>
        <w:pStyle w:val="Heading1"/>
        <w:rPr>
          <w:lang w:val="en-US" w:eastAsia="en-US"/>
        </w:rPr>
      </w:pPr>
      <w:r w:rsidRPr="0034237D">
        <w:rPr>
          <w:lang w:val="en-US" w:eastAsia="en-US"/>
        </w:rPr>
        <w:lastRenderedPageBreak/>
        <w:t>References</w:t>
      </w:r>
    </w:p>
    <w:p w14:paraId="59903B40" w14:textId="6D1F6B75"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Abo Hamza, E., </w:t>
      </w:r>
      <w:proofErr w:type="spellStart"/>
      <w:r w:rsidRPr="0034237D">
        <w:rPr>
          <w:rFonts w:eastAsia="Times New Roman" w:cs="Times New Roman"/>
          <w:szCs w:val="24"/>
          <w:lang w:eastAsia="en-US"/>
        </w:rPr>
        <w:t>Tindle</w:t>
      </w:r>
      <w:proofErr w:type="spellEnd"/>
      <w:r w:rsidRPr="0034237D">
        <w:rPr>
          <w:rFonts w:eastAsia="Times New Roman" w:cs="Times New Roman"/>
          <w:szCs w:val="24"/>
          <w:lang w:eastAsia="en-US"/>
        </w:rPr>
        <w:t>, R., Pawlak, S.,</w:t>
      </w:r>
      <w:r w:rsidR="00105DF1">
        <w:rPr>
          <w:rFonts w:eastAsia="Times New Roman" w:cs="Times New Roman"/>
          <w:szCs w:val="24"/>
          <w:lang w:eastAsia="en-US"/>
        </w:rPr>
        <w:t xml:space="preserve"> </w:t>
      </w:r>
      <w:proofErr w:type="spellStart"/>
      <w:r w:rsidR="00105DF1">
        <w:rPr>
          <w:rFonts w:eastAsia="Times New Roman" w:cs="Times New Roman"/>
          <w:szCs w:val="24"/>
          <w:lang w:eastAsia="en-US"/>
        </w:rPr>
        <w:t>Bedewy</w:t>
      </w:r>
      <w:proofErr w:type="spellEnd"/>
      <w:r w:rsidR="00105DF1">
        <w:rPr>
          <w:rFonts w:eastAsia="Times New Roman" w:cs="Times New Roman"/>
          <w:szCs w:val="24"/>
          <w:lang w:eastAsia="en-US"/>
        </w:rPr>
        <w:t>, D. and Moustafa, A.A. (</w:t>
      </w:r>
      <w:r w:rsidRPr="0034237D">
        <w:rPr>
          <w:rFonts w:eastAsia="Times New Roman" w:cs="Times New Roman"/>
          <w:szCs w:val="24"/>
          <w:lang w:eastAsia="en-US"/>
        </w:rPr>
        <w:t>2024</w:t>
      </w:r>
      <w:r w:rsidR="00105DF1">
        <w:rPr>
          <w:rFonts w:eastAsia="Times New Roman" w:cs="Times New Roman"/>
          <w:szCs w:val="24"/>
          <w:lang w:eastAsia="en-US"/>
        </w:rPr>
        <w:t>)</w:t>
      </w:r>
      <w:r w:rsidRPr="0034237D">
        <w:rPr>
          <w:rFonts w:eastAsia="Times New Roman" w:cs="Times New Roman"/>
          <w:szCs w:val="24"/>
          <w:lang w:eastAsia="en-US"/>
        </w:rPr>
        <w:t>. The impact of poverty and socioeconomic status on brain, behaviour, and development: a unified framework. </w:t>
      </w:r>
      <w:r w:rsidRPr="0034237D">
        <w:rPr>
          <w:rFonts w:eastAsia="Times New Roman" w:cs="Times New Roman"/>
          <w:i/>
          <w:iCs/>
          <w:szCs w:val="24"/>
          <w:lang w:eastAsia="en-US"/>
        </w:rPr>
        <w:t>Reviews in the Neurosciences</w:t>
      </w:r>
      <w:r w:rsidRPr="0034237D">
        <w:rPr>
          <w:rFonts w:eastAsia="Times New Roman" w:cs="Times New Roman"/>
          <w:szCs w:val="24"/>
          <w:lang w:eastAsia="en-US"/>
        </w:rPr>
        <w:t>, </w:t>
      </w:r>
      <w:r w:rsidRPr="0034237D">
        <w:rPr>
          <w:rFonts w:eastAsia="Times New Roman" w:cs="Times New Roman"/>
          <w:i/>
          <w:iCs/>
          <w:szCs w:val="24"/>
          <w:lang w:eastAsia="en-US"/>
        </w:rPr>
        <w:t>35</w:t>
      </w:r>
      <w:r w:rsidRPr="0034237D">
        <w:rPr>
          <w:rFonts w:eastAsia="Times New Roman" w:cs="Times New Roman"/>
          <w:szCs w:val="24"/>
          <w:lang w:eastAsia="en-US"/>
        </w:rPr>
        <w:t>(6), pp.597-617.</w:t>
      </w:r>
    </w:p>
    <w:p w14:paraId="0D3DE962" w14:textId="3A8FD17B" w:rsidR="0034237D" w:rsidRPr="0034237D" w:rsidRDefault="00105DF1" w:rsidP="0034237D">
      <w:pPr>
        <w:spacing w:before="100" w:beforeAutospacing="1" w:after="100" w:afterAutospacing="1"/>
        <w:rPr>
          <w:rFonts w:eastAsia="Times New Roman" w:cs="Times New Roman"/>
          <w:szCs w:val="24"/>
          <w:lang w:eastAsia="en-US"/>
        </w:rPr>
      </w:pPr>
      <w:r>
        <w:rPr>
          <w:rFonts w:eastAsia="Times New Roman" w:cs="Times New Roman"/>
          <w:szCs w:val="24"/>
          <w:lang w:eastAsia="en-US"/>
        </w:rPr>
        <w:t xml:space="preserve">Casey, E.G. and </w:t>
      </w:r>
      <w:proofErr w:type="spellStart"/>
      <w:r>
        <w:rPr>
          <w:rFonts w:eastAsia="Times New Roman" w:cs="Times New Roman"/>
          <w:szCs w:val="24"/>
          <w:lang w:eastAsia="en-US"/>
        </w:rPr>
        <w:t>Winsler</w:t>
      </w:r>
      <w:proofErr w:type="spellEnd"/>
      <w:r>
        <w:rPr>
          <w:rFonts w:eastAsia="Times New Roman" w:cs="Times New Roman"/>
          <w:szCs w:val="24"/>
          <w:lang w:eastAsia="en-US"/>
        </w:rPr>
        <w:t>, A. (</w:t>
      </w:r>
      <w:r w:rsidR="0034237D" w:rsidRPr="0034237D">
        <w:rPr>
          <w:rFonts w:eastAsia="Times New Roman" w:cs="Times New Roman"/>
          <w:szCs w:val="24"/>
          <w:lang w:eastAsia="en-US"/>
        </w:rPr>
        <w:t>2025</w:t>
      </w:r>
      <w:r>
        <w:rPr>
          <w:rFonts w:eastAsia="Times New Roman" w:cs="Times New Roman"/>
          <w:szCs w:val="24"/>
          <w:lang w:eastAsia="en-US"/>
        </w:rPr>
        <w:t>)</w:t>
      </w:r>
      <w:r w:rsidR="0034237D" w:rsidRPr="0034237D">
        <w:rPr>
          <w:rFonts w:eastAsia="Times New Roman" w:cs="Times New Roman"/>
          <w:szCs w:val="24"/>
          <w:lang w:eastAsia="en-US"/>
        </w:rPr>
        <w:t>. Impacts of food insecurity on child development: strengthening the role of childcare. </w:t>
      </w:r>
      <w:r w:rsidR="0034237D" w:rsidRPr="0034237D">
        <w:rPr>
          <w:rFonts w:eastAsia="Times New Roman" w:cs="Times New Roman"/>
          <w:i/>
          <w:iCs/>
          <w:szCs w:val="24"/>
          <w:lang w:eastAsia="en-US"/>
        </w:rPr>
        <w:t>Nutrients</w:t>
      </w:r>
      <w:r w:rsidR="0034237D" w:rsidRPr="0034237D">
        <w:rPr>
          <w:rFonts w:eastAsia="Times New Roman" w:cs="Times New Roman"/>
          <w:szCs w:val="24"/>
          <w:lang w:eastAsia="en-US"/>
        </w:rPr>
        <w:t>, </w:t>
      </w:r>
      <w:r w:rsidR="0034237D" w:rsidRPr="0034237D">
        <w:rPr>
          <w:rFonts w:eastAsia="Times New Roman" w:cs="Times New Roman"/>
          <w:i/>
          <w:iCs/>
          <w:szCs w:val="24"/>
          <w:lang w:eastAsia="en-US"/>
        </w:rPr>
        <w:t>17</w:t>
      </w:r>
      <w:r w:rsidR="0034237D" w:rsidRPr="0034237D">
        <w:rPr>
          <w:rFonts w:eastAsia="Times New Roman" w:cs="Times New Roman"/>
          <w:szCs w:val="24"/>
          <w:lang w:eastAsia="en-US"/>
        </w:rPr>
        <w:t>(15), p.2427.</w:t>
      </w:r>
    </w:p>
    <w:p w14:paraId="1B2F13FE" w14:textId="6062CC48"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t xml:space="preserve">Children Act (2004). c. 31, s. 11 (England and Wales).  </w:t>
      </w:r>
      <w:hyperlink r:id="rId5" w:history="1">
        <w:r w:rsidR="00105DF1" w:rsidRPr="002F0456">
          <w:rPr>
            <w:rStyle w:val="Hyperlink"/>
            <w:rFonts w:eastAsia="Times New Roman" w:cs="Times New Roman"/>
            <w:szCs w:val="24"/>
            <w:lang w:val="en-US" w:eastAsia="en-US"/>
          </w:rPr>
          <w:t>https://www.legislation.gov.uk/cy/ukpga/2004/31/section/11</w:t>
        </w:r>
      </w:hyperlink>
      <w:r w:rsidR="00105DF1">
        <w:rPr>
          <w:rFonts w:eastAsia="Times New Roman" w:cs="Times New Roman"/>
          <w:szCs w:val="24"/>
          <w:lang w:val="en-US" w:eastAsia="en-US"/>
        </w:rPr>
        <w:t xml:space="preserve"> </w:t>
      </w:r>
    </w:p>
    <w:p w14:paraId="781EC45F" w14:textId="09F411B5"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t xml:space="preserve">Children and Families Act (2014). c. 6, Part 3 (England). </w:t>
      </w:r>
      <w:hyperlink r:id="rId6" w:history="1">
        <w:r w:rsidR="00105DF1" w:rsidRPr="002F0456">
          <w:rPr>
            <w:rStyle w:val="Hyperlink"/>
            <w:rFonts w:eastAsia="Times New Roman" w:cs="Times New Roman"/>
            <w:szCs w:val="24"/>
            <w:lang w:val="en-US" w:eastAsia="en-US"/>
          </w:rPr>
          <w:t>https://www.legislation.gov.uk/ukpga/2014/6/contents</w:t>
        </w:r>
      </w:hyperlink>
      <w:r w:rsidR="00105DF1">
        <w:rPr>
          <w:rFonts w:eastAsia="Times New Roman" w:cs="Times New Roman"/>
          <w:szCs w:val="24"/>
          <w:lang w:val="en-US" w:eastAsia="en-US"/>
        </w:rPr>
        <w:t xml:space="preserve"> </w:t>
      </w:r>
    </w:p>
    <w:p w14:paraId="4F606D31" w14:textId="513DBF48"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Cooke, J.E., Kochendorfer, L.B., Stuart-Parrigon, K.L</w:t>
      </w:r>
      <w:r w:rsidR="00105DF1">
        <w:rPr>
          <w:rFonts w:eastAsia="Times New Roman" w:cs="Times New Roman"/>
          <w:szCs w:val="24"/>
          <w:lang w:eastAsia="en-US"/>
        </w:rPr>
        <w:t>., Koehn, A.J. and Kerns, K.A. (</w:t>
      </w:r>
      <w:r w:rsidRPr="0034237D">
        <w:rPr>
          <w:rFonts w:eastAsia="Times New Roman" w:cs="Times New Roman"/>
          <w:szCs w:val="24"/>
          <w:lang w:eastAsia="en-US"/>
        </w:rPr>
        <w:t>2019</w:t>
      </w:r>
      <w:r w:rsidR="00105DF1">
        <w:rPr>
          <w:rFonts w:eastAsia="Times New Roman" w:cs="Times New Roman"/>
          <w:szCs w:val="24"/>
          <w:lang w:eastAsia="en-US"/>
        </w:rPr>
        <w:t>)</w:t>
      </w:r>
      <w:r w:rsidRPr="0034237D">
        <w:rPr>
          <w:rFonts w:eastAsia="Times New Roman" w:cs="Times New Roman"/>
          <w:szCs w:val="24"/>
          <w:lang w:eastAsia="en-US"/>
        </w:rPr>
        <w:t>. Parent–child attachment and children’s experience and regulation of emotion: A meta-analytic review. </w:t>
      </w:r>
      <w:r w:rsidRPr="0034237D">
        <w:rPr>
          <w:rFonts w:eastAsia="Times New Roman" w:cs="Times New Roman"/>
          <w:i/>
          <w:iCs/>
          <w:szCs w:val="24"/>
          <w:lang w:eastAsia="en-US"/>
        </w:rPr>
        <w:t>Emotion</w:t>
      </w:r>
      <w:r w:rsidRPr="0034237D">
        <w:rPr>
          <w:rFonts w:eastAsia="Times New Roman" w:cs="Times New Roman"/>
          <w:szCs w:val="24"/>
          <w:lang w:eastAsia="en-US"/>
        </w:rPr>
        <w:t>, </w:t>
      </w:r>
      <w:r w:rsidRPr="0034237D">
        <w:rPr>
          <w:rFonts w:eastAsia="Times New Roman" w:cs="Times New Roman"/>
          <w:i/>
          <w:iCs/>
          <w:szCs w:val="24"/>
          <w:lang w:eastAsia="en-US"/>
        </w:rPr>
        <w:t>19</w:t>
      </w:r>
      <w:r w:rsidRPr="0034237D">
        <w:rPr>
          <w:rFonts w:eastAsia="Times New Roman" w:cs="Times New Roman"/>
          <w:szCs w:val="24"/>
          <w:lang w:eastAsia="en-US"/>
        </w:rPr>
        <w:t>(6), p.1103.</w:t>
      </w:r>
    </w:p>
    <w:p w14:paraId="4149D43B" w14:textId="71107A06"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de Oliveira, K.H.D., de Almeida, G.M., Gubert, M.B., Moura, A.S., Spaniol, A.M., Hernandez, D.C., Pérez</w:t>
      </w:r>
      <w:r w:rsidR="00105DF1">
        <w:rPr>
          <w:rFonts w:eastAsia="Times New Roman" w:cs="Times New Roman"/>
          <w:szCs w:val="24"/>
          <w:lang w:eastAsia="en-US"/>
        </w:rPr>
        <w:t>‐Escamilla, R. and Buccini, G. (</w:t>
      </w:r>
      <w:r w:rsidRPr="0034237D">
        <w:rPr>
          <w:rFonts w:eastAsia="Times New Roman" w:cs="Times New Roman"/>
          <w:szCs w:val="24"/>
          <w:lang w:eastAsia="en-US"/>
        </w:rPr>
        <w:t>2020</w:t>
      </w:r>
      <w:r w:rsidR="00105DF1">
        <w:rPr>
          <w:rFonts w:eastAsia="Times New Roman" w:cs="Times New Roman"/>
          <w:szCs w:val="24"/>
          <w:lang w:eastAsia="en-US"/>
        </w:rPr>
        <w:t>)</w:t>
      </w:r>
      <w:r w:rsidRPr="0034237D">
        <w:rPr>
          <w:rFonts w:eastAsia="Times New Roman" w:cs="Times New Roman"/>
          <w:szCs w:val="24"/>
          <w:lang w:eastAsia="en-US"/>
        </w:rPr>
        <w:t>. Household food insecurity and early childhood development: Systematic review and meta‐analysis. </w:t>
      </w:r>
      <w:r w:rsidRPr="0034237D">
        <w:rPr>
          <w:rFonts w:eastAsia="Times New Roman" w:cs="Times New Roman"/>
          <w:i/>
          <w:iCs/>
          <w:szCs w:val="24"/>
          <w:lang w:eastAsia="en-US"/>
        </w:rPr>
        <w:t>Maternal &amp; child nutrition</w:t>
      </w:r>
      <w:r w:rsidRPr="0034237D">
        <w:rPr>
          <w:rFonts w:eastAsia="Times New Roman" w:cs="Times New Roman"/>
          <w:szCs w:val="24"/>
          <w:lang w:eastAsia="en-US"/>
        </w:rPr>
        <w:t>, </w:t>
      </w:r>
      <w:r w:rsidRPr="0034237D">
        <w:rPr>
          <w:rFonts w:eastAsia="Times New Roman" w:cs="Times New Roman"/>
          <w:i/>
          <w:iCs/>
          <w:szCs w:val="24"/>
          <w:lang w:eastAsia="en-US"/>
        </w:rPr>
        <w:t>16</w:t>
      </w:r>
      <w:r w:rsidRPr="0034237D">
        <w:rPr>
          <w:rFonts w:eastAsia="Times New Roman" w:cs="Times New Roman"/>
          <w:szCs w:val="24"/>
          <w:lang w:eastAsia="en-US"/>
        </w:rPr>
        <w:t>(3), p.e12967.</w:t>
      </w:r>
    </w:p>
    <w:p w14:paraId="485FB6B2" w14:textId="1E752BC9"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t xml:space="preserve">Department for Education. (2025). </w:t>
      </w:r>
      <w:r w:rsidRPr="0034237D">
        <w:rPr>
          <w:rFonts w:eastAsia="Times New Roman" w:cs="Times New Roman"/>
          <w:i/>
          <w:iCs/>
          <w:szCs w:val="24"/>
          <w:lang w:val="en-US" w:eastAsia="en-US"/>
        </w:rPr>
        <w:t>Early years foundation stage statutory framework</w:t>
      </w:r>
      <w:r w:rsidRPr="0034237D">
        <w:rPr>
          <w:rFonts w:eastAsia="Times New Roman" w:cs="Times New Roman"/>
          <w:szCs w:val="24"/>
          <w:lang w:val="en-US" w:eastAsia="en-US"/>
        </w:rPr>
        <w:t xml:space="preserve">. </w:t>
      </w:r>
      <w:hyperlink r:id="rId7" w:history="1">
        <w:r w:rsidR="00105DF1" w:rsidRPr="002F0456">
          <w:rPr>
            <w:rStyle w:val="Hyperlink"/>
            <w:rFonts w:eastAsia="Times New Roman" w:cs="Times New Roman"/>
            <w:szCs w:val="24"/>
            <w:lang w:val="en-US" w:eastAsia="en-US"/>
          </w:rPr>
          <w:t>https://www.gov.uk/government/publications/early-years-foundation-stage-framework--2</w:t>
        </w:r>
      </w:hyperlink>
      <w:r w:rsidR="00105DF1">
        <w:rPr>
          <w:rFonts w:eastAsia="Times New Roman" w:cs="Times New Roman"/>
          <w:szCs w:val="24"/>
          <w:lang w:val="en-US" w:eastAsia="en-US"/>
        </w:rPr>
        <w:t xml:space="preserve"> </w:t>
      </w:r>
    </w:p>
    <w:p w14:paraId="1AF0ADA6" w14:textId="5E0134D7"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t xml:space="preserve">Department for Education. (2025a). </w:t>
      </w:r>
      <w:r w:rsidRPr="0034237D">
        <w:rPr>
          <w:rFonts w:eastAsia="Times New Roman" w:cs="Times New Roman"/>
          <w:i/>
          <w:iCs/>
          <w:szCs w:val="24"/>
          <w:lang w:val="en-US" w:eastAsia="en-US"/>
        </w:rPr>
        <w:t xml:space="preserve">Free breakfast clubs: Guidance for schools on the early adopter </w:t>
      </w:r>
      <w:proofErr w:type="spellStart"/>
      <w:r w:rsidRPr="0034237D">
        <w:rPr>
          <w:rFonts w:eastAsia="Times New Roman" w:cs="Times New Roman"/>
          <w:i/>
          <w:iCs/>
          <w:szCs w:val="24"/>
          <w:lang w:val="en-US" w:eastAsia="en-US"/>
        </w:rPr>
        <w:t>programme</w:t>
      </w:r>
      <w:proofErr w:type="spellEnd"/>
      <w:r w:rsidRPr="0034237D">
        <w:rPr>
          <w:rFonts w:eastAsia="Times New Roman" w:cs="Times New Roman"/>
          <w:i/>
          <w:iCs/>
          <w:szCs w:val="24"/>
          <w:lang w:val="en-US" w:eastAsia="en-US"/>
        </w:rPr>
        <w:t>, April 2025 to March 2026</w:t>
      </w:r>
      <w:r w:rsidRPr="0034237D">
        <w:rPr>
          <w:rFonts w:eastAsia="Times New Roman" w:cs="Times New Roman"/>
          <w:szCs w:val="24"/>
          <w:lang w:val="en-US" w:eastAsia="en-US"/>
        </w:rPr>
        <w:t xml:space="preserve">.  </w:t>
      </w:r>
      <w:hyperlink r:id="rId8" w:history="1">
        <w:r w:rsidR="00105DF1" w:rsidRPr="002F0456">
          <w:rPr>
            <w:rStyle w:val="Hyperlink"/>
            <w:rFonts w:eastAsia="Times New Roman" w:cs="Times New Roman"/>
            <w:szCs w:val="24"/>
            <w:lang w:val="en-US" w:eastAsia="en-US"/>
          </w:rPr>
          <w:t>https://www.gov.uk/government/publications/free-breakfast-clubs-guidance-for-schools-and-trusts/free-breakfast-clubs-guidance-for-schools-on-the-early-adopter-programme-april-2025-to-march-2026</w:t>
        </w:r>
      </w:hyperlink>
      <w:r w:rsidR="00105DF1">
        <w:rPr>
          <w:rFonts w:eastAsia="Times New Roman" w:cs="Times New Roman"/>
          <w:szCs w:val="24"/>
          <w:lang w:val="en-US" w:eastAsia="en-US"/>
        </w:rPr>
        <w:t xml:space="preserve"> </w:t>
      </w:r>
    </w:p>
    <w:p w14:paraId="1E426AC2" w14:textId="5E2948A2"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lastRenderedPageBreak/>
        <w:t xml:space="preserve">Department for Education. (2025b). </w:t>
      </w:r>
      <w:r w:rsidRPr="0034237D">
        <w:rPr>
          <w:rFonts w:eastAsia="Times New Roman" w:cs="Times New Roman"/>
          <w:i/>
          <w:iCs/>
          <w:szCs w:val="24"/>
          <w:lang w:val="en-US" w:eastAsia="en-US"/>
        </w:rPr>
        <w:t>School food standards practical guide</w:t>
      </w:r>
      <w:r w:rsidRPr="0034237D">
        <w:rPr>
          <w:rFonts w:eastAsia="Times New Roman" w:cs="Times New Roman"/>
          <w:szCs w:val="24"/>
          <w:lang w:val="en-US" w:eastAsia="en-US"/>
        </w:rPr>
        <w:t xml:space="preserve">. </w:t>
      </w:r>
      <w:hyperlink r:id="rId9" w:history="1">
        <w:r w:rsidR="00105DF1" w:rsidRPr="002F0456">
          <w:rPr>
            <w:rStyle w:val="Hyperlink"/>
            <w:rFonts w:eastAsia="Times New Roman" w:cs="Times New Roman"/>
            <w:szCs w:val="24"/>
            <w:lang w:val="en-US" w:eastAsia="en-US"/>
          </w:rPr>
          <w:t>https://www.gov.uk/government/publications/school-food-standards-resources-for-schools/school-food-standards-practical-guide</w:t>
        </w:r>
      </w:hyperlink>
      <w:r w:rsidR="00105DF1">
        <w:rPr>
          <w:rFonts w:eastAsia="Times New Roman" w:cs="Times New Roman"/>
          <w:szCs w:val="24"/>
          <w:lang w:val="en-US" w:eastAsia="en-US"/>
        </w:rPr>
        <w:t xml:space="preserve"> </w:t>
      </w:r>
    </w:p>
    <w:p w14:paraId="750669D1" w14:textId="49CBE700"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t xml:space="preserve">Department for Education, &amp; Department of Health and Social Care. (2024). </w:t>
      </w:r>
      <w:r w:rsidRPr="0034237D">
        <w:rPr>
          <w:rFonts w:eastAsia="Times New Roman" w:cs="Times New Roman"/>
          <w:i/>
          <w:iCs/>
          <w:szCs w:val="24"/>
          <w:lang w:val="en-US" w:eastAsia="en-US"/>
        </w:rPr>
        <w:t>SEND code of practice: 0 to 25 years</w:t>
      </w:r>
      <w:r w:rsidRPr="0034237D">
        <w:rPr>
          <w:rFonts w:eastAsia="Times New Roman" w:cs="Times New Roman"/>
          <w:szCs w:val="24"/>
          <w:lang w:val="en-US" w:eastAsia="en-US"/>
        </w:rPr>
        <w:t xml:space="preserve">. </w:t>
      </w:r>
      <w:hyperlink r:id="rId10" w:history="1">
        <w:r w:rsidR="00105DF1" w:rsidRPr="002F0456">
          <w:rPr>
            <w:rStyle w:val="Hyperlink"/>
            <w:rFonts w:eastAsia="Times New Roman" w:cs="Times New Roman"/>
            <w:szCs w:val="24"/>
            <w:lang w:val="en-US" w:eastAsia="en-US"/>
          </w:rPr>
          <w:t>https://www.gov.uk/government/publications/send-code-of-practice-0-to-25</w:t>
        </w:r>
      </w:hyperlink>
      <w:r w:rsidR="00105DF1">
        <w:rPr>
          <w:rFonts w:eastAsia="Times New Roman" w:cs="Times New Roman"/>
          <w:szCs w:val="24"/>
          <w:lang w:val="en-US" w:eastAsia="en-US"/>
        </w:rPr>
        <w:t xml:space="preserve">  </w:t>
      </w:r>
    </w:p>
    <w:p w14:paraId="121672DC" w14:textId="49CDC14E"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t xml:space="preserve">Department of Health and Social Care. (2024). </w:t>
      </w:r>
      <w:r w:rsidRPr="0034237D">
        <w:rPr>
          <w:rFonts w:eastAsia="Times New Roman" w:cs="Times New Roman"/>
          <w:i/>
          <w:iCs/>
          <w:szCs w:val="24"/>
          <w:lang w:val="en-US" w:eastAsia="en-US"/>
        </w:rPr>
        <w:t>Parent-infant relationships: Starting conversations (practitioner guide)</w:t>
      </w:r>
      <w:r w:rsidRPr="0034237D">
        <w:rPr>
          <w:rFonts w:eastAsia="Times New Roman" w:cs="Times New Roman"/>
          <w:szCs w:val="24"/>
          <w:lang w:val="en-US" w:eastAsia="en-US"/>
        </w:rPr>
        <w:t xml:space="preserve">. </w:t>
      </w:r>
      <w:hyperlink r:id="rId11" w:history="1">
        <w:r w:rsidR="00105DF1" w:rsidRPr="002F0456">
          <w:rPr>
            <w:rStyle w:val="Hyperlink"/>
            <w:rFonts w:eastAsia="Times New Roman" w:cs="Times New Roman"/>
            <w:szCs w:val="24"/>
            <w:lang w:val="en-US" w:eastAsia="en-US"/>
          </w:rPr>
          <w:t>https://www.gov.uk/government/publications/parent-infant-relationships-starting-conversations-practitioner-guide</w:t>
        </w:r>
      </w:hyperlink>
      <w:r w:rsidR="00105DF1">
        <w:rPr>
          <w:rFonts w:eastAsia="Times New Roman" w:cs="Times New Roman"/>
          <w:szCs w:val="24"/>
          <w:lang w:val="en-US" w:eastAsia="en-US"/>
        </w:rPr>
        <w:t xml:space="preserve"> </w:t>
      </w:r>
    </w:p>
    <w:p w14:paraId="02412630" w14:textId="20DB9551"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Frizelle, P., Mullane, E., O'Shea, A., Ceroni, A., </w:t>
      </w:r>
      <w:proofErr w:type="spellStart"/>
      <w:r w:rsidRPr="0034237D">
        <w:rPr>
          <w:rFonts w:eastAsia="Times New Roman" w:cs="Times New Roman"/>
          <w:szCs w:val="24"/>
          <w:lang w:eastAsia="en-US"/>
        </w:rPr>
        <w:t>Dahly</w:t>
      </w:r>
      <w:proofErr w:type="spellEnd"/>
      <w:r w:rsidRPr="0034237D">
        <w:rPr>
          <w:rFonts w:eastAsia="Times New Roman" w:cs="Times New Roman"/>
          <w:szCs w:val="24"/>
          <w:lang w:eastAsia="en-US"/>
        </w:rPr>
        <w:t>, D., Horgan, A</w:t>
      </w:r>
      <w:r w:rsidR="00105DF1">
        <w:rPr>
          <w:rFonts w:eastAsia="Times New Roman" w:cs="Times New Roman"/>
          <w:szCs w:val="24"/>
          <w:lang w:eastAsia="en-US"/>
        </w:rPr>
        <w:t>., Levickis, P. and Mckean, C. (</w:t>
      </w:r>
      <w:r w:rsidRPr="0034237D">
        <w:rPr>
          <w:rFonts w:eastAsia="Times New Roman" w:cs="Times New Roman"/>
          <w:szCs w:val="24"/>
          <w:lang w:eastAsia="en-US"/>
        </w:rPr>
        <w:t>2021</w:t>
      </w:r>
      <w:r w:rsidR="00105DF1">
        <w:rPr>
          <w:rFonts w:eastAsia="Times New Roman" w:cs="Times New Roman"/>
          <w:szCs w:val="24"/>
          <w:lang w:eastAsia="en-US"/>
        </w:rPr>
        <w:t>)</w:t>
      </w:r>
      <w:r w:rsidRPr="0034237D">
        <w:rPr>
          <w:rFonts w:eastAsia="Times New Roman" w:cs="Times New Roman"/>
          <w:szCs w:val="24"/>
          <w:lang w:eastAsia="en-US"/>
        </w:rPr>
        <w:t>. Happy talk: A pilot effectiveness study of a targeted‐selective speech–language and communication intervention for children from areas of social disadvantage. </w:t>
      </w:r>
      <w:r w:rsidRPr="0034237D">
        <w:rPr>
          <w:rFonts w:eastAsia="Times New Roman" w:cs="Times New Roman"/>
          <w:i/>
          <w:iCs/>
          <w:szCs w:val="24"/>
          <w:lang w:eastAsia="en-US"/>
        </w:rPr>
        <w:t>International Journal of Language &amp; Communication Disorders</w:t>
      </w:r>
      <w:r w:rsidRPr="0034237D">
        <w:rPr>
          <w:rFonts w:eastAsia="Times New Roman" w:cs="Times New Roman"/>
          <w:szCs w:val="24"/>
          <w:lang w:eastAsia="en-US"/>
        </w:rPr>
        <w:t>, </w:t>
      </w:r>
      <w:r w:rsidRPr="0034237D">
        <w:rPr>
          <w:rFonts w:eastAsia="Times New Roman" w:cs="Times New Roman"/>
          <w:i/>
          <w:iCs/>
          <w:szCs w:val="24"/>
          <w:lang w:eastAsia="en-US"/>
        </w:rPr>
        <w:t>56</w:t>
      </w:r>
      <w:r w:rsidRPr="0034237D">
        <w:rPr>
          <w:rFonts w:eastAsia="Times New Roman" w:cs="Times New Roman"/>
          <w:szCs w:val="24"/>
          <w:lang w:eastAsia="en-US"/>
        </w:rPr>
        <w:t>(5), pp.954-974.</w:t>
      </w:r>
    </w:p>
    <w:p w14:paraId="18629EC3" w14:textId="447940F9"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Gallegos, D., </w:t>
      </w:r>
      <w:proofErr w:type="spellStart"/>
      <w:r w:rsidRPr="0034237D">
        <w:rPr>
          <w:rFonts w:eastAsia="Times New Roman" w:cs="Times New Roman"/>
          <w:szCs w:val="24"/>
          <w:lang w:eastAsia="en-US"/>
        </w:rPr>
        <w:t>Eivers</w:t>
      </w:r>
      <w:proofErr w:type="spellEnd"/>
      <w:r w:rsidRPr="0034237D">
        <w:rPr>
          <w:rFonts w:eastAsia="Times New Roman" w:cs="Times New Roman"/>
          <w:szCs w:val="24"/>
          <w:lang w:eastAsia="en-US"/>
        </w:rPr>
        <w:t>, A., So</w:t>
      </w:r>
      <w:r w:rsidR="00105DF1">
        <w:rPr>
          <w:rFonts w:eastAsia="Times New Roman" w:cs="Times New Roman"/>
          <w:szCs w:val="24"/>
          <w:lang w:eastAsia="en-US"/>
        </w:rPr>
        <w:t>ndergeld, P. and Pattinson, C. (</w:t>
      </w:r>
      <w:r w:rsidRPr="0034237D">
        <w:rPr>
          <w:rFonts w:eastAsia="Times New Roman" w:cs="Times New Roman"/>
          <w:szCs w:val="24"/>
          <w:lang w:eastAsia="en-US"/>
        </w:rPr>
        <w:t>2021</w:t>
      </w:r>
      <w:r w:rsidR="00105DF1">
        <w:rPr>
          <w:rFonts w:eastAsia="Times New Roman" w:cs="Times New Roman"/>
          <w:szCs w:val="24"/>
          <w:lang w:eastAsia="en-US"/>
        </w:rPr>
        <w:t>)</w:t>
      </w:r>
      <w:r w:rsidRPr="0034237D">
        <w:rPr>
          <w:rFonts w:eastAsia="Times New Roman" w:cs="Times New Roman"/>
          <w:szCs w:val="24"/>
          <w:lang w:eastAsia="en-US"/>
        </w:rPr>
        <w:t>. Food insecurity and child development: a state-of-the-art review. </w:t>
      </w:r>
      <w:r w:rsidRPr="0034237D">
        <w:rPr>
          <w:rFonts w:eastAsia="Times New Roman" w:cs="Times New Roman"/>
          <w:i/>
          <w:iCs/>
          <w:szCs w:val="24"/>
          <w:lang w:eastAsia="en-US"/>
        </w:rPr>
        <w:t>International Journal of Environmental Research and public health</w:t>
      </w:r>
      <w:r w:rsidRPr="0034237D">
        <w:rPr>
          <w:rFonts w:eastAsia="Times New Roman" w:cs="Times New Roman"/>
          <w:szCs w:val="24"/>
          <w:lang w:eastAsia="en-US"/>
        </w:rPr>
        <w:t>, </w:t>
      </w:r>
      <w:r w:rsidRPr="0034237D">
        <w:rPr>
          <w:rFonts w:eastAsia="Times New Roman" w:cs="Times New Roman"/>
          <w:i/>
          <w:iCs/>
          <w:szCs w:val="24"/>
          <w:lang w:eastAsia="en-US"/>
        </w:rPr>
        <w:t>18</w:t>
      </w:r>
      <w:r w:rsidRPr="0034237D">
        <w:rPr>
          <w:rFonts w:eastAsia="Times New Roman" w:cs="Times New Roman"/>
          <w:szCs w:val="24"/>
          <w:lang w:eastAsia="en-US"/>
        </w:rPr>
        <w:t>(17), p.8990.</w:t>
      </w:r>
    </w:p>
    <w:p w14:paraId="1A714F79" w14:textId="1441CE1F"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Gibbard, D., </w:t>
      </w:r>
      <w:proofErr w:type="spellStart"/>
      <w:r w:rsidRPr="0034237D">
        <w:rPr>
          <w:rFonts w:eastAsia="Times New Roman" w:cs="Times New Roman"/>
          <w:szCs w:val="24"/>
          <w:lang w:eastAsia="en-US"/>
        </w:rPr>
        <w:t>Roulstone</w:t>
      </w:r>
      <w:proofErr w:type="spellEnd"/>
      <w:r w:rsidRPr="0034237D">
        <w:rPr>
          <w:rFonts w:eastAsia="Times New Roman" w:cs="Times New Roman"/>
          <w:szCs w:val="24"/>
          <w:lang w:eastAsia="en-US"/>
        </w:rPr>
        <w:t>, S., Kandala, N.I., Morgan, L., Harding,</w:t>
      </w:r>
      <w:r w:rsidR="00105DF1">
        <w:rPr>
          <w:rFonts w:eastAsia="Times New Roman" w:cs="Times New Roman"/>
          <w:szCs w:val="24"/>
          <w:lang w:eastAsia="en-US"/>
        </w:rPr>
        <w:t xml:space="preserve"> S., Smith, C. and Markham, C. (</w:t>
      </w:r>
      <w:r w:rsidRPr="0034237D">
        <w:rPr>
          <w:rFonts w:eastAsia="Times New Roman" w:cs="Times New Roman"/>
          <w:szCs w:val="24"/>
          <w:lang w:eastAsia="en-US"/>
        </w:rPr>
        <w:t>2024</w:t>
      </w:r>
      <w:r w:rsidR="00105DF1">
        <w:rPr>
          <w:rFonts w:eastAsia="Times New Roman" w:cs="Times New Roman"/>
          <w:szCs w:val="24"/>
          <w:lang w:eastAsia="en-US"/>
        </w:rPr>
        <w:t>)</w:t>
      </w:r>
      <w:r w:rsidRPr="0034237D">
        <w:rPr>
          <w:rFonts w:eastAsia="Times New Roman" w:cs="Times New Roman"/>
          <w:szCs w:val="24"/>
          <w:lang w:eastAsia="en-US"/>
        </w:rPr>
        <w:t>. A randomised controlled trial of the effectiveness of parent‐based models of language intervention for 2‐to 3‐year‐old children with speech, language and communication needs (SLCN) in areas of social disadvantage. </w:t>
      </w:r>
      <w:r w:rsidRPr="0034237D">
        <w:rPr>
          <w:rFonts w:eastAsia="Times New Roman" w:cs="Times New Roman"/>
          <w:i/>
          <w:iCs/>
          <w:szCs w:val="24"/>
          <w:lang w:eastAsia="en-US"/>
        </w:rPr>
        <w:t>International Journal of Language &amp; Communication Disorders</w:t>
      </w:r>
      <w:r w:rsidRPr="0034237D">
        <w:rPr>
          <w:rFonts w:eastAsia="Times New Roman" w:cs="Times New Roman"/>
          <w:szCs w:val="24"/>
          <w:lang w:eastAsia="en-US"/>
        </w:rPr>
        <w:t>, </w:t>
      </w:r>
      <w:r w:rsidRPr="0034237D">
        <w:rPr>
          <w:rFonts w:eastAsia="Times New Roman" w:cs="Times New Roman"/>
          <w:i/>
          <w:iCs/>
          <w:szCs w:val="24"/>
          <w:lang w:eastAsia="en-US"/>
        </w:rPr>
        <w:t>59</w:t>
      </w:r>
      <w:r w:rsidRPr="0034237D">
        <w:rPr>
          <w:rFonts w:eastAsia="Times New Roman" w:cs="Times New Roman"/>
          <w:szCs w:val="24"/>
          <w:lang w:eastAsia="en-US"/>
        </w:rPr>
        <w:t>(4), pp.1517-1537.</w:t>
      </w:r>
    </w:p>
    <w:p w14:paraId="08029B05" w14:textId="2D08881A"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Groh, A.M., Narayan, A.J., </w:t>
      </w:r>
      <w:proofErr w:type="spellStart"/>
      <w:r w:rsidRPr="0034237D">
        <w:rPr>
          <w:rFonts w:eastAsia="Times New Roman" w:cs="Times New Roman"/>
          <w:szCs w:val="24"/>
          <w:lang w:eastAsia="en-US"/>
        </w:rPr>
        <w:t>Bakermans</w:t>
      </w:r>
      <w:proofErr w:type="spellEnd"/>
      <w:r w:rsidRPr="0034237D">
        <w:rPr>
          <w:rFonts w:eastAsia="Times New Roman" w:cs="Times New Roman"/>
          <w:szCs w:val="24"/>
          <w:lang w:eastAsia="en-US"/>
        </w:rPr>
        <w:t>-Kranenburg, M.J., Roisman, G.I., Vaughn, B.E., Fearon,</w:t>
      </w:r>
      <w:r w:rsidR="00105DF1">
        <w:rPr>
          <w:rFonts w:eastAsia="Times New Roman" w:cs="Times New Roman"/>
          <w:szCs w:val="24"/>
          <w:lang w:eastAsia="en-US"/>
        </w:rPr>
        <w:t xml:space="preserve"> R.P. and van </w:t>
      </w:r>
      <w:proofErr w:type="spellStart"/>
      <w:r w:rsidR="00105DF1">
        <w:rPr>
          <w:rFonts w:eastAsia="Times New Roman" w:cs="Times New Roman"/>
          <w:szCs w:val="24"/>
          <w:lang w:eastAsia="en-US"/>
        </w:rPr>
        <w:t>IJzendoorn</w:t>
      </w:r>
      <w:proofErr w:type="spellEnd"/>
      <w:r w:rsidR="00105DF1">
        <w:rPr>
          <w:rFonts w:eastAsia="Times New Roman" w:cs="Times New Roman"/>
          <w:szCs w:val="24"/>
          <w:lang w:eastAsia="en-US"/>
        </w:rPr>
        <w:t>, M.H. (</w:t>
      </w:r>
      <w:r w:rsidRPr="0034237D">
        <w:rPr>
          <w:rFonts w:eastAsia="Times New Roman" w:cs="Times New Roman"/>
          <w:szCs w:val="24"/>
          <w:lang w:eastAsia="en-US"/>
        </w:rPr>
        <w:t>2017</w:t>
      </w:r>
      <w:r w:rsidR="00105DF1">
        <w:rPr>
          <w:rFonts w:eastAsia="Times New Roman" w:cs="Times New Roman"/>
          <w:szCs w:val="24"/>
          <w:lang w:eastAsia="en-US"/>
        </w:rPr>
        <w:t>)</w:t>
      </w:r>
      <w:r w:rsidRPr="0034237D">
        <w:rPr>
          <w:rFonts w:eastAsia="Times New Roman" w:cs="Times New Roman"/>
          <w:szCs w:val="24"/>
          <w:lang w:eastAsia="en-US"/>
        </w:rPr>
        <w:t>. Attachment and temperament in the early life course: A meta-analytic review. </w:t>
      </w:r>
      <w:r w:rsidRPr="0034237D">
        <w:rPr>
          <w:rFonts w:eastAsia="Times New Roman" w:cs="Times New Roman"/>
          <w:i/>
          <w:iCs/>
          <w:szCs w:val="24"/>
          <w:lang w:eastAsia="en-US"/>
        </w:rPr>
        <w:t>Child development</w:t>
      </w:r>
      <w:r w:rsidRPr="0034237D">
        <w:rPr>
          <w:rFonts w:eastAsia="Times New Roman" w:cs="Times New Roman"/>
          <w:szCs w:val="24"/>
          <w:lang w:eastAsia="en-US"/>
        </w:rPr>
        <w:t>, </w:t>
      </w:r>
      <w:r w:rsidRPr="0034237D">
        <w:rPr>
          <w:rFonts w:eastAsia="Times New Roman" w:cs="Times New Roman"/>
          <w:i/>
          <w:iCs/>
          <w:szCs w:val="24"/>
          <w:lang w:eastAsia="en-US"/>
        </w:rPr>
        <w:t>88</w:t>
      </w:r>
      <w:r w:rsidRPr="0034237D">
        <w:rPr>
          <w:rFonts w:eastAsia="Times New Roman" w:cs="Times New Roman"/>
          <w:szCs w:val="24"/>
          <w:lang w:eastAsia="en-US"/>
        </w:rPr>
        <w:t>(3), pp.770-795.</w:t>
      </w:r>
    </w:p>
    <w:p w14:paraId="6701BBEC" w14:textId="3C64CB9E" w:rsidR="0034237D" w:rsidRPr="0034237D" w:rsidRDefault="0034237D" w:rsidP="0034237D">
      <w:pPr>
        <w:spacing w:before="100" w:beforeAutospacing="1" w:after="100" w:afterAutospacing="1"/>
        <w:rPr>
          <w:rFonts w:eastAsia="Times New Roman" w:cs="Times New Roman"/>
          <w:szCs w:val="24"/>
          <w:lang w:val="en-US" w:eastAsia="en-US"/>
        </w:rPr>
      </w:pPr>
      <w:r w:rsidRPr="0034237D">
        <w:rPr>
          <w:rFonts w:eastAsia="Times New Roman" w:cs="Times New Roman"/>
          <w:szCs w:val="24"/>
          <w:lang w:val="en-US" w:eastAsia="en-US"/>
        </w:rPr>
        <w:t xml:space="preserve">GOV.UK. (2026). </w:t>
      </w:r>
      <w:r w:rsidRPr="0034237D">
        <w:rPr>
          <w:rFonts w:eastAsia="Times New Roman" w:cs="Times New Roman"/>
          <w:i/>
          <w:iCs/>
          <w:szCs w:val="24"/>
          <w:lang w:val="en-US" w:eastAsia="en-US"/>
        </w:rPr>
        <w:t>Healthy Start</w:t>
      </w:r>
      <w:r w:rsidRPr="0034237D">
        <w:rPr>
          <w:rFonts w:eastAsia="Times New Roman" w:cs="Times New Roman"/>
          <w:szCs w:val="24"/>
          <w:lang w:val="en-US" w:eastAsia="en-US"/>
        </w:rPr>
        <w:t xml:space="preserve">. </w:t>
      </w:r>
      <w:hyperlink r:id="rId12" w:history="1">
        <w:r w:rsidR="00105DF1" w:rsidRPr="002F0456">
          <w:rPr>
            <w:rStyle w:val="Hyperlink"/>
            <w:rFonts w:eastAsia="Times New Roman" w:cs="Times New Roman"/>
            <w:szCs w:val="24"/>
            <w:lang w:val="en-US" w:eastAsia="en-US"/>
          </w:rPr>
          <w:t>https://www.gov.uk/healthy-start</w:t>
        </w:r>
      </w:hyperlink>
      <w:r w:rsidR="00105DF1">
        <w:rPr>
          <w:rFonts w:eastAsia="Times New Roman" w:cs="Times New Roman"/>
          <w:szCs w:val="24"/>
          <w:lang w:val="en-US" w:eastAsia="en-US"/>
        </w:rPr>
        <w:t xml:space="preserve"> </w:t>
      </w:r>
    </w:p>
    <w:p w14:paraId="489333E9" w14:textId="36BC05BD" w:rsidR="0034237D" w:rsidRPr="0034237D" w:rsidRDefault="00105DF1" w:rsidP="0034237D">
      <w:pPr>
        <w:spacing w:before="100" w:beforeAutospacing="1" w:after="100" w:afterAutospacing="1"/>
        <w:rPr>
          <w:rFonts w:eastAsia="Times New Roman" w:cs="Times New Roman"/>
          <w:szCs w:val="24"/>
          <w:lang w:eastAsia="en-US"/>
        </w:rPr>
      </w:pPr>
      <w:r>
        <w:rPr>
          <w:rFonts w:eastAsia="Times New Roman" w:cs="Times New Roman"/>
          <w:szCs w:val="24"/>
          <w:lang w:eastAsia="en-US"/>
        </w:rPr>
        <w:lastRenderedPageBreak/>
        <w:t>Hurt, H. and Betancourt, L.M. (</w:t>
      </w:r>
      <w:r w:rsidR="0034237D" w:rsidRPr="0034237D">
        <w:rPr>
          <w:rFonts w:eastAsia="Times New Roman" w:cs="Times New Roman"/>
          <w:szCs w:val="24"/>
          <w:lang w:eastAsia="en-US"/>
        </w:rPr>
        <w:t>2016</w:t>
      </w:r>
      <w:r>
        <w:rPr>
          <w:rFonts w:eastAsia="Times New Roman" w:cs="Times New Roman"/>
          <w:szCs w:val="24"/>
          <w:lang w:eastAsia="en-US"/>
        </w:rPr>
        <w:t>)</w:t>
      </w:r>
      <w:r w:rsidR="0034237D" w:rsidRPr="0034237D">
        <w:rPr>
          <w:rFonts w:eastAsia="Times New Roman" w:cs="Times New Roman"/>
          <w:szCs w:val="24"/>
          <w:lang w:eastAsia="en-US"/>
        </w:rPr>
        <w:t xml:space="preserve">. Effect of socioeconomic status disparity on child language and neural outcome: how early is </w:t>
      </w:r>
      <w:proofErr w:type="gramStart"/>
      <w:r w:rsidR="0034237D" w:rsidRPr="0034237D">
        <w:rPr>
          <w:rFonts w:eastAsia="Times New Roman" w:cs="Times New Roman"/>
          <w:szCs w:val="24"/>
          <w:lang w:eastAsia="en-US"/>
        </w:rPr>
        <w:t>early?.</w:t>
      </w:r>
      <w:proofErr w:type="gramEnd"/>
      <w:r w:rsidR="0034237D" w:rsidRPr="0034237D">
        <w:rPr>
          <w:rFonts w:eastAsia="Times New Roman" w:cs="Times New Roman"/>
          <w:szCs w:val="24"/>
          <w:lang w:eastAsia="en-US"/>
        </w:rPr>
        <w:t> </w:t>
      </w:r>
      <w:proofErr w:type="spellStart"/>
      <w:r w:rsidR="0034237D" w:rsidRPr="0034237D">
        <w:rPr>
          <w:rFonts w:eastAsia="Times New Roman" w:cs="Times New Roman"/>
          <w:i/>
          <w:iCs/>
          <w:szCs w:val="24"/>
          <w:lang w:eastAsia="en-US"/>
        </w:rPr>
        <w:t>Pediatric</w:t>
      </w:r>
      <w:proofErr w:type="spellEnd"/>
      <w:r w:rsidR="0034237D" w:rsidRPr="0034237D">
        <w:rPr>
          <w:rFonts w:eastAsia="Times New Roman" w:cs="Times New Roman"/>
          <w:i/>
          <w:iCs/>
          <w:szCs w:val="24"/>
          <w:lang w:eastAsia="en-US"/>
        </w:rPr>
        <w:t xml:space="preserve"> Research</w:t>
      </w:r>
      <w:r w:rsidR="0034237D" w:rsidRPr="0034237D">
        <w:rPr>
          <w:rFonts w:eastAsia="Times New Roman" w:cs="Times New Roman"/>
          <w:szCs w:val="24"/>
          <w:lang w:eastAsia="en-US"/>
        </w:rPr>
        <w:t>, </w:t>
      </w:r>
      <w:r w:rsidR="0034237D" w:rsidRPr="0034237D">
        <w:rPr>
          <w:rFonts w:eastAsia="Times New Roman" w:cs="Times New Roman"/>
          <w:i/>
          <w:iCs/>
          <w:szCs w:val="24"/>
          <w:lang w:eastAsia="en-US"/>
        </w:rPr>
        <w:t>79</w:t>
      </w:r>
      <w:r w:rsidR="0034237D" w:rsidRPr="0034237D">
        <w:rPr>
          <w:rFonts w:eastAsia="Times New Roman" w:cs="Times New Roman"/>
          <w:szCs w:val="24"/>
          <w:lang w:eastAsia="en-US"/>
        </w:rPr>
        <w:t>(1), pp.148-158.</w:t>
      </w:r>
    </w:p>
    <w:p w14:paraId="523B500E" w14:textId="58BE6611" w:rsidR="0034237D" w:rsidRPr="0034237D" w:rsidRDefault="0034237D" w:rsidP="0034237D">
      <w:pPr>
        <w:spacing w:before="100" w:beforeAutospacing="1" w:after="100" w:afterAutospacing="1"/>
        <w:rPr>
          <w:rFonts w:eastAsia="Times New Roman" w:cs="Times New Roman"/>
          <w:szCs w:val="24"/>
          <w:lang w:eastAsia="en-US"/>
        </w:rPr>
      </w:pPr>
      <w:proofErr w:type="spellStart"/>
      <w:r w:rsidRPr="0034237D">
        <w:rPr>
          <w:rFonts w:eastAsia="Times New Roman" w:cs="Times New Roman"/>
          <w:szCs w:val="24"/>
          <w:lang w:eastAsia="en-US"/>
        </w:rPr>
        <w:t>Jethava</w:t>
      </w:r>
      <w:proofErr w:type="spellEnd"/>
      <w:r w:rsidRPr="0034237D">
        <w:rPr>
          <w:rFonts w:eastAsia="Times New Roman" w:cs="Times New Roman"/>
          <w:szCs w:val="24"/>
          <w:lang w:eastAsia="en-US"/>
        </w:rPr>
        <w:t xml:space="preserve">, V., Kadish, J., </w:t>
      </w:r>
      <w:proofErr w:type="spellStart"/>
      <w:r w:rsidRPr="0034237D">
        <w:rPr>
          <w:rFonts w:eastAsia="Times New Roman" w:cs="Times New Roman"/>
          <w:szCs w:val="24"/>
          <w:lang w:eastAsia="en-US"/>
        </w:rPr>
        <w:t>Kak</w:t>
      </w:r>
      <w:r w:rsidR="00105DF1">
        <w:rPr>
          <w:rFonts w:eastAsia="Times New Roman" w:cs="Times New Roman"/>
          <w:szCs w:val="24"/>
          <w:lang w:eastAsia="en-US"/>
        </w:rPr>
        <w:t>onge</w:t>
      </w:r>
      <w:proofErr w:type="spellEnd"/>
      <w:r w:rsidR="00105DF1">
        <w:rPr>
          <w:rFonts w:eastAsia="Times New Roman" w:cs="Times New Roman"/>
          <w:szCs w:val="24"/>
          <w:lang w:eastAsia="en-US"/>
        </w:rPr>
        <w:t>, L. and Wiseman-Hakes, C. (</w:t>
      </w:r>
      <w:r w:rsidRPr="0034237D">
        <w:rPr>
          <w:rFonts w:eastAsia="Times New Roman" w:cs="Times New Roman"/>
          <w:szCs w:val="24"/>
          <w:lang w:eastAsia="en-US"/>
        </w:rPr>
        <w:t>2022</w:t>
      </w:r>
      <w:r w:rsidR="00105DF1">
        <w:rPr>
          <w:rFonts w:eastAsia="Times New Roman" w:cs="Times New Roman"/>
          <w:szCs w:val="24"/>
          <w:lang w:eastAsia="en-US"/>
        </w:rPr>
        <w:t>)</w:t>
      </w:r>
      <w:r w:rsidRPr="0034237D">
        <w:rPr>
          <w:rFonts w:eastAsia="Times New Roman" w:cs="Times New Roman"/>
          <w:szCs w:val="24"/>
          <w:lang w:eastAsia="en-US"/>
        </w:rPr>
        <w:t>. Early attachment and the development of social communication: A neuropsychological approach. </w:t>
      </w:r>
      <w:r w:rsidRPr="0034237D">
        <w:rPr>
          <w:rFonts w:eastAsia="Times New Roman" w:cs="Times New Roman"/>
          <w:i/>
          <w:iCs/>
          <w:szCs w:val="24"/>
          <w:lang w:eastAsia="en-US"/>
        </w:rPr>
        <w:t>Frontiers in Psychiatry</w:t>
      </w:r>
      <w:r w:rsidRPr="0034237D">
        <w:rPr>
          <w:rFonts w:eastAsia="Times New Roman" w:cs="Times New Roman"/>
          <w:szCs w:val="24"/>
          <w:lang w:eastAsia="en-US"/>
        </w:rPr>
        <w:t>, </w:t>
      </w:r>
      <w:r w:rsidRPr="0034237D">
        <w:rPr>
          <w:rFonts w:eastAsia="Times New Roman" w:cs="Times New Roman"/>
          <w:i/>
          <w:iCs/>
          <w:szCs w:val="24"/>
          <w:lang w:eastAsia="en-US"/>
        </w:rPr>
        <w:t>13</w:t>
      </w:r>
      <w:r w:rsidRPr="0034237D">
        <w:rPr>
          <w:rFonts w:eastAsia="Times New Roman" w:cs="Times New Roman"/>
          <w:szCs w:val="24"/>
          <w:lang w:eastAsia="en-US"/>
        </w:rPr>
        <w:t>, p.838950.</w:t>
      </w:r>
    </w:p>
    <w:p w14:paraId="487AFDD4" w14:textId="29B013AE"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Johnson, S.</w:t>
      </w:r>
      <w:r w:rsidR="00105DF1">
        <w:rPr>
          <w:rFonts w:eastAsia="Times New Roman" w:cs="Times New Roman"/>
          <w:szCs w:val="24"/>
          <w:lang w:eastAsia="en-US"/>
        </w:rPr>
        <w:t>B., Riis, J.L. and Noble, K.G. (</w:t>
      </w:r>
      <w:r w:rsidRPr="0034237D">
        <w:rPr>
          <w:rFonts w:eastAsia="Times New Roman" w:cs="Times New Roman"/>
          <w:szCs w:val="24"/>
          <w:lang w:eastAsia="en-US"/>
        </w:rPr>
        <w:t>2016</w:t>
      </w:r>
      <w:r w:rsidR="00105DF1">
        <w:rPr>
          <w:rFonts w:eastAsia="Times New Roman" w:cs="Times New Roman"/>
          <w:szCs w:val="24"/>
          <w:lang w:eastAsia="en-US"/>
        </w:rPr>
        <w:t>)</w:t>
      </w:r>
      <w:r w:rsidRPr="0034237D">
        <w:rPr>
          <w:rFonts w:eastAsia="Times New Roman" w:cs="Times New Roman"/>
          <w:szCs w:val="24"/>
          <w:lang w:eastAsia="en-US"/>
        </w:rPr>
        <w:t>. State of the art review: poverty and the developing brain. </w:t>
      </w:r>
      <w:proofErr w:type="spellStart"/>
      <w:r w:rsidRPr="0034237D">
        <w:rPr>
          <w:rFonts w:eastAsia="Times New Roman" w:cs="Times New Roman"/>
          <w:i/>
          <w:iCs/>
          <w:szCs w:val="24"/>
          <w:lang w:eastAsia="en-US"/>
        </w:rPr>
        <w:t>Pediatrics</w:t>
      </w:r>
      <w:proofErr w:type="spellEnd"/>
      <w:r w:rsidRPr="0034237D">
        <w:rPr>
          <w:rFonts w:eastAsia="Times New Roman" w:cs="Times New Roman"/>
          <w:szCs w:val="24"/>
          <w:lang w:eastAsia="en-US"/>
        </w:rPr>
        <w:t>, </w:t>
      </w:r>
      <w:r w:rsidRPr="0034237D">
        <w:rPr>
          <w:rFonts w:eastAsia="Times New Roman" w:cs="Times New Roman"/>
          <w:i/>
          <w:iCs/>
          <w:szCs w:val="24"/>
          <w:lang w:eastAsia="en-US"/>
        </w:rPr>
        <w:t>137</w:t>
      </w:r>
      <w:r w:rsidRPr="0034237D">
        <w:rPr>
          <w:rFonts w:eastAsia="Times New Roman" w:cs="Times New Roman"/>
          <w:szCs w:val="24"/>
          <w:lang w:eastAsia="en-US"/>
        </w:rPr>
        <w:t>(4), p.e20153075.</w:t>
      </w:r>
    </w:p>
    <w:p w14:paraId="31689891" w14:textId="4FE8ED0A"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Juffer, F., Struis, E., Werner, C. </w:t>
      </w:r>
      <w:r w:rsidR="00105DF1">
        <w:rPr>
          <w:rFonts w:eastAsia="Times New Roman" w:cs="Times New Roman"/>
          <w:szCs w:val="24"/>
          <w:lang w:eastAsia="en-US"/>
        </w:rPr>
        <w:t xml:space="preserve">and </w:t>
      </w:r>
      <w:proofErr w:type="spellStart"/>
      <w:r w:rsidR="00105DF1">
        <w:rPr>
          <w:rFonts w:eastAsia="Times New Roman" w:cs="Times New Roman"/>
          <w:szCs w:val="24"/>
          <w:lang w:eastAsia="en-US"/>
        </w:rPr>
        <w:t>Bakermans</w:t>
      </w:r>
      <w:proofErr w:type="spellEnd"/>
      <w:r w:rsidR="00105DF1">
        <w:rPr>
          <w:rFonts w:eastAsia="Times New Roman" w:cs="Times New Roman"/>
          <w:szCs w:val="24"/>
          <w:lang w:eastAsia="en-US"/>
        </w:rPr>
        <w:t>-Kranenburg, M.J. (</w:t>
      </w:r>
      <w:r w:rsidRPr="0034237D">
        <w:rPr>
          <w:rFonts w:eastAsia="Times New Roman" w:cs="Times New Roman"/>
          <w:szCs w:val="24"/>
          <w:lang w:eastAsia="en-US"/>
        </w:rPr>
        <w:t>2017</w:t>
      </w:r>
      <w:r w:rsidR="00105DF1">
        <w:rPr>
          <w:rFonts w:eastAsia="Times New Roman" w:cs="Times New Roman"/>
          <w:szCs w:val="24"/>
          <w:lang w:eastAsia="en-US"/>
        </w:rPr>
        <w:t>)</w:t>
      </w:r>
      <w:r w:rsidRPr="0034237D">
        <w:rPr>
          <w:rFonts w:eastAsia="Times New Roman" w:cs="Times New Roman"/>
          <w:szCs w:val="24"/>
          <w:lang w:eastAsia="en-US"/>
        </w:rPr>
        <w:t>. Effective preventive interventions to support parents of young children: Illustrations from the</w:t>
      </w:r>
      <w:r w:rsidR="00105DF1">
        <w:rPr>
          <w:rFonts w:eastAsia="Times New Roman" w:cs="Times New Roman"/>
          <w:szCs w:val="24"/>
          <w:lang w:eastAsia="en-US"/>
        </w:rPr>
        <w:t xml:space="preserve"> </w:t>
      </w:r>
      <w:r w:rsidRPr="0034237D">
        <w:rPr>
          <w:rFonts w:eastAsia="Times New Roman" w:cs="Times New Roman"/>
          <w:szCs w:val="24"/>
          <w:lang w:eastAsia="en-US"/>
        </w:rPr>
        <w:t>Video-feedback Intervention to promote Positive Parenting and Sensitive Discipline (VIPP-SD). </w:t>
      </w:r>
      <w:r w:rsidRPr="0034237D">
        <w:rPr>
          <w:rFonts w:eastAsia="Times New Roman" w:cs="Times New Roman"/>
          <w:i/>
          <w:iCs/>
          <w:szCs w:val="24"/>
          <w:lang w:eastAsia="en-US"/>
        </w:rPr>
        <w:t>Journal of prevention &amp; intervention in the community</w:t>
      </w:r>
      <w:r w:rsidRPr="0034237D">
        <w:rPr>
          <w:rFonts w:eastAsia="Times New Roman" w:cs="Times New Roman"/>
          <w:szCs w:val="24"/>
          <w:lang w:eastAsia="en-US"/>
        </w:rPr>
        <w:t>, </w:t>
      </w:r>
      <w:r w:rsidRPr="0034237D">
        <w:rPr>
          <w:rFonts w:eastAsia="Times New Roman" w:cs="Times New Roman"/>
          <w:i/>
          <w:iCs/>
          <w:szCs w:val="24"/>
          <w:lang w:eastAsia="en-US"/>
        </w:rPr>
        <w:t>45</w:t>
      </w:r>
      <w:r w:rsidRPr="0034237D">
        <w:rPr>
          <w:rFonts w:eastAsia="Times New Roman" w:cs="Times New Roman"/>
          <w:szCs w:val="24"/>
          <w:lang w:eastAsia="en-US"/>
        </w:rPr>
        <w:t>(3), pp.202-214.</w:t>
      </w:r>
    </w:p>
    <w:p w14:paraId="14B1B165" w14:textId="419852A6"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Liu, J., Wu, L., Um, P., Wang, J., Kral</w:t>
      </w:r>
      <w:r w:rsidR="00105DF1">
        <w:rPr>
          <w:rFonts w:eastAsia="Times New Roman" w:cs="Times New Roman"/>
          <w:szCs w:val="24"/>
          <w:lang w:eastAsia="en-US"/>
        </w:rPr>
        <w:t>, T.V., Hanlon, A. and Shi, Z. (</w:t>
      </w:r>
      <w:r w:rsidRPr="0034237D">
        <w:rPr>
          <w:rFonts w:eastAsia="Times New Roman" w:cs="Times New Roman"/>
          <w:szCs w:val="24"/>
          <w:lang w:eastAsia="en-US"/>
        </w:rPr>
        <w:t>2021</w:t>
      </w:r>
      <w:r w:rsidR="00105DF1">
        <w:rPr>
          <w:rFonts w:eastAsia="Times New Roman" w:cs="Times New Roman"/>
          <w:szCs w:val="24"/>
          <w:lang w:eastAsia="en-US"/>
        </w:rPr>
        <w:t>)</w:t>
      </w:r>
      <w:r w:rsidRPr="0034237D">
        <w:rPr>
          <w:rFonts w:eastAsia="Times New Roman" w:cs="Times New Roman"/>
          <w:szCs w:val="24"/>
          <w:lang w:eastAsia="en-US"/>
        </w:rPr>
        <w:t>. Breakfast consumption habits at age 6 and cognitive ability at age 12: a longitudinal cohort study. </w:t>
      </w:r>
      <w:r w:rsidRPr="0034237D">
        <w:rPr>
          <w:rFonts w:eastAsia="Times New Roman" w:cs="Times New Roman"/>
          <w:i/>
          <w:iCs/>
          <w:szCs w:val="24"/>
          <w:lang w:eastAsia="en-US"/>
        </w:rPr>
        <w:t>Nutrients</w:t>
      </w:r>
      <w:r w:rsidRPr="0034237D">
        <w:rPr>
          <w:rFonts w:eastAsia="Times New Roman" w:cs="Times New Roman"/>
          <w:szCs w:val="24"/>
          <w:lang w:eastAsia="en-US"/>
        </w:rPr>
        <w:t>, </w:t>
      </w:r>
      <w:r w:rsidRPr="0034237D">
        <w:rPr>
          <w:rFonts w:eastAsia="Times New Roman" w:cs="Times New Roman"/>
          <w:i/>
          <w:iCs/>
          <w:szCs w:val="24"/>
          <w:lang w:eastAsia="en-US"/>
        </w:rPr>
        <w:t>13</w:t>
      </w:r>
      <w:r w:rsidRPr="0034237D">
        <w:rPr>
          <w:rFonts w:eastAsia="Times New Roman" w:cs="Times New Roman"/>
          <w:szCs w:val="24"/>
          <w:lang w:eastAsia="en-US"/>
        </w:rPr>
        <w:t>(6), p.2080.</w:t>
      </w:r>
    </w:p>
    <w:p w14:paraId="7FEF2470" w14:textId="612E3533" w:rsidR="0034237D" w:rsidRPr="0034237D" w:rsidRDefault="0034237D" w:rsidP="0034237D">
      <w:pPr>
        <w:spacing w:before="100" w:beforeAutospacing="1" w:after="100" w:afterAutospacing="1"/>
        <w:rPr>
          <w:rFonts w:eastAsia="Times New Roman" w:cs="Times New Roman"/>
          <w:szCs w:val="24"/>
          <w:lang w:eastAsia="en-US"/>
        </w:rPr>
      </w:pPr>
      <w:proofErr w:type="spellStart"/>
      <w:r w:rsidRPr="0034237D">
        <w:rPr>
          <w:rFonts w:eastAsia="Times New Roman" w:cs="Times New Roman"/>
          <w:szCs w:val="24"/>
          <w:lang w:eastAsia="en-US"/>
        </w:rPr>
        <w:t>Littlecott</w:t>
      </w:r>
      <w:proofErr w:type="spellEnd"/>
      <w:r w:rsidRPr="0034237D">
        <w:rPr>
          <w:rFonts w:eastAsia="Times New Roman" w:cs="Times New Roman"/>
          <w:szCs w:val="24"/>
          <w:lang w:eastAsia="en-US"/>
        </w:rPr>
        <w:t xml:space="preserve">, H.J., Moore, G.F., Moore, </w:t>
      </w:r>
      <w:r w:rsidR="00105DF1">
        <w:rPr>
          <w:rFonts w:eastAsia="Times New Roman" w:cs="Times New Roman"/>
          <w:szCs w:val="24"/>
          <w:lang w:eastAsia="en-US"/>
        </w:rPr>
        <w:t>L., Lyons, R.A. and Murphy, S. (</w:t>
      </w:r>
      <w:r w:rsidRPr="0034237D">
        <w:rPr>
          <w:rFonts w:eastAsia="Times New Roman" w:cs="Times New Roman"/>
          <w:szCs w:val="24"/>
          <w:lang w:eastAsia="en-US"/>
        </w:rPr>
        <w:t>2016</w:t>
      </w:r>
      <w:r w:rsidR="00105DF1">
        <w:rPr>
          <w:rFonts w:eastAsia="Times New Roman" w:cs="Times New Roman"/>
          <w:szCs w:val="24"/>
          <w:lang w:eastAsia="en-US"/>
        </w:rPr>
        <w:t>)</w:t>
      </w:r>
      <w:r w:rsidRPr="0034237D">
        <w:rPr>
          <w:rFonts w:eastAsia="Times New Roman" w:cs="Times New Roman"/>
          <w:szCs w:val="24"/>
          <w:lang w:eastAsia="en-US"/>
        </w:rPr>
        <w:t>. Association between breakfast consumption and educational outcomes in 9–11-year-old children. </w:t>
      </w:r>
      <w:r w:rsidRPr="0034237D">
        <w:rPr>
          <w:rFonts w:eastAsia="Times New Roman" w:cs="Times New Roman"/>
          <w:i/>
          <w:iCs/>
          <w:szCs w:val="24"/>
          <w:lang w:eastAsia="en-US"/>
        </w:rPr>
        <w:t>Public health nutrition</w:t>
      </w:r>
      <w:r w:rsidRPr="0034237D">
        <w:rPr>
          <w:rFonts w:eastAsia="Times New Roman" w:cs="Times New Roman"/>
          <w:szCs w:val="24"/>
          <w:lang w:eastAsia="en-US"/>
        </w:rPr>
        <w:t>, </w:t>
      </w:r>
      <w:r w:rsidRPr="0034237D">
        <w:rPr>
          <w:rFonts w:eastAsia="Times New Roman" w:cs="Times New Roman"/>
          <w:i/>
          <w:iCs/>
          <w:szCs w:val="24"/>
          <w:lang w:eastAsia="en-US"/>
        </w:rPr>
        <w:t>19</w:t>
      </w:r>
      <w:r w:rsidRPr="0034237D">
        <w:rPr>
          <w:rFonts w:eastAsia="Times New Roman" w:cs="Times New Roman"/>
          <w:szCs w:val="24"/>
          <w:lang w:eastAsia="en-US"/>
        </w:rPr>
        <w:t>(9), pp.1575-1582.</w:t>
      </w:r>
    </w:p>
    <w:p w14:paraId="1455D819" w14:textId="0AD392A5"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O'Hara, L., Smith, E.R., Barlow, J., Livingstone, N., Herath, N.I., Wei, Y., Sprec</w:t>
      </w:r>
      <w:r w:rsidR="00105DF1">
        <w:rPr>
          <w:rFonts w:eastAsia="Times New Roman" w:cs="Times New Roman"/>
          <w:szCs w:val="24"/>
          <w:lang w:eastAsia="en-US"/>
        </w:rPr>
        <w:t>kelsen, T.F. and Macdonald, G. (</w:t>
      </w:r>
      <w:r w:rsidRPr="0034237D">
        <w:rPr>
          <w:rFonts w:eastAsia="Times New Roman" w:cs="Times New Roman"/>
          <w:szCs w:val="24"/>
          <w:lang w:eastAsia="en-US"/>
        </w:rPr>
        <w:t>2019</w:t>
      </w:r>
      <w:r w:rsidR="00105DF1">
        <w:rPr>
          <w:rFonts w:eastAsia="Times New Roman" w:cs="Times New Roman"/>
          <w:szCs w:val="24"/>
          <w:lang w:eastAsia="en-US"/>
        </w:rPr>
        <w:t>)</w:t>
      </w:r>
      <w:r w:rsidRPr="0034237D">
        <w:rPr>
          <w:rFonts w:eastAsia="Times New Roman" w:cs="Times New Roman"/>
          <w:szCs w:val="24"/>
          <w:lang w:eastAsia="en-US"/>
        </w:rPr>
        <w:t>. Video feedback for parental sensitivity and attachment security in children under five years. </w:t>
      </w:r>
      <w:r w:rsidRPr="0034237D">
        <w:rPr>
          <w:rFonts w:eastAsia="Times New Roman" w:cs="Times New Roman"/>
          <w:i/>
          <w:iCs/>
          <w:szCs w:val="24"/>
          <w:lang w:eastAsia="en-US"/>
        </w:rPr>
        <w:t>Cochrane Database of Systematic Reviews</w:t>
      </w:r>
      <w:r w:rsidRPr="0034237D">
        <w:rPr>
          <w:rFonts w:eastAsia="Times New Roman" w:cs="Times New Roman"/>
          <w:szCs w:val="24"/>
          <w:lang w:eastAsia="en-US"/>
        </w:rPr>
        <w:t>, (11).</w:t>
      </w:r>
    </w:p>
    <w:p w14:paraId="3C4FF0DA" w14:textId="1CD9EF9C"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Perkins, S.C., </w:t>
      </w:r>
      <w:r w:rsidR="00105DF1">
        <w:rPr>
          <w:rFonts w:eastAsia="Times New Roman" w:cs="Times New Roman"/>
          <w:szCs w:val="24"/>
          <w:lang w:eastAsia="en-US"/>
        </w:rPr>
        <w:t>Finegood, E.D. and Swain, J.E. (</w:t>
      </w:r>
      <w:r w:rsidRPr="0034237D">
        <w:rPr>
          <w:rFonts w:eastAsia="Times New Roman" w:cs="Times New Roman"/>
          <w:szCs w:val="24"/>
          <w:lang w:eastAsia="en-US"/>
        </w:rPr>
        <w:t>2013</w:t>
      </w:r>
      <w:r w:rsidR="00105DF1">
        <w:rPr>
          <w:rFonts w:eastAsia="Times New Roman" w:cs="Times New Roman"/>
          <w:szCs w:val="24"/>
          <w:lang w:eastAsia="en-US"/>
        </w:rPr>
        <w:t>)</w:t>
      </w:r>
      <w:r w:rsidRPr="0034237D">
        <w:rPr>
          <w:rFonts w:eastAsia="Times New Roman" w:cs="Times New Roman"/>
          <w:szCs w:val="24"/>
          <w:lang w:eastAsia="en-US"/>
        </w:rPr>
        <w:t>. Poverty and language development: Roles of parenting and stress. Innovations in clinical neuroscience, 10(4), p.10.</w:t>
      </w:r>
    </w:p>
    <w:p w14:paraId="61D7B6C2" w14:textId="38A4FF98"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Rakesh, D., Lee, P.A., Ga</w:t>
      </w:r>
      <w:r w:rsidR="00105DF1">
        <w:rPr>
          <w:rFonts w:eastAsia="Times New Roman" w:cs="Times New Roman"/>
          <w:szCs w:val="24"/>
          <w:lang w:eastAsia="en-US"/>
        </w:rPr>
        <w:t>ikwad, A. and McLaughlin, K.A. (</w:t>
      </w:r>
      <w:r w:rsidRPr="0034237D">
        <w:rPr>
          <w:rFonts w:eastAsia="Times New Roman" w:cs="Times New Roman"/>
          <w:szCs w:val="24"/>
          <w:lang w:eastAsia="en-US"/>
        </w:rPr>
        <w:t>2025</w:t>
      </w:r>
      <w:r w:rsidR="00105DF1">
        <w:rPr>
          <w:rFonts w:eastAsia="Times New Roman" w:cs="Times New Roman"/>
          <w:szCs w:val="24"/>
          <w:lang w:eastAsia="en-US"/>
        </w:rPr>
        <w:t>)</w:t>
      </w:r>
      <w:r w:rsidRPr="0034237D">
        <w:rPr>
          <w:rFonts w:eastAsia="Times New Roman" w:cs="Times New Roman"/>
          <w:szCs w:val="24"/>
          <w:lang w:eastAsia="en-US"/>
        </w:rPr>
        <w:t>. Annual Research Review: Associations of socioeconomic status with cognitive function, language ability, and academic achievement in youth: a systematic review of mechanisms and protective factors. </w:t>
      </w:r>
      <w:r w:rsidRPr="0034237D">
        <w:rPr>
          <w:rFonts w:eastAsia="Times New Roman" w:cs="Times New Roman"/>
          <w:i/>
          <w:iCs/>
          <w:szCs w:val="24"/>
          <w:lang w:eastAsia="en-US"/>
        </w:rPr>
        <w:t>Journal of Child Psychology and Psychiatry</w:t>
      </w:r>
      <w:r w:rsidRPr="0034237D">
        <w:rPr>
          <w:rFonts w:eastAsia="Times New Roman" w:cs="Times New Roman"/>
          <w:szCs w:val="24"/>
          <w:lang w:eastAsia="en-US"/>
        </w:rPr>
        <w:t>, </w:t>
      </w:r>
      <w:r w:rsidRPr="0034237D">
        <w:rPr>
          <w:rFonts w:eastAsia="Times New Roman" w:cs="Times New Roman"/>
          <w:i/>
          <w:iCs/>
          <w:szCs w:val="24"/>
          <w:lang w:eastAsia="en-US"/>
        </w:rPr>
        <w:t>66</w:t>
      </w:r>
      <w:r w:rsidRPr="0034237D">
        <w:rPr>
          <w:rFonts w:eastAsia="Times New Roman" w:cs="Times New Roman"/>
          <w:szCs w:val="24"/>
          <w:lang w:eastAsia="en-US"/>
        </w:rPr>
        <w:t>(4), pp.417-439.</w:t>
      </w:r>
    </w:p>
    <w:p w14:paraId="2B8B08F8" w14:textId="490D7F0C" w:rsidR="0034237D" w:rsidRPr="0034237D" w:rsidRDefault="0034237D" w:rsidP="0034237D">
      <w:pPr>
        <w:spacing w:before="100" w:beforeAutospacing="1" w:after="100" w:afterAutospacing="1"/>
        <w:rPr>
          <w:rFonts w:eastAsia="Times New Roman" w:cs="Times New Roman"/>
          <w:szCs w:val="24"/>
          <w:lang w:eastAsia="en-US"/>
        </w:rPr>
      </w:pPr>
      <w:proofErr w:type="spellStart"/>
      <w:r w:rsidRPr="0034237D">
        <w:rPr>
          <w:rFonts w:eastAsia="Times New Roman" w:cs="Times New Roman"/>
          <w:szCs w:val="24"/>
          <w:lang w:eastAsia="en-US"/>
        </w:rPr>
        <w:lastRenderedPageBreak/>
        <w:t>Shahaeian</w:t>
      </w:r>
      <w:proofErr w:type="spellEnd"/>
      <w:r w:rsidRPr="0034237D">
        <w:rPr>
          <w:rFonts w:eastAsia="Times New Roman" w:cs="Times New Roman"/>
          <w:szCs w:val="24"/>
          <w:lang w:eastAsia="en-US"/>
        </w:rPr>
        <w:t>, A., Wang, C., Tucker-Drob, E., Geiger, V.</w:t>
      </w:r>
      <w:r w:rsidR="00105DF1">
        <w:rPr>
          <w:rFonts w:eastAsia="Times New Roman" w:cs="Times New Roman"/>
          <w:szCs w:val="24"/>
          <w:lang w:eastAsia="en-US"/>
        </w:rPr>
        <w:t>, Bus, A.G. and Harrison, L.J. (</w:t>
      </w:r>
      <w:r w:rsidRPr="0034237D">
        <w:rPr>
          <w:rFonts w:eastAsia="Times New Roman" w:cs="Times New Roman"/>
          <w:szCs w:val="24"/>
          <w:lang w:eastAsia="en-US"/>
        </w:rPr>
        <w:t>2018</w:t>
      </w:r>
      <w:r w:rsidR="00105DF1">
        <w:rPr>
          <w:rFonts w:eastAsia="Times New Roman" w:cs="Times New Roman"/>
          <w:szCs w:val="24"/>
          <w:lang w:eastAsia="en-US"/>
        </w:rPr>
        <w:t>)</w:t>
      </w:r>
      <w:r w:rsidRPr="0034237D">
        <w:rPr>
          <w:rFonts w:eastAsia="Times New Roman" w:cs="Times New Roman"/>
          <w:szCs w:val="24"/>
          <w:lang w:eastAsia="en-US"/>
        </w:rPr>
        <w:t>. Early shared reading, socioeconomic status, and children’s cognitive and school competencies: Six years of longitudinal evidence. </w:t>
      </w:r>
      <w:r w:rsidRPr="0034237D">
        <w:rPr>
          <w:rFonts w:eastAsia="Times New Roman" w:cs="Times New Roman"/>
          <w:i/>
          <w:iCs/>
          <w:szCs w:val="24"/>
          <w:lang w:eastAsia="en-US"/>
        </w:rPr>
        <w:t>Scientific Studies of Reading</w:t>
      </w:r>
      <w:r w:rsidRPr="0034237D">
        <w:rPr>
          <w:rFonts w:eastAsia="Times New Roman" w:cs="Times New Roman"/>
          <w:szCs w:val="24"/>
          <w:lang w:eastAsia="en-US"/>
        </w:rPr>
        <w:t>, </w:t>
      </w:r>
      <w:r w:rsidRPr="0034237D">
        <w:rPr>
          <w:rFonts w:eastAsia="Times New Roman" w:cs="Times New Roman"/>
          <w:i/>
          <w:iCs/>
          <w:szCs w:val="24"/>
          <w:lang w:eastAsia="en-US"/>
        </w:rPr>
        <w:t>22</w:t>
      </w:r>
      <w:r w:rsidRPr="0034237D">
        <w:rPr>
          <w:rFonts w:eastAsia="Times New Roman" w:cs="Times New Roman"/>
          <w:szCs w:val="24"/>
          <w:lang w:eastAsia="en-US"/>
        </w:rPr>
        <w:t>(6), pp.485-502.</w:t>
      </w:r>
    </w:p>
    <w:p w14:paraId="0FE3D96E" w14:textId="1CE47C59"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Shankar,</w:t>
      </w:r>
      <w:r w:rsidR="00105DF1">
        <w:rPr>
          <w:rFonts w:eastAsia="Times New Roman" w:cs="Times New Roman"/>
          <w:szCs w:val="24"/>
          <w:lang w:eastAsia="en-US"/>
        </w:rPr>
        <w:t xml:space="preserve"> P., Chung, R. and Frank, D.A. (</w:t>
      </w:r>
      <w:r w:rsidRPr="0034237D">
        <w:rPr>
          <w:rFonts w:eastAsia="Times New Roman" w:cs="Times New Roman"/>
          <w:szCs w:val="24"/>
          <w:lang w:eastAsia="en-US"/>
        </w:rPr>
        <w:t>2017</w:t>
      </w:r>
      <w:r w:rsidR="00105DF1">
        <w:rPr>
          <w:rFonts w:eastAsia="Times New Roman" w:cs="Times New Roman"/>
          <w:szCs w:val="24"/>
          <w:lang w:eastAsia="en-US"/>
        </w:rPr>
        <w:t>)</w:t>
      </w:r>
      <w:r w:rsidRPr="0034237D">
        <w:rPr>
          <w:rFonts w:eastAsia="Times New Roman" w:cs="Times New Roman"/>
          <w:szCs w:val="24"/>
          <w:lang w:eastAsia="en-US"/>
        </w:rPr>
        <w:t xml:space="preserve">. Association of food insecurity with children's </w:t>
      </w:r>
      <w:proofErr w:type="spellStart"/>
      <w:r w:rsidRPr="0034237D">
        <w:rPr>
          <w:rFonts w:eastAsia="Times New Roman" w:cs="Times New Roman"/>
          <w:szCs w:val="24"/>
          <w:lang w:eastAsia="en-US"/>
        </w:rPr>
        <w:t>behavioral</w:t>
      </w:r>
      <w:proofErr w:type="spellEnd"/>
      <w:r w:rsidRPr="0034237D">
        <w:rPr>
          <w:rFonts w:eastAsia="Times New Roman" w:cs="Times New Roman"/>
          <w:szCs w:val="24"/>
          <w:lang w:eastAsia="en-US"/>
        </w:rPr>
        <w:t>, emotional, and academic outcomes: a systematic review. </w:t>
      </w:r>
      <w:r w:rsidRPr="0034237D">
        <w:rPr>
          <w:rFonts w:eastAsia="Times New Roman" w:cs="Times New Roman"/>
          <w:i/>
          <w:iCs/>
          <w:szCs w:val="24"/>
          <w:lang w:eastAsia="en-US"/>
        </w:rPr>
        <w:t xml:space="preserve">Journal of Developmental &amp; </w:t>
      </w:r>
      <w:proofErr w:type="spellStart"/>
      <w:r w:rsidRPr="0034237D">
        <w:rPr>
          <w:rFonts w:eastAsia="Times New Roman" w:cs="Times New Roman"/>
          <w:i/>
          <w:iCs/>
          <w:szCs w:val="24"/>
          <w:lang w:eastAsia="en-US"/>
        </w:rPr>
        <w:t>Behavioral</w:t>
      </w:r>
      <w:proofErr w:type="spellEnd"/>
      <w:r w:rsidRPr="0034237D">
        <w:rPr>
          <w:rFonts w:eastAsia="Times New Roman" w:cs="Times New Roman"/>
          <w:i/>
          <w:iCs/>
          <w:szCs w:val="24"/>
          <w:lang w:eastAsia="en-US"/>
        </w:rPr>
        <w:t xml:space="preserve"> </w:t>
      </w:r>
      <w:proofErr w:type="spellStart"/>
      <w:r w:rsidRPr="0034237D">
        <w:rPr>
          <w:rFonts w:eastAsia="Times New Roman" w:cs="Times New Roman"/>
          <w:i/>
          <w:iCs/>
          <w:szCs w:val="24"/>
          <w:lang w:eastAsia="en-US"/>
        </w:rPr>
        <w:t>Pediatrics</w:t>
      </w:r>
      <w:proofErr w:type="spellEnd"/>
      <w:r w:rsidRPr="0034237D">
        <w:rPr>
          <w:rFonts w:eastAsia="Times New Roman" w:cs="Times New Roman"/>
          <w:szCs w:val="24"/>
          <w:lang w:eastAsia="en-US"/>
        </w:rPr>
        <w:t>, </w:t>
      </w:r>
      <w:r w:rsidRPr="0034237D">
        <w:rPr>
          <w:rFonts w:eastAsia="Times New Roman" w:cs="Times New Roman"/>
          <w:i/>
          <w:iCs/>
          <w:szCs w:val="24"/>
          <w:lang w:eastAsia="en-US"/>
        </w:rPr>
        <w:t>38</w:t>
      </w:r>
      <w:r w:rsidRPr="0034237D">
        <w:rPr>
          <w:rFonts w:eastAsia="Times New Roman" w:cs="Times New Roman"/>
          <w:szCs w:val="24"/>
          <w:lang w:eastAsia="en-US"/>
        </w:rPr>
        <w:t>(2), pp.135-150.</w:t>
      </w:r>
    </w:p>
    <w:p w14:paraId="33190171" w14:textId="5DCD75E1" w:rsidR="0034237D" w:rsidRPr="0034237D" w:rsidRDefault="0034237D" w:rsidP="0034237D">
      <w:pPr>
        <w:spacing w:before="100" w:beforeAutospacing="1" w:after="100" w:afterAutospacing="1"/>
        <w:rPr>
          <w:rFonts w:eastAsia="Times New Roman" w:cs="Times New Roman"/>
          <w:szCs w:val="24"/>
          <w:lang w:eastAsia="en-US"/>
        </w:rPr>
      </w:pPr>
      <w:proofErr w:type="spellStart"/>
      <w:r w:rsidRPr="0034237D">
        <w:rPr>
          <w:rFonts w:eastAsia="Times New Roman" w:cs="Times New Roman"/>
          <w:szCs w:val="24"/>
          <w:lang w:eastAsia="en-US"/>
        </w:rPr>
        <w:t>Sincovich</w:t>
      </w:r>
      <w:proofErr w:type="spellEnd"/>
      <w:r w:rsidRPr="0034237D">
        <w:rPr>
          <w:rFonts w:eastAsia="Times New Roman" w:cs="Times New Roman"/>
          <w:szCs w:val="24"/>
          <w:lang w:eastAsia="en-US"/>
        </w:rPr>
        <w:t xml:space="preserve">, A., Monroy, N.S., Smithers, L.G., </w:t>
      </w:r>
      <w:proofErr w:type="spellStart"/>
      <w:r w:rsidRPr="0034237D">
        <w:rPr>
          <w:rFonts w:eastAsia="Times New Roman" w:cs="Times New Roman"/>
          <w:szCs w:val="24"/>
          <w:lang w:eastAsia="en-US"/>
        </w:rPr>
        <w:t>Brushe</w:t>
      </w:r>
      <w:proofErr w:type="spellEnd"/>
      <w:r w:rsidRPr="0034237D">
        <w:rPr>
          <w:rFonts w:eastAsia="Times New Roman" w:cs="Times New Roman"/>
          <w:szCs w:val="24"/>
          <w:lang w:eastAsia="en-US"/>
        </w:rPr>
        <w:t>, M., Boulton, Z</w:t>
      </w:r>
      <w:r w:rsidR="00105DF1">
        <w:rPr>
          <w:rFonts w:eastAsia="Times New Roman" w:cs="Times New Roman"/>
          <w:szCs w:val="24"/>
          <w:lang w:eastAsia="en-US"/>
        </w:rPr>
        <w:t>., Rozario, T. and Gregory, T. (</w:t>
      </w:r>
      <w:r w:rsidRPr="0034237D">
        <w:rPr>
          <w:rFonts w:eastAsia="Times New Roman" w:cs="Times New Roman"/>
          <w:szCs w:val="24"/>
          <w:lang w:eastAsia="en-US"/>
        </w:rPr>
        <w:t>2025</w:t>
      </w:r>
      <w:r w:rsidR="00105DF1">
        <w:rPr>
          <w:rFonts w:eastAsia="Times New Roman" w:cs="Times New Roman"/>
          <w:szCs w:val="24"/>
          <w:lang w:eastAsia="en-US"/>
        </w:rPr>
        <w:t>)</w:t>
      </w:r>
      <w:r w:rsidRPr="0034237D">
        <w:rPr>
          <w:rFonts w:eastAsia="Times New Roman" w:cs="Times New Roman"/>
          <w:szCs w:val="24"/>
          <w:lang w:eastAsia="en-US"/>
        </w:rPr>
        <w:t>. Breakfast skipping and academic achievement at 8–16 years: a population study in South Australia. </w:t>
      </w:r>
      <w:r w:rsidRPr="0034237D">
        <w:rPr>
          <w:rFonts w:eastAsia="Times New Roman" w:cs="Times New Roman"/>
          <w:i/>
          <w:iCs/>
          <w:szCs w:val="24"/>
          <w:lang w:eastAsia="en-US"/>
        </w:rPr>
        <w:t>Public Health Nutrition</w:t>
      </w:r>
      <w:r w:rsidRPr="0034237D">
        <w:rPr>
          <w:rFonts w:eastAsia="Times New Roman" w:cs="Times New Roman"/>
          <w:szCs w:val="24"/>
          <w:lang w:eastAsia="en-US"/>
        </w:rPr>
        <w:t>, </w:t>
      </w:r>
      <w:r w:rsidRPr="0034237D">
        <w:rPr>
          <w:rFonts w:eastAsia="Times New Roman" w:cs="Times New Roman"/>
          <w:i/>
          <w:iCs/>
          <w:szCs w:val="24"/>
          <w:lang w:eastAsia="en-US"/>
        </w:rPr>
        <w:t>28</w:t>
      </w:r>
      <w:r w:rsidRPr="0034237D">
        <w:rPr>
          <w:rFonts w:eastAsia="Times New Roman" w:cs="Times New Roman"/>
          <w:szCs w:val="24"/>
          <w:lang w:eastAsia="en-US"/>
        </w:rPr>
        <w:t>(1), p.e28.</w:t>
      </w:r>
    </w:p>
    <w:p w14:paraId="61591388" w14:textId="5071F8FB"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Turner, A., Porter, A., Murphy, M., Parsonage, J</w:t>
      </w:r>
      <w:r w:rsidR="00105DF1">
        <w:rPr>
          <w:rFonts w:eastAsia="Times New Roman" w:cs="Times New Roman"/>
          <w:szCs w:val="24"/>
          <w:lang w:eastAsia="en-US"/>
        </w:rPr>
        <w:t>., Coombes, J. and Kipping, R. (</w:t>
      </w:r>
      <w:r w:rsidRPr="0034237D">
        <w:rPr>
          <w:rFonts w:eastAsia="Times New Roman" w:cs="Times New Roman"/>
          <w:szCs w:val="24"/>
          <w:lang w:eastAsia="en-US"/>
        </w:rPr>
        <w:t>2025</w:t>
      </w:r>
      <w:r w:rsidR="00105DF1">
        <w:rPr>
          <w:rFonts w:eastAsia="Times New Roman" w:cs="Times New Roman"/>
          <w:szCs w:val="24"/>
          <w:lang w:eastAsia="en-US"/>
        </w:rPr>
        <w:t>)</w:t>
      </w:r>
      <w:r w:rsidRPr="0034237D">
        <w:rPr>
          <w:rFonts w:eastAsia="Times New Roman" w:cs="Times New Roman"/>
          <w:szCs w:val="24"/>
          <w:lang w:eastAsia="en-US"/>
        </w:rPr>
        <w:t>. Food Policy, Practice, and Provision in UK Early Childhood Education and Care: A Scoping Review. </w:t>
      </w:r>
      <w:r w:rsidRPr="0034237D">
        <w:rPr>
          <w:rFonts w:eastAsia="Times New Roman" w:cs="Times New Roman"/>
          <w:i/>
          <w:iCs/>
          <w:szCs w:val="24"/>
          <w:lang w:eastAsia="en-US"/>
        </w:rPr>
        <w:t>Public Health Nutrition</w:t>
      </w:r>
      <w:r w:rsidRPr="0034237D">
        <w:rPr>
          <w:rFonts w:eastAsia="Times New Roman" w:cs="Times New Roman"/>
          <w:szCs w:val="24"/>
          <w:lang w:eastAsia="en-US"/>
        </w:rPr>
        <w:t>, pp.1-35.</w:t>
      </w:r>
    </w:p>
    <w:p w14:paraId="314F2D30" w14:textId="5EB35A94"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Van Ijzendoorn, M.H., Schuengel, C., Wang, Q. </w:t>
      </w:r>
      <w:r w:rsidR="00105DF1">
        <w:rPr>
          <w:rFonts w:eastAsia="Times New Roman" w:cs="Times New Roman"/>
          <w:szCs w:val="24"/>
          <w:lang w:eastAsia="en-US"/>
        </w:rPr>
        <w:t xml:space="preserve">and </w:t>
      </w:r>
      <w:proofErr w:type="spellStart"/>
      <w:r w:rsidR="00105DF1">
        <w:rPr>
          <w:rFonts w:eastAsia="Times New Roman" w:cs="Times New Roman"/>
          <w:szCs w:val="24"/>
          <w:lang w:eastAsia="en-US"/>
        </w:rPr>
        <w:t>Bakermans</w:t>
      </w:r>
      <w:proofErr w:type="spellEnd"/>
      <w:r w:rsidR="00105DF1">
        <w:rPr>
          <w:rFonts w:eastAsia="Times New Roman" w:cs="Times New Roman"/>
          <w:szCs w:val="24"/>
          <w:lang w:eastAsia="en-US"/>
        </w:rPr>
        <w:t>-Kranenburg, M.J. (</w:t>
      </w:r>
      <w:r w:rsidRPr="0034237D">
        <w:rPr>
          <w:rFonts w:eastAsia="Times New Roman" w:cs="Times New Roman"/>
          <w:szCs w:val="24"/>
          <w:lang w:eastAsia="en-US"/>
        </w:rPr>
        <w:t>2023</w:t>
      </w:r>
      <w:r w:rsidR="00105DF1">
        <w:rPr>
          <w:rFonts w:eastAsia="Times New Roman" w:cs="Times New Roman"/>
          <w:szCs w:val="24"/>
          <w:lang w:eastAsia="en-US"/>
        </w:rPr>
        <w:t>)</w:t>
      </w:r>
      <w:r w:rsidRPr="0034237D">
        <w:rPr>
          <w:rFonts w:eastAsia="Times New Roman" w:cs="Times New Roman"/>
          <w:szCs w:val="24"/>
          <w:lang w:eastAsia="en-US"/>
        </w:rPr>
        <w:t xml:space="preserve">. Improving parenting, child attachment, and externalizing </w:t>
      </w:r>
      <w:proofErr w:type="spellStart"/>
      <w:r w:rsidRPr="0034237D">
        <w:rPr>
          <w:rFonts w:eastAsia="Times New Roman" w:cs="Times New Roman"/>
          <w:szCs w:val="24"/>
          <w:lang w:eastAsia="en-US"/>
        </w:rPr>
        <w:t>behaviors</w:t>
      </w:r>
      <w:proofErr w:type="spellEnd"/>
      <w:r w:rsidRPr="0034237D">
        <w:rPr>
          <w:rFonts w:eastAsia="Times New Roman" w:cs="Times New Roman"/>
          <w:szCs w:val="24"/>
          <w:lang w:eastAsia="en-US"/>
        </w:rPr>
        <w:t>: Meta-analysis of the first 25 randomized controlled trials on the effects of video-feedback intervention to promote positive parenting and sensitive discipline. </w:t>
      </w:r>
      <w:r w:rsidRPr="0034237D">
        <w:rPr>
          <w:rFonts w:eastAsia="Times New Roman" w:cs="Times New Roman"/>
          <w:i/>
          <w:iCs/>
          <w:szCs w:val="24"/>
          <w:lang w:eastAsia="en-US"/>
        </w:rPr>
        <w:t>Development and psychopathology</w:t>
      </w:r>
      <w:r w:rsidRPr="0034237D">
        <w:rPr>
          <w:rFonts w:eastAsia="Times New Roman" w:cs="Times New Roman"/>
          <w:szCs w:val="24"/>
          <w:lang w:eastAsia="en-US"/>
        </w:rPr>
        <w:t>, </w:t>
      </w:r>
      <w:r w:rsidRPr="0034237D">
        <w:rPr>
          <w:rFonts w:eastAsia="Times New Roman" w:cs="Times New Roman"/>
          <w:i/>
          <w:iCs/>
          <w:szCs w:val="24"/>
          <w:lang w:eastAsia="en-US"/>
        </w:rPr>
        <w:t>35</w:t>
      </w:r>
      <w:r w:rsidRPr="0034237D">
        <w:rPr>
          <w:rFonts w:eastAsia="Times New Roman" w:cs="Times New Roman"/>
          <w:szCs w:val="24"/>
          <w:lang w:eastAsia="en-US"/>
        </w:rPr>
        <w:t>(1), pp.241-256.</w:t>
      </w:r>
    </w:p>
    <w:p w14:paraId="458549AD" w14:textId="45CF7D4C"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West, G., </w:t>
      </w:r>
      <w:proofErr w:type="spellStart"/>
      <w:r w:rsidRPr="0034237D">
        <w:rPr>
          <w:rFonts w:eastAsia="Times New Roman" w:cs="Times New Roman"/>
          <w:szCs w:val="24"/>
          <w:lang w:eastAsia="en-US"/>
        </w:rPr>
        <w:t>Snowling</w:t>
      </w:r>
      <w:proofErr w:type="spellEnd"/>
      <w:r w:rsidRPr="0034237D">
        <w:rPr>
          <w:rFonts w:eastAsia="Times New Roman" w:cs="Times New Roman"/>
          <w:szCs w:val="24"/>
          <w:lang w:eastAsia="en-US"/>
        </w:rPr>
        <w:t>, M.J., Lervåg, A., Buchanan‐Worster, E., Duta, M., Hall, A</w:t>
      </w:r>
      <w:r w:rsidR="00105DF1">
        <w:rPr>
          <w:rFonts w:eastAsia="Times New Roman" w:cs="Times New Roman"/>
          <w:szCs w:val="24"/>
          <w:lang w:eastAsia="en-US"/>
        </w:rPr>
        <w:t>., McLachlan, H. and Hulme, C. (</w:t>
      </w:r>
      <w:r w:rsidRPr="0034237D">
        <w:rPr>
          <w:rFonts w:eastAsia="Times New Roman" w:cs="Times New Roman"/>
          <w:szCs w:val="24"/>
          <w:lang w:eastAsia="en-US"/>
        </w:rPr>
        <w:t>2021</w:t>
      </w:r>
      <w:r w:rsidR="00105DF1">
        <w:rPr>
          <w:rFonts w:eastAsia="Times New Roman" w:cs="Times New Roman"/>
          <w:szCs w:val="24"/>
          <w:lang w:eastAsia="en-US"/>
        </w:rPr>
        <w:t>)</w:t>
      </w:r>
      <w:r w:rsidRPr="0034237D">
        <w:rPr>
          <w:rFonts w:eastAsia="Times New Roman" w:cs="Times New Roman"/>
          <w:szCs w:val="24"/>
          <w:lang w:eastAsia="en-US"/>
        </w:rPr>
        <w:t>. Early language screening and intervention can be delivered successfully at scale: Evidence from a cluster randomized controlled trial. </w:t>
      </w:r>
      <w:r w:rsidRPr="0034237D">
        <w:rPr>
          <w:rFonts w:eastAsia="Times New Roman" w:cs="Times New Roman"/>
          <w:i/>
          <w:iCs/>
          <w:szCs w:val="24"/>
          <w:lang w:eastAsia="en-US"/>
        </w:rPr>
        <w:t>Journal of Child Psychology and Psychiatry</w:t>
      </w:r>
      <w:r w:rsidRPr="0034237D">
        <w:rPr>
          <w:rFonts w:eastAsia="Times New Roman" w:cs="Times New Roman"/>
          <w:szCs w:val="24"/>
          <w:lang w:eastAsia="en-US"/>
        </w:rPr>
        <w:t>, </w:t>
      </w:r>
      <w:r w:rsidRPr="0034237D">
        <w:rPr>
          <w:rFonts w:eastAsia="Times New Roman" w:cs="Times New Roman"/>
          <w:i/>
          <w:iCs/>
          <w:szCs w:val="24"/>
          <w:lang w:eastAsia="en-US"/>
        </w:rPr>
        <w:t>62</w:t>
      </w:r>
      <w:r w:rsidRPr="0034237D">
        <w:rPr>
          <w:rFonts w:eastAsia="Times New Roman" w:cs="Times New Roman"/>
          <w:szCs w:val="24"/>
          <w:lang w:eastAsia="en-US"/>
        </w:rPr>
        <w:t>(12), pp.1425-1434.</w:t>
      </w:r>
    </w:p>
    <w:p w14:paraId="25685761" w14:textId="3844C674"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West, G., Lervåg, A., </w:t>
      </w:r>
      <w:proofErr w:type="spellStart"/>
      <w:r w:rsidRPr="0034237D">
        <w:rPr>
          <w:rFonts w:eastAsia="Times New Roman" w:cs="Times New Roman"/>
          <w:szCs w:val="24"/>
          <w:lang w:eastAsia="en-US"/>
        </w:rPr>
        <w:t>Snowling</w:t>
      </w:r>
      <w:proofErr w:type="spellEnd"/>
      <w:r w:rsidRPr="0034237D">
        <w:rPr>
          <w:rFonts w:eastAsia="Times New Roman" w:cs="Times New Roman"/>
          <w:szCs w:val="24"/>
          <w:lang w:eastAsia="en-US"/>
        </w:rPr>
        <w:t>, M.J., Buchanan-Worster, E., Duta, M. and Hu</w:t>
      </w:r>
      <w:r w:rsidR="00105DF1">
        <w:rPr>
          <w:rFonts w:eastAsia="Times New Roman" w:cs="Times New Roman"/>
          <w:szCs w:val="24"/>
          <w:lang w:eastAsia="en-US"/>
        </w:rPr>
        <w:t>lme, C. (</w:t>
      </w:r>
      <w:r w:rsidRPr="0034237D">
        <w:rPr>
          <w:rFonts w:eastAsia="Times New Roman" w:cs="Times New Roman"/>
          <w:szCs w:val="24"/>
          <w:lang w:eastAsia="en-US"/>
        </w:rPr>
        <w:t>2022</w:t>
      </w:r>
      <w:r w:rsidR="00105DF1">
        <w:rPr>
          <w:rFonts w:eastAsia="Times New Roman" w:cs="Times New Roman"/>
          <w:szCs w:val="24"/>
          <w:lang w:eastAsia="en-US"/>
        </w:rPr>
        <w:t>)</w:t>
      </w:r>
      <w:r w:rsidRPr="0034237D">
        <w:rPr>
          <w:rFonts w:eastAsia="Times New Roman" w:cs="Times New Roman"/>
          <w:szCs w:val="24"/>
          <w:lang w:eastAsia="en-US"/>
        </w:rPr>
        <w:t xml:space="preserve">. Early language intervention improves </w:t>
      </w:r>
      <w:proofErr w:type="spellStart"/>
      <w:r w:rsidRPr="0034237D">
        <w:rPr>
          <w:rFonts w:eastAsia="Times New Roman" w:cs="Times New Roman"/>
          <w:szCs w:val="24"/>
          <w:lang w:eastAsia="en-US"/>
        </w:rPr>
        <w:t>behavioral</w:t>
      </w:r>
      <w:proofErr w:type="spellEnd"/>
      <w:r w:rsidRPr="0034237D">
        <w:rPr>
          <w:rFonts w:eastAsia="Times New Roman" w:cs="Times New Roman"/>
          <w:szCs w:val="24"/>
          <w:lang w:eastAsia="en-US"/>
        </w:rPr>
        <w:t xml:space="preserve"> adjustment in school: Evidence from a cluster randomized trial. </w:t>
      </w:r>
      <w:r w:rsidRPr="0034237D">
        <w:rPr>
          <w:rFonts w:eastAsia="Times New Roman" w:cs="Times New Roman"/>
          <w:i/>
          <w:iCs/>
          <w:szCs w:val="24"/>
          <w:lang w:eastAsia="en-US"/>
        </w:rPr>
        <w:t>Journal of School Psychology</w:t>
      </w:r>
      <w:r w:rsidRPr="0034237D">
        <w:rPr>
          <w:rFonts w:eastAsia="Times New Roman" w:cs="Times New Roman"/>
          <w:szCs w:val="24"/>
          <w:lang w:eastAsia="en-US"/>
        </w:rPr>
        <w:t>, </w:t>
      </w:r>
      <w:r w:rsidRPr="0034237D">
        <w:rPr>
          <w:rFonts w:eastAsia="Times New Roman" w:cs="Times New Roman"/>
          <w:i/>
          <w:iCs/>
          <w:szCs w:val="24"/>
          <w:lang w:eastAsia="en-US"/>
        </w:rPr>
        <w:t>92</w:t>
      </w:r>
      <w:r w:rsidRPr="0034237D">
        <w:rPr>
          <w:rFonts w:eastAsia="Times New Roman" w:cs="Times New Roman"/>
          <w:szCs w:val="24"/>
          <w:lang w:eastAsia="en-US"/>
        </w:rPr>
        <w:t>, pp.334-345.</w:t>
      </w:r>
    </w:p>
    <w:p w14:paraId="2EECDC70" w14:textId="38E19B00"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West, G., Lervåg, A., Birchenough, J.M., Korell, C., Rios Diaz, M., Duta, M., Cripps, D., Gardner, R</w:t>
      </w:r>
      <w:r w:rsidR="00105DF1">
        <w:rPr>
          <w:rFonts w:eastAsia="Times New Roman" w:cs="Times New Roman"/>
          <w:szCs w:val="24"/>
          <w:lang w:eastAsia="en-US"/>
        </w:rPr>
        <w:t>., Fairhurst, C. and Hulme, C. (</w:t>
      </w:r>
      <w:r w:rsidRPr="0034237D">
        <w:rPr>
          <w:rFonts w:eastAsia="Times New Roman" w:cs="Times New Roman"/>
          <w:szCs w:val="24"/>
          <w:lang w:eastAsia="en-US"/>
        </w:rPr>
        <w:t>2024</w:t>
      </w:r>
      <w:r w:rsidR="00105DF1">
        <w:rPr>
          <w:rFonts w:eastAsia="Times New Roman" w:cs="Times New Roman"/>
          <w:szCs w:val="24"/>
          <w:lang w:eastAsia="en-US"/>
        </w:rPr>
        <w:t>)</w:t>
      </w:r>
      <w:r w:rsidRPr="0034237D">
        <w:rPr>
          <w:rFonts w:eastAsia="Times New Roman" w:cs="Times New Roman"/>
          <w:szCs w:val="24"/>
          <w:lang w:eastAsia="en-US"/>
        </w:rPr>
        <w:t xml:space="preserve">. Oral language enrichment in </w:t>
      </w:r>
      <w:r w:rsidRPr="0034237D">
        <w:rPr>
          <w:rFonts w:eastAsia="Times New Roman" w:cs="Times New Roman"/>
          <w:szCs w:val="24"/>
          <w:lang w:eastAsia="en-US"/>
        </w:rPr>
        <w:lastRenderedPageBreak/>
        <w:t>preschool improves children's language skills: A cluster randomised controlled trial. </w:t>
      </w:r>
      <w:r w:rsidRPr="0034237D">
        <w:rPr>
          <w:rFonts w:eastAsia="Times New Roman" w:cs="Times New Roman"/>
          <w:i/>
          <w:iCs/>
          <w:szCs w:val="24"/>
          <w:lang w:eastAsia="en-US"/>
        </w:rPr>
        <w:t>Journal of Child Psychology and Psychiatry</w:t>
      </w:r>
      <w:r w:rsidRPr="0034237D">
        <w:rPr>
          <w:rFonts w:eastAsia="Times New Roman" w:cs="Times New Roman"/>
          <w:szCs w:val="24"/>
          <w:lang w:eastAsia="en-US"/>
        </w:rPr>
        <w:t>, </w:t>
      </w:r>
      <w:r w:rsidRPr="0034237D">
        <w:rPr>
          <w:rFonts w:eastAsia="Times New Roman" w:cs="Times New Roman"/>
          <w:i/>
          <w:iCs/>
          <w:szCs w:val="24"/>
          <w:lang w:eastAsia="en-US"/>
        </w:rPr>
        <w:t>65</w:t>
      </w:r>
      <w:r w:rsidRPr="0034237D">
        <w:rPr>
          <w:rFonts w:eastAsia="Times New Roman" w:cs="Times New Roman"/>
          <w:szCs w:val="24"/>
          <w:lang w:eastAsia="en-US"/>
        </w:rPr>
        <w:t>(8), pp.1087-1097.</w:t>
      </w:r>
    </w:p>
    <w:p w14:paraId="4FD17101" w14:textId="3767B398"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West, G., </w:t>
      </w:r>
      <w:proofErr w:type="spellStart"/>
      <w:r w:rsidRPr="0034237D">
        <w:rPr>
          <w:rFonts w:eastAsia="Times New Roman" w:cs="Times New Roman"/>
          <w:szCs w:val="24"/>
          <w:lang w:eastAsia="en-US"/>
        </w:rPr>
        <w:t>Titiunik</w:t>
      </w:r>
      <w:proofErr w:type="spellEnd"/>
      <w:r w:rsidRPr="0034237D">
        <w:rPr>
          <w:rFonts w:eastAsia="Times New Roman" w:cs="Times New Roman"/>
          <w:szCs w:val="24"/>
          <w:lang w:eastAsia="en-US"/>
        </w:rPr>
        <w:t>, R., Hearne, S., Kore</w:t>
      </w:r>
      <w:r w:rsidR="00105DF1">
        <w:rPr>
          <w:rFonts w:eastAsia="Times New Roman" w:cs="Times New Roman"/>
          <w:szCs w:val="24"/>
          <w:lang w:eastAsia="en-US"/>
        </w:rPr>
        <w:t>ll, C., Duta, M. and Hulme, C. (</w:t>
      </w:r>
      <w:r w:rsidRPr="0034237D">
        <w:rPr>
          <w:rFonts w:eastAsia="Times New Roman" w:cs="Times New Roman"/>
          <w:szCs w:val="24"/>
          <w:lang w:eastAsia="en-US"/>
        </w:rPr>
        <w:t>2026</w:t>
      </w:r>
      <w:r w:rsidR="00105DF1">
        <w:rPr>
          <w:rFonts w:eastAsia="Times New Roman" w:cs="Times New Roman"/>
          <w:szCs w:val="24"/>
          <w:lang w:eastAsia="en-US"/>
        </w:rPr>
        <w:t>)</w:t>
      </w:r>
      <w:r w:rsidRPr="0034237D">
        <w:rPr>
          <w:rFonts w:eastAsia="Times New Roman" w:cs="Times New Roman"/>
          <w:szCs w:val="24"/>
          <w:lang w:eastAsia="en-US"/>
        </w:rPr>
        <w:t xml:space="preserve">. Real-World Effectiveness of Early Language Intervention: Evidence </w:t>
      </w:r>
      <w:proofErr w:type="gramStart"/>
      <w:r w:rsidRPr="0034237D">
        <w:rPr>
          <w:rFonts w:eastAsia="Times New Roman" w:cs="Times New Roman"/>
          <w:szCs w:val="24"/>
          <w:lang w:eastAsia="en-US"/>
        </w:rPr>
        <w:t>From</w:t>
      </w:r>
      <w:proofErr w:type="gramEnd"/>
      <w:r w:rsidRPr="0034237D">
        <w:rPr>
          <w:rFonts w:eastAsia="Times New Roman" w:cs="Times New Roman"/>
          <w:szCs w:val="24"/>
          <w:lang w:eastAsia="en-US"/>
        </w:rPr>
        <w:t xml:space="preserve"> a Nationwide Rollout of the Nuffield Early Language Intervention in England. </w:t>
      </w:r>
      <w:r w:rsidRPr="0034237D">
        <w:rPr>
          <w:rFonts w:eastAsia="Times New Roman" w:cs="Times New Roman"/>
          <w:i/>
          <w:iCs/>
          <w:szCs w:val="24"/>
          <w:lang w:eastAsia="en-US"/>
        </w:rPr>
        <w:t>American Journal of Speech-Language Pathology</w:t>
      </w:r>
      <w:r w:rsidRPr="0034237D">
        <w:rPr>
          <w:rFonts w:eastAsia="Times New Roman" w:cs="Times New Roman"/>
          <w:szCs w:val="24"/>
          <w:lang w:eastAsia="en-US"/>
        </w:rPr>
        <w:t>, pp.1-14.</w:t>
      </w:r>
    </w:p>
    <w:p w14:paraId="30E915AC" w14:textId="7F02E3E1" w:rsidR="0034237D" w:rsidRPr="0034237D" w:rsidRDefault="0034237D" w:rsidP="0034237D">
      <w:pPr>
        <w:spacing w:before="100" w:beforeAutospacing="1" w:after="100" w:afterAutospacing="1"/>
        <w:rPr>
          <w:rFonts w:eastAsia="Times New Roman" w:cs="Times New Roman"/>
          <w:szCs w:val="24"/>
          <w:lang w:eastAsia="en-US"/>
        </w:rPr>
      </w:pPr>
      <w:r w:rsidRPr="0034237D">
        <w:rPr>
          <w:rFonts w:eastAsia="Times New Roman" w:cs="Times New Roman"/>
          <w:szCs w:val="24"/>
          <w:lang w:eastAsia="en-US"/>
        </w:rPr>
        <w:t xml:space="preserve">Wright, B., Fearon, P., Garside, M., </w:t>
      </w:r>
      <w:proofErr w:type="spellStart"/>
      <w:r w:rsidRPr="0034237D">
        <w:rPr>
          <w:rFonts w:eastAsia="Times New Roman" w:cs="Times New Roman"/>
          <w:szCs w:val="24"/>
          <w:lang w:eastAsia="en-US"/>
        </w:rPr>
        <w:t>Tsappis</w:t>
      </w:r>
      <w:proofErr w:type="spellEnd"/>
      <w:r w:rsidRPr="0034237D">
        <w:rPr>
          <w:rFonts w:eastAsia="Times New Roman" w:cs="Times New Roman"/>
          <w:szCs w:val="24"/>
          <w:lang w:eastAsia="en-US"/>
        </w:rPr>
        <w:t xml:space="preserve">, E., Amoah, E., Glaser, D., Allgar, V., Minnis, H., Woolgar, M., </w:t>
      </w:r>
      <w:r w:rsidR="00105DF1">
        <w:rPr>
          <w:rFonts w:eastAsia="Times New Roman" w:cs="Times New Roman"/>
          <w:szCs w:val="24"/>
          <w:lang w:eastAsia="en-US"/>
        </w:rPr>
        <w:t>Churchill, R. and McMillan, D. (</w:t>
      </w:r>
      <w:r w:rsidRPr="0034237D">
        <w:rPr>
          <w:rFonts w:eastAsia="Times New Roman" w:cs="Times New Roman"/>
          <w:szCs w:val="24"/>
          <w:lang w:eastAsia="en-US"/>
        </w:rPr>
        <w:t>2023</w:t>
      </w:r>
      <w:r w:rsidR="00105DF1">
        <w:rPr>
          <w:rFonts w:eastAsia="Times New Roman" w:cs="Times New Roman"/>
          <w:szCs w:val="24"/>
          <w:lang w:eastAsia="en-US"/>
        </w:rPr>
        <w:t>)</w:t>
      </w:r>
      <w:r w:rsidRPr="0034237D">
        <w:rPr>
          <w:rFonts w:eastAsia="Times New Roman" w:cs="Times New Roman"/>
          <w:szCs w:val="24"/>
          <w:lang w:eastAsia="en-US"/>
        </w:rPr>
        <w:t>. Routinely used interventions to improve attachment in infants and young children: a national survey and two systematic reviews. </w:t>
      </w:r>
      <w:r w:rsidRPr="0034237D">
        <w:rPr>
          <w:rFonts w:eastAsia="Times New Roman" w:cs="Times New Roman"/>
          <w:i/>
          <w:iCs/>
          <w:szCs w:val="24"/>
          <w:lang w:eastAsia="en-US"/>
        </w:rPr>
        <w:t>Health Technology Assessment (Winchester, England)</w:t>
      </w:r>
      <w:r w:rsidRPr="0034237D">
        <w:rPr>
          <w:rFonts w:eastAsia="Times New Roman" w:cs="Times New Roman"/>
          <w:szCs w:val="24"/>
          <w:lang w:eastAsia="en-US"/>
        </w:rPr>
        <w:t>, </w:t>
      </w:r>
      <w:r w:rsidRPr="0034237D">
        <w:rPr>
          <w:rFonts w:eastAsia="Times New Roman" w:cs="Times New Roman"/>
          <w:i/>
          <w:iCs/>
          <w:szCs w:val="24"/>
          <w:lang w:eastAsia="en-US"/>
        </w:rPr>
        <w:t>27</w:t>
      </w:r>
      <w:r w:rsidRPr="0034237D">
        <w:rPr>
          <w:rFonts w:eastAsia="Times New Roman" w:cs="Times New Roman"/>
          <w:szCs w:val="24"/>
          <w:lang w:eastAsia="en-US"/>
        </w:rPr>
        <w:t>(2), p.1.</w:t>
      </w:r>
    </w:p>
    <w:p w14:paraId="78F126F2" w14:textId="2FD83E00" w:rsidR="0034237D" w:rsidRPr="0034237D" w:rsidRDefault="00105DF1" w:rsidP="0034237D">
      <w:pPr>
        <w:spacing w:before="100" w:beforeAutospacing="1" w:after="100" w:afterAutospacing="1"/>
        <w:rPr>
          <w:rFonts w:eastAsia="Times New Roman" w:cs="Times New Roman"/>
          <w:szCs w:val="24"/>
          <w:lang w:eastAsia="en-US"/>
        </w:rPr>
      </w:pPr>
      <w:r>
        <w:rPr>
          <w:rFonts w:eastAsia="Times New Roman" w:cs="Times New Roman"/>
          <w:szCs w:val="24"/>
          <w:lang w:eastAsia="en-US"/>
        </w:rPr>
        <w:t>Yao, J., Liu, Y. and Zhou, S. (</w:t>
      </w:r>
      <w:r w:rsidR="0034237D" w:rsidRPr="0034237D">
        <w:rPr>
          <w:rFonts w:eastAsia="Times New Roman" w:cs="Times New Roman"/>
          <w:szCs w:val="24"/>
          <w:lang w:eastAsia="en-US"/>
        </w:rPr>
        <w:t>2019</w:t>
      </w:r>
      <w:r>
        <w:rPr>
          <w:rFonts w:eastAsia="Times New Roman" w:cs="Times New Roman"/>
          <w:szCs w:val="24"/>
          <w:lang w:eastAsia="en-US"/>
        </w:rPr>
        <w:t>)</w:t>
      </w:r>
      <w:r w:rsidR="0034237D" w:rsidRPr="0034237D">
        <w:rPr>
          <w:rFonts w:eastAsia="Times New Roman" w:cs="Times New Roman"/>
          <w:szCs w:val="24"/>
          <w:lang w:eastAsia="en-US"/>
        </w:rPr>
        <w:t>. Effect of eating breakfast on cognitive development of elementary and middle school students: An empirical study using large-scale provincial survey data. </w:t>
      </w:r>
      <w:r w:rsidR="0034237D" w:rsidRPr="0034237D">
        <w:rPr>
          <w:rFonts w:eastAsia="Times New Roman" w:cs="Times New Roman"/>
          <w:i/>
          <w:iCs/>
          <w:szCs w:val="24"/>
          <w:lang w:eastAsia="en-US"/>
        </w:rPr>
        <w:t>Medical science monitor: international medical journal of experimental and clinical research</w:t>
      </w:r>
      <w:r w:rsidR="0034237D" w:rsidRPr="0034237D">
        <w:rPr>
          <w:rFonts w:eastAsia="Times New Roman" w:cs="Times New Roman"/>
          <w:szCs w:val="24"/>
          <w:lang w:eastAsia="en-US"/>
        </w:rPr>
        <w:t>, </w:t>
      </w:r>
      <w:r w:rsidR="0034237D" w:rsidRPr="0034237D">
        <w:rPr>
          <w:rFonts w:eastAsia="Times New Roman" w:cs="Times New Roman"/>
          <w:i/>
          <w:iCs/>
          <w:szCs w:val="24"/>
          <w:lang w:eastAsia="en-US"/>
        </w:rPr>
        <w:t>25</w:t>
      </w:r>
      <w:r w:rsidR="0034237D" w:rsidRPr="0034237D">
        <w:rPr>
          <w:rFonts w:eastAsia="Times New Roman" w:cs="Times New Roman"/>
          <w:szCs w:val="24"/>
          <w:lang w:eastAsia="en-US"/>
        </w:rPr>
        <w:t>, p.8843.</w:t>
      </w:r>
    </w:p>
    <w:p w14:paraId="2A3D352C" w14:textId="77777777" w:rsidR="001F2C65" w:rsidRPr="00346FE5" w:rsidRDefault="001F2C65" w:rsidP="005753B8">
      <w:pPr>
        <w:rPr>
          <w:rFonts w:asciiTheme="majorBidi" w:hAnsiTheme="majorBidi" w:cstheme="majorBidi"/>
          <w:szCs w:val="24"/>
        </w:rPr>
      </w:pPr>
    </w:p>
    <w:sectPr w:rsidR="001F2C65" w:rsidRPr="00346FE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67977102">
    <w:abstractNumId w:val="0"/>
  </w:num>
  <w:num w:numId="2" w16cid:durableId="1574390508">
    <w:abstractNumId w:val="0"/>
  </w:num>
  <w:num w:numId="3" w16cid:durableId="241259123">
    <w:abstractNumId w:val="0"/>
  </w:num>
  <w:num w:numId="4" w16cid:durableId="1612972695">
    <w:abstractNumId w:val="0"/>
  </w:num>
  <w:num w:numId="5" w16cid:durableId="372581727">
    <w:abstractNumId w:val="0"/>
  </w:num>
  <w:num w:numId="6" w16cid:durableId="1391079953">
    <w:abstractNumId w:val="0"/>
  </w:num>
  <w:num w:numId="7" w16cid:durableId="695232740">
    <w:abstractNumId w:val="0"/>
  </w:num>
  <w:num w:numId="8" w16cid:durableId="1454009878">
    <w:abstractNumId w:val="0"/>
  </w:num>
  <w:num w:numId="9" w16cid:durableId="389889111">
    <w:abstractNumId w:val="0"/>
  </w:num>
  <w:num w:numId="10" w16cid:durableId="172158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65"/>
    <w:rsid w:val="00062932"/>
    <w:rsid w:val="00071B77"/>
    <w:rsid w:val="00082401"/>
    <w:rsid w:val="000B0E74"/>
    <w:rsid w:val="000F2BCC"/>
    <w:rsid w:val="000F77DE"/>
    <w:rsid w:val="00105DF1"/>
    <w:rsid w:val="00160174"/>
    <w:rsid w:val="0016352D"/>
    <w:rsid w:val="001B1A5F"/>
    <w:rsid w:val="001E32CD"/>
    <w:rsid w:val="001F2C65"/>
    <w:rsid w:val="00223DE1"/>
    <w:rsid w:val="00246C9D"/>
    <w:rsid w:val="00251010"/>
    <w:rsid w:val="00251D24"/>
    <w:rsid w:val="00257B1F"/>
    <w:rsid w:val="002C6BBB"/>
    <w:rsid w:val="002E3002"/>
    <w:rsid w:val="002F7B50"/>
    <w:rsid w:val="00303F11"/>
    <w:rsid w:val="00320EE7"/>
    <w:rsid w:val="0034237D"/>
    <w:rsid w:val="00346FE5"/>
    <w:rsid w:val="00367320"/>
    <w:rsid w:val="003A1303"/>
    <w:rsid w:val="003B41C4"/>
    <w:rsid w:val="003E3C95"/>
    <w:rsid w:val="00424643"/>
    <w:rsid w:val="00481802"/>
    <w:rsid w:val="004B2CC0"/>
    <w:rsid w:val="004B5F04"/>
    <w:rsid w:val="00522AD7"/>
    <w:rsid w:val="005753B8"/>
    <w:rsid w:val="005836AE"/>
    <w:rsid w:val="006008D2"/>
    <w:rsid w:val="00611455"/>
    <w:rsid w:val="00640843"/>
    <w:rsid w:val="00644FCF"/>
    <w:rsid w:val="006C629D"/>
    <w:rsid w:val="006D3F47"/>
    <w:rsid w:val="00766437"/>
    <w:rsid w:val="00770B46"/>
    <w:rsid w:val="00795897"/>
    <w:rsid w:val="007D39F9"/>
    <w:rsid w:val="007F43E7"/>
    <w:rsid w:val="00857501"/>
    <w:rsid w:val="0086188F"/>
    <w:rsid w:val="00870107"/>
    <w:rsid w:val="00933D62"/>
    <w:rsid w:val="009C4E0E"/>
    <w:rsid w:val="009D2329"/>
    <w:rsid w:val="00A328BE"/>
    <w:rsid w:val="00A3373D"/>
    <w:rsid w:val="00A452F8"/>
    <w:rsid w:val="00AB3CE2"/>
    <w:rsid w:val="00AC5FDC"/>
    <w:rsid w:val="00B13A71"/>
    <w:rsid w:val="00B2345D"/>
    <w:rsid w:val="00B63014"/>
    <w:rsid w:val="00B64C02"/>
    <w:rsid w:val="00B66888"/>
    <w:rsid w:val="00BE39EF"/>
    <w:rsid w:val="00BF2406"/>
    <w:rsid w:val="00C43163"/>
    <w:rsid w:val="00CB4B12"/>
    <w:rsid w:val="00CE253C"/>
    <w:rsid w:val="00D05CC5"/>
    <w:rsid w:val="00D13D80"/>
    <w:rsid w:val="00D41E54"/>
    <w:rsid w:val="00D57D8A"/>
    <w:rsid w:val="00DB5637"/>
    <w:rsid w:val="00E06569"/>
    <w:rsid w:val="00E14CC2"/>
    <w:rsid w:val="00E51181"/>
    <w:rsid w:val="00F57644"/>
    <w:rsid w:val="00FC3DFC"/>
    <w:rsid w:val="38C33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D34D1"/>
  <w15:docId w15:val="{6C468B7D-97F7-4F77-BD19-82E73870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semiHidden="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3D"/>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F2406"/>
    <w:pPr>
      <w:keepNext/>
      <w:keepLines/>
      <w:numPr>
        <w:numId w:val="10"/>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F7B50"/>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F7B50"/>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F7B50"/>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7B50"/>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7B50"/>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7B50"/>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7B5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7B5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7B50"/>
    <w:rPr>
      <w:i/>
      <w:iCs/>
      <w:color w:val="auto"/>
    </w:rPr>
  </w:style>
  <w:style w:type="paragraph" w:styleId="NormalWeb">
    <w:name w:val="Normal (Web)"/>
    <w:qFormat/>
    <w:pPr>
      <w:spacing w:beforeAutospacing="1" w:after="0" w:afterAutospacing="1"/>
    </w:pPr>
    <w:rPr>
      <w:rFonts w:cs="Times New Roman"/>
      <w:sz w:val="24"/>
      <w:szCs w:val="24"/>
      <w:lang w:val="en-US" w:eastAsia="zh-CN"/>
    </w:rPr>
  </w:style>
  <w:style w:type="table" w:styleId="TableGrid">
    <w:name w:val="Table Grid"/>
    <w:basedOn w:val="TableNormal"/>
    <w:rsid w:val="00246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2406"/>
    <w:rPr>
      <w:rFonts w:ascii="Times New Roman" w:eastAsiaTheme="majorEastAsia" w:hAnsi="Times New Roman"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7B5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F7B5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F7B5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7B50"/>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7B50"/>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7B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7B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7B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7B5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F7B5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7B5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7B5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F7B50"/>
    <w:rPr>
      <w:color w:val="5A5A5A" w:themeColor="text1" w:themeTint="A5"/>
      <w:spacing w:val="10"/>
    </w:rPr>
  </w:style>
  <w:style w:type="character" w:styleId="Strong">
    <w:name w:val="Strong"/>
    <w:basedOn w:val="DefaultParagraphFont"/>
    <w:uiPriority w:val="22"/>
    <w:qFormat/>
    <w:rsid w:val="002F7B50"/>
    <w:rPr>
      <w:b/>
      <w:bCs/>
      <w:color w:val="000000" w:themeColor="text1"/>
    </w:rPr>
  </w:style>
  <w:style w:type="paragraph" w:styleId="NoSpacing">
    <w:name w:val="No Spacing"/>
    <w:uiPriority w:val="1"/>
    <w:qFormat/>
    <w:rsid w:val="002F7B50"/>
    <w:pPr>
      <w:spacing w:after="0" w:line="240" w:lineRule="auto"/>
    </w:pPr>
  </w:style>
  <w:style w:type="paragraph" w:styleId="Quote">
    <w:name w:val="Quote"/>
    <w:basedOn w:val="Normal"/>
    <w:next w:val="Normal"/>
    <w:link w:val="QuoteChar"/>
    <w:uiPriority w:val="29"/>
    <w:qFormat/>
    <w:rsid w:val="002F7B50"/>
    <w:pPr>
      <w:spacing w:before="160"/>
      <w:ind w:left="720" w:right="720"/>
    </w:pPr>
    <w:rPr>
      <w:i/>
      <w:iCs/>
      <w:color w:val="000000" w:themeColor="text1"/>
    </w:rPr>
  </w:style>
  <w:style w:type="character" w:customStyle="1" w:styleId="QuoteChar">
    <w:name w:val="Quote Char"/>
    <w:basedOn w:val="DefaultParagraphFont"/>
    <w:link w:val="Quote"/>
    <w:uiPriority w:val="29"/>
    <w:rsid w:val="002F7B50"/>
    <w:rPr>
      <w:i/>
      <w:iCs/>
      <w:color w:val="000000" w:themeColor="text1"/>
    </w:rPr>
  </w:style>
  <w:style w:type="paragraph" w:styleId="IntenseQuote">
    <w:name w:val="Intense Quote"/>
    <w:basedOn w:val="Normal"/>
    <w:next w:val="Normal"/>
    <w:link w:val="IntenseQuoteChar"/>
    <w:uiPriority w:val="30"/>
    <w:qFormat/>
    <w:rsid w:val="002F7B5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F7B50"/>
    <w:rPr>
      <w:color w:val="000000" w:themeColor="text1"/>
      <w:shd w:val="clear" w:color="auto" w:fill="F2F2F2" w:themeFill="background1" w:themeFillShade="F2"/>
    </w:rPr>
  </w:style>
  <w:style w:type="character" w:styleId="SubtleEmphasis">
    <w:name w:val="Subtle Emphasis"/>
    <w:basedOn w:val="DefaultParagraphFont"/>
    <w:uiPriority w:val="19"/>
    <w:qFormat/>
    <w:rsid w:val="002F7B50"/>
    <w:rPr>
      <w:i/>
      <w:iCs/>
      <w:color w:val="404040" w:themeColor="text1" w:themeTint="BF"/>
    </w:rPr>
  </w:style>
  <w:style w:type="character" w:styleId="IntenseEmphasis">
    <w:name w:val="Intense Emphasis"/>
    <w:basedOn w:val="DefaultParagraphFont"/>
    <w:uiPriority w:val="21"/>
    <w:qFormat/>
    <w:rsid w:val="002F7B50"/>
    <w:rPr>
      <w:b/>
      <w:bCs/>
      <w:i/>
      <w:iCs/>
      <w:caps/>
    </w:rPr>
  </w:style>
  <w:style w:type="character" w:styleId="SubtleReference">
    <w:name w:val="Subtle Reference"/>
    <w:basedOn w:val="DefaultParagraphFont"/>
    <w:uiPriority w:val="31"/>
    <w:qFormat/>
    <w:rsid w:val="002F7B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7B50"/>
    <w:rPr>
      <w:b/>
      <w:bCs/>
      <w:smallCaps/>
      <w:u w:val="single"/>
    </w:rPr>
  </w:style>
  <w:style w:type="character" w:styleId="BookTitle">
    <w:name w:val="Book Title"/>
    <w:basedOn w:val="DefaultParagraphFont"/>
    <w:uiPriority w:val="33"/>
    <w:qFormat/>
    <w:rsid w:val="002F7B50"/>
    <w:rPr>
      <w:b w:val="0"/>
      <w:bCs w:val="0"/>
      <w:smallCaps/>
      <w:spacing w:val="5"/>
    </w:rPr>
  </w:style>
  <w:style w:type="paragraph" w:styleId="TOCHeading">
    <w:name w:val="TOC Heading"/>
    <w:basedOn w:val="Heading1"/>
    <w:next w:val="Normal"/>
    <w:uiPriority w:val="39"/>
    <w:semiHidden/>
    <w:unhideWhenUsed/>
    <w:qFormat/>
    <w:rsid w:val="002F7B50"/>
    <w:pPr>
      <w:outlineLvl w:val="9"/>
    </w:pPr>
  </w:style>
  <w:style w:type="character" w:styleId="Hyperlink">
    <w:name w:val="Hyperlink"/>
    <w:basedOn w:val="DefaultParagraphFont"/>
    <w:rsid w:val="00223DE1"/>
    <w:rPr>
      <w:color w:val="0026E5" w:themeColor="hyperlink"/>
      <w:u w:val="single"/>
    </w:rPr>
  </w:style>
  <w:style w:type="character" w:customStyle="1" w:styleId="UnresolvedMention1">
    <w:name w:val="Unresolved Mention1"/>
    <w:basedOn w:val="DefaultParagraphFont"/>
    <w:uiPriority w:val="99"/>
    <w:semiHidden/>
    <w:unhideWhenUsed/>
    <w:rsid w:val="0022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944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ree-breakfast-clubs-guidance-for-schools-and-trusts/free-breakfast-clubs-guidance-for-schools-on-the-early-adopter-programme-april-2025-to-march-20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s://www.gov.uk/healthy-st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4/6/contents" TargetMode="External"/><Relationship Id="rId11" Type="http://schemas.openxmlformats.org/officeDocument/2006/relationships/hyperlink" Target="https://www.gov.uk/government/publications/parent-infant-relationships-starting-conversations-practitioner-guide" TargetMode="External"/><Relationship Id="rId5" Type="http://schemas.openxmlformats.org/officeDocument/2006/relationships/hyperlink" Target="https://www.legislation.gov.uk/cy/ukpga/2004/31/section/11" TargetMode="External"/><Relationship Id="rId10" Type="http://schemas.openxmlformats.org/officeDocument/2006/relationships/hyperlink" Target="https://www.gov.uk/government/publications/send-code-of-practice-0-to-25" TargetMode="External"/><Relationship Id="rId4" Type="http://schemas.openxmlformats.org/officeDocument/2006/relationships/webSettings" Target="webSettings.xml"/><Relationship Id="rId9" Type="http://schemas.openxmlformats.org/officeDocument/2006/relationships/hyperlink" Target="https://www.gov.uk/government/publications/school-food-standards-resources-for-schools/school-food-standards-practical-guide"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4566</Words>
  <Characters>26030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Susso</dc:creator>
  <cp:lastModifiedBy>Gundo Susso (2325852)</cp:lastModifiedBy>
  <cp:revision>2</cp:revision>
  <dcterms:created xsi:type="dcterms:W3CDTF">2026-04-20T12:31:00Z</dcterms:created>
  <dcterms:modified xsi:type="dcterms:W3CDTF">2026-04-20T12:31:00Z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eyJoZGlkIjoiMmMyYWM1MWY5NGE4N2RlY2U5NWM0NzJiODNiMGJjYzkiLCJ1c2VySWQiOiI4ODEzOTczNjQ5NjIwIn0=</vt:lpwstr>
  </property>
  <property fmtid="{D5CDD505-2E9C-101B-9397-08002B2CF9AE}" pid="4" name="ICV">
    <vt:lpwstr>A65D1F3ABCE846E5A175B1D18D6295B7_12</vt:lpwstr>
  </property>
</Properties>
</file>