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2713C" w14:textId="55D7BCB3" w:rsidR="008375B5" w:rsidRDefault="00125285" w:rsidP="008375B5">
      <w:pPr>
        <w:spacing w:line="360" w:lineRule="auto"/>
      </w:pPr>
      <w:r>
        <w:rPr>
          <w:noProof/>
        </w:rPr>
        <w:pict w14:anchorId="43C703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5pt;height:106pt;visibility:visible">
            <v:imagedata r:id="rId8" r:href="rId9"/>
          </v:shape>
        </w:pict>
      </w:r>
    </w:p>
    <w:p w14:paraId="771EEE00" w14:textId="77777777" w:rsidR="008375B5" w:rsidRDefault="008375B5" w:rsidP="008375B5">
      <w:pPr>
        <w:spacing w:line="360" w:lineRule="auto"/>
        <w:rPr>
          <w:rStyle w:val="Strong"/>
          <w:rFonts w:ascii="Segoe UI" w:hAnsi="Segoe UI" w:cs="Segoe UI"/>
          <w:color w:val="1D2125"/>
        </w:rPr>
      </w:pPr>
    </w:p>
    <w:p w14:paraId="789D62B8" w14:textId="77777777" w:rsidR="008375B5" w:rsidRDefault="008375B5" w:rsidP="008375B5">
      <w:pPr>
        <w:spacing w:line="360" w:lineRule="auto"/>
        <w:rPr>
          <w:rStyle w:val="Strong"/>
          <w:rFonts w:ascii="Arial" w:hAnsi="Arial" w:cs="Arial"/>
          <w:color w:val="1D2125"/>
          <w:sz w:val="36"/>
          <w:szCs w:val="36"/>
        </w:rPr>
      </w:pPr>
    </w:p>
    <w:p w14:paraId="48E11C43" w14:textId="77777777" w:rsidR="00871C29" w:rsidRDefault="00871C29" w:rsidP="008375B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7F061412"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14:paraId="273CFFA9" w14:textId="77777777" w:rsidR="008375B5" w:rsidRDefault="008375B5" w:rsidP="008375B5">
      <w:pPr>
        <w:spacing w:line="360" w:lineRule="auto"/>
        <w:jc w:val="center"/>
        <w:rPr>
          <w:rStyle w:val="Strong"/>
          <w:rFonts w:ascii="Arial" w:hAnsi="Arial" w:cs="Arial"/>
          <w:color w:val="1D2125"/>
          <w:sz w:val="36"/>
          <w:szCs w:val="36"/>
        </w:rPr>
      </w:pPr>
    </w:p>
    <w:p w14:paraId="6A28B974" w14:textId="77777777" w:rsidR="008375B5" w:rsidRDefault="008375B5" w:rsidP="008375B5">
      <w:pPr>
        <w:spacing w:line="360" w:lineRule="auto"/>
        <w:jc w:val="center"/>
        <w:rPr>
          <w:rStyle w:val="Strong"/>
          <w:rFonts w:ascii="Arial" w:hAnsi="Arial" w:cs="Arial"/>
          <w:color w:val="1D2125"/>
          <w:sz w:val="36"/>
          <w:szCs w:val="36"/>
        </w:rPr>
      </w:pPr>
    </w:p>
    <w:p w14:paraId="375F86C9"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00871C29" w:rsidRPr="00871C29">
        <w:t xml:space="preserve"> </w:t>
      </w:r>
      <w:r w:rsidR="00871C29" w:rsidRPr="00871C29">
        <w:rPr>
          <w:rFonts w:ascii="Arial" w:hAnsi="Arial" w:cs="Arial"/>
          <w:b/>
          <w:bCs/>
          <w:color w:val="000000"/>
          <w:sz w:val="32"/>
          <w:szCs w:val="32"/>
        </w:rPr>
        <w:t>Online portfolio of set exercises</w:t>
      </w:r>
    </w:p>
    <w:p w14:paraId="66C29938" w14:textId="77777777" w:rsidR="008375B5" w:rsidRDefault="008375B5" w:rsidP="008375B5">
      <w:pPr>
        <w:spacing w:line="360" w:lineRule="auto"/>
        <w:rPr>
          <w:rStyle w:val="Strong"/>
          <w:rFonts w:ascii="Arial" w:hAnsi="Arial" w:cs="Arial"/>
          <w:color w:val="1D2125"/>
          <w:sz w:val="32"/>
          <w:szCs w:val="32"/>
        </w:rPr>
      </w:pPr>
    </w:p>
    <w:p w14:paraId="527CEF21" w14:textId="1B756141" w:rsidR="008375B5" w:rsidRPr="004D5524" w:rsidRDefault="008375B5" w:rsidP="008375B5">
      <w:pPr>
        <w:spacing w:line="360" w:lineRule="auto"/>
        <w:rPr>
          <w:rStyle w:val="Strong"/>
          <w:rFonts w:ascii="Arial" w:hAnsi="Arial" w:cs="Arial"/>
          <w:b w:val="0"/>
          <w:bCs w:val="0"/>
          <w:color w:val="1D2125"/>
          <w:sz w:val="22"/>
          <w:szCs w:val="22"/>
        </w:rPr>
      </w:pPr>
      <w:r>
        <w:rPr>
          <w:rStyle w:val="Strong"/>
          <w:rFonts w:ascii="Arial" w:hAnsi="Arial" w:cs="Arial"/>
          <w:color w:val="1D2125"/>
          <w:sz w:val="32"/>
          <w:szCs w:val="32"/>
        </w:rPr>
        <w:t>Student name:</w:t>
      </w:r>
      <w:r w:rsidR="005E3F3D">
        <w:rPr>
          <w:rStyle w:val="Strong"/>
          <w:rFonts w:ascii="Arial" w:hAnsi="Arial" w:cs="Arial"/>
          <w:color w:val="1D2125"/>
          <w:sz w:val="32"/>
          <w:szCs w:val="32"/>
        </w:rPr>
        <w:t xml:space="preserve"> </w:t>
      </w:r>
      <w:r w:rsidR="004D5524">
        <w:rPr>
          <w:rStyle w:val="Strong"/>
          <w:rFonts w:ascii="Arial" w:hAnsi="Arial" w:cs="Arial"/>
          <w:b w:val="0"/>
          <w:bCs w:val="0"/>
          <w:color w:val="1D2125"/>
          <w:sz w:val="22"/>
          <w:szCs w:val="22"/>
        </w:rPr>
        <w:t>Lauren Christopher</w:t>
      </w:r>
    </w:p>
    <w:p w14:paraId="1DEEB383" w14:textId="71EE21B3" w:rsidR="008375B5" w:rsidRPr="004D5524" w:rsidRDefault="008375B5" w:rsidP="008375B5">
      <w:pPr>
        <w:spacing w:line="360" w:lineRule="auto"/>
        <w:rPr>
          <w:rStyle w:val="Strong"/>
          <w:rFonts w:ascii="Arial" w:hAnsi="Arial" w:cs="Arial"/>
          <w:b w:val="0"/>
          <w:bCs w:val="0"/>
          <w:color w:val="1D2125"/>
          <w:sz w:val="22"/>
          <w:szCs w:val="22"/>
        </w:rPr>
      </w:pPr>
      <w:r>
        <w:rPr>
          <w:rStyle w:val="Strong"/>
          <w:rFonts w:ascii="Arial" w:hAnsi="Arial" w:cs="Arial"/>
          <w:color w:val="1D2125"/>
          <w:sz w:val="32"/>
          <w:szCs w:val="32"/>
        </w:rPr>
        <w:t>Student number:</w:t>
      </w:r>
      <w:r w:rsidR="004D5524">
        <w:rPr>
          <w:rStyle w:val="Strong"/>
          <w:rFonts w:ascii="Arial" w:hAnsi="Arial" w:cs="Arial"/>
          <w:color w:val="1D2125"/>
          <w:sz w:val="32"/>
          <w:szCs w:val="32"/>
        </w:rPr>
        <w:t xml:space="preserve"> </w:t>
      </w:r>
      <w:r w:rsidR="004D5524">
        <w:rPr>
          <w:rStyle w:val="Strong"/>
          <w:rFonts w:ascii="Arial" w:hAnsi="Arial" w:cs="Arial"/>
          <w:b w:val="0"/>
          <w:bCs w:val="0"/>
          <w:color w:val="1D2125"/>
          <w:sz w:val="22"/>
          <w:szCs w:val="22"/>
        </w:rPr>
        <w:t>2336889</w:t>
      </w:r>
    </w:p>
    <w:p w14:paraId="696958FE" w14:textId="47E4F801" w:rsidR="008375B5" w:rsidRPr="004D5524" w:rsidRDefault="008375B5" w:rsidP="008375B5">
      <w:pPr>
        <w:spacing w:line="360" w:lineRule="auto"/>
        <w:rPr>
          <w:rStyle w:val="Strong"/>
          <w:rFonts w:ascii="Arial" w:hAnsi="Arial" w:cs="Arial"/>
          <w:b w:val="0"/>
          <w:bCs w:val="0"/>
          <w:color w:val="1D2125"/>
          <w:sz w:val="22"/>
          <w:szCs w:val="22"/>
        </w:rPr>
      </w:pPr>
      <w:r>
        <w:rPr>
          <w:rStyle w:val="Strong"/>
          <w:rFonts w:ascii="Arial" w:hAnsi="Arial" w:cs="Arial"/>
          <w:color w:val="1D2125"/>
          <w:sz w:val="32"/>
          <w:szCs w:val="32"/>
        </w:rPr>
        <w:t>Lecturer’s name:</w:t>
      </w:r>
      <w:r w:rsidR="004D5524">
        <w:rPr>
          <w:rStyle w:val="Strong"/>
          <w:rFonts w:ascii="Arial" w:hAnsi="Arial" w:cs="Arial"/>
          <w:color w:val="1D2125"/>
          <w:sz w:val="32"/>
          <w:szCs w:val="32"/>
        </w:rPr>
        <w:t xml:space="preserve"> </w:t>
      </w:r>
      <w:r w:rsidR="00AC5B5D">
        <w:rPr>
          <w:rStyle w:val="Strong"/>
          <w:rFonts w:ascii="Arial" w:hAnsi="Arial" w:cs="Arial"/>
          <w:b w:val="0"/>
          <w:bCs w:val="0"/>
          <w:color w:val="1D2125"/>
          <w:sz w:val="22"/>
          <w:szCs w:val="22"/>
        </w:rPr>
        <w:t>Laila Surani</w:t>
      </w:r>
    </w:p>
    <w:p w14:paraId="0987EF27" w14:textId="77777777" w:rsidR="008375B5" w:rsidRDefault="008375B5" w:rsidP="008375B5">
      <w:pPr>
        <w:spacing w:line="360" w:lineRule="auto"/>
        <w:rPr>
          <w:sz w:val="36"/>
          <w:szCs w:val="36"/>
        </w:rPr>
      </w:pPr>
    </w:p>
    <w:p w14:paraId="3EEE6DB4" w14:textId="77777777" w:rsidR="008375B5" w:rsidRDefault="008375B5" w:rsidP="008375B5">
      <w:pPr>
        <w:spacing w:line="360" w:lineRule="auto"/>
        <w:rPr>
          <w:rFonts w:ascii="Arial" w:hAnsi="Arial" w:cs="Arial"/>
          <w:sz w:val="36"/>
          <w:szCs w:val="36"/>
        </w:rPr>
      </w:pPr>
    </w:p>
    <w:p w14:paraId="5BF3779E" w14:textId="77777777" w:rsidR="008375B5" w:rsidRDefault="008375B5" w:rsidP="008375B5">
      <w:pPr>
        <w:spacing w:line="360" w:lineRule="auto"/>
        <w:rPr>
          <w:rFonts w:ascii="Arial" w:hAnsi="Arial" w:cs="Arial"/>
          <w:sz w:val="36"/>
          <w:szCs w:val="36"/>
        </w:rPr>
      </w:pPr>
    </w:p>
    <w:p w14:paraId="4109A469" w14:textId="77777777" w:rsidR="00E71E0B" w:rsidRDefault="00E71E0B" w:rsidP="008375B5">
      <w:pPr>
        <w:spacing w:line="360" w:lineRule="auto"/>
        <w:rPr>
          <w:rFonts w:ascii="Arial" w:hAnsi="Arial" w:cs="Arial"/>
          <w:sz w:val="36"/>
          <w:szCs w:val="36"/>
        </w:rPr>
      </w:pPr>
    </w:p>
    <w:p w14:paraId="67B3BAF4" w14:textId="77777777" w:rsidR="00C12BE0" w:rsidRDefault="00C12BE0">
      <w:pPr>
        <w:pStyle w:val="TOCHeading"/>
      </w:pPr>
      <w:r>
        <w:lastRenderedPageBreak/>
        <w:t>Contents</w:t>
      </w:r>
    </w:p>
    <w:p w14:paraId="22EE44CC" w14:textId="26E74A41" w:rsidR="00C12BE0" w:rsidRDefault="00C12BE0">
      <w:pPr>
        <w:pStyle w:val="TOC2"/>
        <w:tabs>
          <w:tab w:val="right" w:leader="dot" w:pos="9016"/>
        </w:tabs>
        <w:rPr>
          <w:noProof/>
        </w:rPr>
      </w:pPr>
      <w:r>
        <w:fldChar w:fldCharType="begin"/>
      </w:r>
      <w:r>
        <w:instrText xml:space="preserve"> TOC \o "1-3" \h \z \u </w:instrText>
      </w:r>
      <w:r>
        <w:fldChar w:fldCharType="separate"/>
      </w:r>
      <w:hyperlink w:anchor="_Toc218716935" w:history="1">
        <w:r w:rsidRPr="00AC66FE">
          <w:rPr>
            <w:rStyle w:val="Hyperlink"/>
            <w:noProof/>
          </w:rPr>
          <w:t>Introduction</w:t>
        </w:r>
        <w:r>
          <w:rPr>
            <w:noProof/>
            <w:webHidden/>
          </w:rPr>
          <w:tab/>
        </w:r>
        <w:r>
          <w:rPr>
            <w:noProof/>
            <w:webHidden/>
          </w:rPr>
          <w:fldChar w:fldCharType="begin"/>
        </w:r>
        <w:r>
          <w:rPr>
            <w:noProof/>
            <w:webHidden/>
          </w:rPr>
          <w:instrText xml:space="preserve"> PAGEREF _Toc218716935 \h </w:instrText>
        </w:r>
        <w:r>
          <w:rPr>
            <w:noProof/>
            <w:webHidden/>
          </w:rPr>
        </w:r>
        <w:r>
          <w:rPr>
            <w:noProof/>
            <w:webHidden/>
          </w:rPr>
          <w:fldChar w:fldCharType="separate"/>
        </w:r>
        <w:r>
          <w:rPr>
            <w:noProof/>
            <w:webHidden/>
          </w:rPr>
          <w:t>3</w:t>
        </w:r>
        <w:r>
          <w:rPr>
            <w:noProof/>
            <w:webHidden/>
          </w:rPr>
          <w:fldChar w:fldCharType="end"/>
        </w:r>
      </w:hyperlink>
    </w:p>
    <w:p w14:paraId="29D207C0" w14:textId="4E20BE05" w:rsidR="00C12BE0" w:rsidRDefault="00C12BE0">
      <w:pPr>
        <w:pStyle w:val="TOC2"/>
        <w:tabs>
          <w:tab w:val="right" w:leader="dot" w:pos="9016"/>
        </w:tabs>
        <w:rPr>
          <w:noProof/>
        </w:rPr>
      </w:pPr>
      <w:hyperlink w:anchor="_Toc218716936" w:history="1">
        <w:r w:rsidRPr="00AC66FE">
          <w:rPr>
            <w:rStyle w:val="Hyperlink"/>
            <w:noProof/>
          </w:rPr>
          <w:t>Task 1- Defining Key Concepts in Practice</w:t>
        </w:r>
        <w:r>
          <w:rPr>
            <w:noProof/>
            <w:webHidden/>
          </w:rPr>
          <w:tab/>
        </w:r>
        <w:r>
          <w:rPr>
            <w:noProof/>
            <w:webHidden/>
          </w:rPr>
          <w:fldChar w:fldCharType="begin"/>
        </w:r>
        <w:r>
          <w:rPr>
            <w:noProof/>
            <w:webHidden/>
          </w:rPr>
          <w:instrText xml:space="preserve"> PAGEREF _Toc218716936 \h </w:instrText>
        </w:r>
        <w:r>
          <w:rPr>
            <w:noProof/>
            <w:webHidden/>
          </w:rPr>
        </w:r>
        <w:r>
          <w:rPr>
            <w:noProof/>
            <w:webHidden/>
          </w:rPr>
          <w:fldChar w:fldCharType="separate"/>
        </w:r>
        <w:r>
          <w:rPr>
            <w:noProof/>
            <w:webHidden/>
          </w:rPr>
          <w:t>3</w:t>
        </w:r>
        <w:r>
          <w:rPr>
            <w:noProof/>
            <w:webHidden/>
          </w:rPr>
          <w:fldChar w:fldCharType="end"/>
        </w:r>
      </w:hyperlink>
    </w:p>
    <w:p w14:paraId="798008B8" w14:textId="3D42D99D" w:rsidR="00C12BE0" w:rsidRDefault="00C12BE0">
      <w:pPr>
        <w:pStyle w:val="TOC2"/>
        <w:tabs>
          <w:tab w:val="right" w:leader="dot" w:pos="9016"/>
        </w:tabs>
        <w:rPr>
          <w:noProof/>
        </w:rPr>
      </w:pPr>
      <w:hyperlink w:anchor="_Toc218716937" w:history="1">
        <w:r w:rsidRPr="00AC66FE">
          <w:rPr>
            <w:rStyle w:val="Hyperlink"/>
            <w:noProof/>
          </w:rPr>
          <w:t>Task 2 -Mind Map</w:t>
        </w:r>
        <w:r>
          <w:rPr>
            <w:noProof/>
            <w:webHidden/>
          </w:rPr>
          <w:tab/>
        </w:r>
        <w:r>
          <w:rPr>
            <w:noProof/>
            <w:webHidden/>
          </w:rPr>
          <w:fldChar w:fldCharType="begin"/>
        </w:r>
        <w:r>
          <w:rPr>
            <w:noProof/>
            <w:webHidden/>
          </w:rPr>
          <w:instrText xml:space="preserve"> PAGEREF _Toc218716937 \h </w:instrText>
        </w:r>
        <w:r>
          <w:rPr>
            <w:noProof/>
            <w:webHidden/>
          </w:rPr>
        </w:r>
        <w:r>
          <w:rPr>
            <w:noProof/>
            <w:webHidden/>
          </w:rPr>
          <w:fldChar w:fldCharType="separate"/>
        </w:r>
        <w:r>
          <w:rPr>
            <w:noProof/>
            <w:webHidden/>
          </w:rPr>
          <w:t>4</w:t>
        </w:r>
        <w:r>
          <w:rPr>
            <w:noProof/>
            <w:webHidden/>
          </w:rPr>
          <w:fldChar w:fldCharType="end"/>
        </w:r>
      </w:hyperlink>
    </w:p>
    <w:p w14:paraId="3FDB6EFC" w14:textId="368AB8BD" w:rsidR="00C12BE0" w:rsidRDefault="00C12BE0">
      <w:pPr>
        <w:pStyle w:val="TOC2"/>
        <w:tabs>
          <w:tab w:val="right" w:leader="dot" w:pos="9016"/>
        </w:tabs>
        <w:rPr>
          <w:noProof/>
        </w:rPr>
      </w:pPr>
      <w:hyperlink w:anchor="_Toc218716938" w:history="1">
        <w:r w:rsidRPr="00AC66FE">
          <w:rPr>
            <w:rStyle w:val="Hyperlink"/>
            <w:noProof/>
            <w:lang w:val="en-US" w:eastAsia="en-GB"/>
          </w:rPr>
          <w:t>Task 3 - Self-Reflection of Group Activity.</w:t>
        </w:r>
        <w:r>
          <w:rPr>
            <w:noProof/>
            <w:webHidden/>
          </w:rPr>
          <w:tab/>
        </w:r>
        <w:r>
          <w:rPr>
            <w:noProof/>
            <w:webHidden/>
          </w:rPr>
          <w:fldChar w:fldCharType="begin"/>
        </w:r>
        <w:r>
          <w:rPr>
            <w:noProof/>
            <w:webHidden/>
          </w:rPr>
          <w:instrText xml:space="preserve"> PAGEREF _Toc218716938 \h </w:instrText>
        </w:r>
        <w:r>
          <w:rPr>
            <w:noProof/>
            <w:webHidden/>
          </w:rPr>
        </w:r>
        <w:r>
          <w:rPr>
            <w:noProof/>
            <w:webHidden/>
          </w:rPr>
          <w:fldChar w:fldCharType="separate"/>
        </w:r>
        <w:r>
          <w:rPr>
            <w:noProof/>
            <w:webHidden/>
          </w:rPr>
          <w:t>5</w:t>
        </w:r>
        <w:r>
          <w:rPr>
            <w:noProof/>
            <w:webHidden/>
          </w:rPr>
          <w:fldChar w:fldCharType="end"/>
        </w:r>
      </w:hyperlink>
    </w:p>
    <w:p w14:paraId="603D8200" w14:textId="1B622889" w:rsidR="00C12BE0" w:rsidRDefault="00C12BE0">
      <w:pPr>
        <w:pStyle w:val="TOC2"/>
        <w:tabs>
          <w:tab w:val="right" w:leader="dot" w:pos="9016"/>
        </w:tabs>
        <w:rPr>
          <w:noProof/>
        </w:rPr>
      </w:pPr>
      <w:hyperlink w:anchor="_Toc218716939" w:history="1">
        <w:r w:rsidRPr="00AC66FE">
          <w:rPr>
            <w:rStyle w:val="Hyperlink"/>
            <w:noProof/>
          </w:rPr>
          <w:t>Task 4 - Case Study Analysis of a UK Innovation</w:t>
        </w:r>
        <w:r>
          <w:rPr>
            <w:noProof/>
            <w:webHidden/>
          </w:rPr>
          <w:tab/>
        </w:r>
        <w:r>
          <w:rPr>
            <w:noProof/>
            <w:webHidden/>
          </w:rPr>
          <w:fldChar w:fldCharType="begin"/>
        </w:r>
        <w:r>
          <w:rPr>
            <w:noProof/>
            <w:webHidden/>
          </w:rPr>
          <w:instrText xml:space="preserve"> PAGEREF _Toc218716939 \h </w:instrText>
        </w:r>
        <w:r>
          <w:rPr>
            <w:noProof/>
            <w:webHidden/>
          </w:rPr>
        </w:r>
        <w:r>
          <w:rPr>
            <w:noProof/>
            <w:webHidden/>
          </w:rPr>
          <w:fldChar w:fldCharType="separate"/>
        </w:r>
        <w:r>
          <w:rPr>
            <w:noProof/>
            <w:webHidden/>
          </w:rPr>
          <w:t>5</w:t>
        </w:r>
        <w:r>
          <w:rPr>
            <w:noProof/>
            <w:webHidden/>
          </w:rPr>
          <w:fldChar w:fldCharType="end"/>
        </w:r>
      </w:hyperlink>
    </w:p>
    <w:p w14:paraId="32B12CA4" w14:textId="365B9B5A" w:rsidR="00C12BE0" w:rsidRDefault="00C12BE0">
      <w:pPr>
        <w:pStyle w:val="TOC2"/>
        <w:tabs>
          <w:tab w:val="right" w:leader="dot" w:pos="9016"/>
        </w:tabs>
        <w:rPr>
          <w:noProof/>
        </w:rPr>
      </w:pPr>
      <w:hyperlink w:anchor="_Toc218716940" w:history="1">
        <w:r w:rsidRPr="00AC66FE">
          <w:rPr>
            <w:rStyle w:val="Hyperlink"/>
            <w:noProof/>
          </w:rPr>
          <w:t>Task 5 - Research Task</w:t>
        </w:r>
        <w:r>
          <w:rPr>
            <w:noProof/>
            <w:webHidden/>
          </w:rPr>
          <w:tab/>
        </w:r>
        <w:r>
          <w:rPr>
            <w:noProof/>
            <w:webHidden/>
          </w:rPr>
          <w:fldChar w:fldCharType="begin"/>
        </w:r>
        <w:r>
          <w:rPr>
            <w:noProof/>
            <w:webHidden/>
          </w:rPr>
          <w:instrText xml:space="preserve"> PAGEREF _Toc218716940 \h </w:instrText>
        </w:r>
        <w:r>
          <w:rPr>
            <w:noProof/>
            <w:webHidden/>
          </w:rPr>
        </w:r>
        <w:r>
          <w:rPr>
            <w:noProof/>
            <w:webHidden/>
          </w:rPr>
          <w:fldChar w:fldCharType="separate"/>
        </w:r>
        <w:r>
          <w:rPr>
            <w:noProof/>
            <w:webHidden/>
          </w:rPr>
          <w:t>6</w:t>
        </w:r>
        <w:r>
          <w:rPr>
            <w:noProof/>
            <w:webHidden/>
          </w:rPr>
          <w:fldChar w:fldCharType="end"/>
        </w:r>
      </w:hyperlink>
    </w:p>
    <w:p w14:paraId="520A65F8" w14:textId="5198A184" w:rsidR="00C12BE0" w:rsidRDefault="00C12BE0">
      <w:pPr>
        <w:pStyle w:val="TOC2"/>
        <w:tabs>
          <w:tab w:val="right" w:leader="dot" w:pos="9016"/>
        </w:tabs>
        <w:rPr>
          <w:noProof/>
        </w:rPr>
      </w:pPr>
      <w:hyperlink w:anchor="_Toc218716941" w:history="1">
        <w:r w:rsidRPr="00AC66FE">
          <w:rPr>
            <w:rStyle w:val="Hyperlink"/>
            <w:noProof/>
            <w:lang w:val="en-US" w:eastAsia="en-GB"/>
          </w:rPr>
          <w:t>Task 6 - Exploring Digital Innovation in Health and Social Care</w:t>
        </w:r>
        <w:r>
          <w:rPr>
            <w:noProof/>
            <w:webHidden/>
          </w:rPr>
          <w:tab/>
        </w:r>
        <w:r>
          <w:rPr>
            <w:noProof/>
            <w:webHidden/>
          </w:rPr>
          <w:fldChar w:fldCharType="begin"/>
        </w:r>
        <w:r>
          <w:rPr>
            <w:noProof/>
            <w:webHidden/>
          </w:rPr>
          <w:instrText xml:space="preserve"> PAGEREF _Toc218716941 \h </w:instrText>
        </w:r>
        <w:r>
          <w:rPr>
            <w:noProof/>
            <w:webHidden/>
          </w:rPr>
        </w:r>
        <w:r>
          <w:rPr>
            <w:noProof/>
            <w:webHidden/>
          </w:rPr>
          <w:fldChar w:fldCharType="separate"/>
        </w:r>
        <w:r>
          <w:rPr>
            <w:noProof/>
            <w:webHidden/>
          </w:rPr>
          <w:t>6</w:t>
        </w:r>
        <w:r>
          <w:rPr>
            <w:noProof/>
            <w:webHidden/>
          </w:rPr>
          <w:fldChar w:fldCharType="end"/>
        </w:r>
      </w:hyperlink>
    </w:p>
    <w:p w14:paraId="73F6C57D" w14:textId="2FF1FD24" w:rsidR="00C12BE0" w:rsidRDefault="00C12BE0">
      <w:pPr>
        <w:pStyle w:val="TOC2"/>
        <w:tabs>
          <w:tab w:val="right" w:leader="dot" w:pos="9016"/>
        </w:tabs>
        <w:rPr>
          <w:noProof/>
        </w:rPr>
      </w:pPr>
      <w:hyperlink w:anchor="_Toc218716942" w:history="1">
        <w:r w:rsidRPr="00AC66FE">
          <w:rPr>
            <w:rStyle w:val="Hyperlink"/>
            <w:noProof/>
          </w:rPr>
          <w:t>Task 7 - Understanding the NHS Leadership Framework</w:t>
        </w:r>
        <w:r>
          <w:rPr>
            <w:noProof/>
            <w:webHidden/>
          </w:rPr>
          <w:tab/>
        </w:r>
        <w:r>
          <w:rPr>
            <w:noProof/>
            <w:webHidden/>
          </w:rPr>
          <w:fldChar w:fldCharType="begin"/>
        </w:r>
        <w:r>
          <w:rPr>
            <w:noProof/>
            <w:webHidden/>
          </w:rPr>
          <w:instrText xml:space="preserve"> PAGEREF _Toc218716942 \h </w:instrText>
        </w:r>
        <w:r>
          <w:rPr>
            <w:noProof/>
            <w:webHidden/>
          </w:rPr>
        </w:r>
        <w:r>
          <w:rPr>
            <w:noProof/>
            <w:webHidden/>
          </w:rPr>
          <w:fldChar w:fldCharType="separate"/>
        </w:r>
        <w:r>
          <w:rPr>
            <w:noProof/>
            <w:webHidden/>
          </w:rPr>
          <w:t>8</w:t>
        </w:r>
        <w:r>
          <w:rPr>
            <w:noProof/>
            <w:webHidden/>
          </w:rPr>
          <w:fldChar w:fldCharType="end"/>
        </w:r>
      </w:hyperlink>
    </w:p>
    <w:p w14:paraId="5D0349EA" w14:textId="31272996" w:rsidR="00C12BE0" w:rsidRDefault="00C12BE0">
      <w:pPr>
        <w:pStyle w:val="TOC2"/>
        <w:tabs>
          <w:tab w:val="right" w:leader="dot" w:pos="9016"/>
        </w:tabs>
        <w:rPr>
          <w:noProof/>
        </w:rPr>
      </w:pPr>
      <w:hyperlink w:anchor="_Toc218716943" w:history="1">
        <w:r w:rsidRPr="00AC66FE">
          <w:rPr>
            <w:rStyle w:val="Hyperlink"/>
            <w:noProof/>
          </w:rPr>
          <w:t>Task 8 - Self-Reflection Journal Entry</w:t>
        </w:r>
        <w:r>
          <w:rPr>
            <w:noProof/>
            <w:webHidden/>
          </w:rPr>
          <w:tab/>
        </w:r>
        <w:r>
          <w:rPr>
            <w:noProof/>
            <w:webHidden/>
          </w:rPr>
          <w:fldChar w:fldCharType="begin"/>
        </w:r>
        <w:r>
          <w:rPr>
            <w:noProof/>
            <w:webHidden/>
          </w:rPr>
          <w:instrText xml:space="preserve"> PAGEREF _Toc218716943 \h </w:instrText>
        </w:r>
        <w:r>
          <w:rPr>
            <w:noProof/>
            <w:webHidden/>
          </w:rPr>
        </w:r>
        <w:r>
          <w:rPr>
            <w:noProof/>
            <w:webHidden/>
          </w:rPr>
          <w:fldChar w:fldCharType="separate"/>
        </w:r>
        <w:r>
          <w:rPr>
            <w:noProof/>
            <w:webHidden/>
          </w:rPr>
          <w:t>8</w:t>
        </w:r>
        <w:r>
          <w:rPr>
            <w:noProof/>
            <w:webHidden/>
          </w:rPr>
          <w:fldChar w:fldCharType="end"/>
        </w:r>
      </w:hyperlink>
    </w:p>
    <w:p w14:paraId="62377970" w14:textId="4A51E73F" w:rsidR="00C12BE0" w:rsidRDefault="00C12BE0">
      <w:pPr>
        <w:pStyle w:val="TOC2"/>
        <w:tabs>
          <w:tab w:val="right" w:leader="dot" w:pos="9016"/>
        </w:tabs>
        <w:rPr>
          <w:noProof/>
        </w:rPr>
      </w:pPr>
      <w:hyperlink w:anchor="_Toc218716944" w:history="1">
        <w:r w:rsidRPr="00AC66FE">
          <w:rPr>
            <w:rStyle w:val="Hyperlink"/>
            <w:noProof/>
          </w:rPr>
          <w:t>References</w:t>
        </w:r>
        <w:r>
          <w:rPr>
            <w:noProof/>
            <w:webHidden/>
          </w:rPr>
          <w:tab/>
        </w:r>
        <w:r>
          <w:rPr>
            <w:noProof/>
            <w:webHidden/>
          </w:rPr>
          <w:fldChar w:fldCharType="begin"/>
        </w:r>
        <w:r>
          <w:rPr>
            <w:noProof/>
            <w:webHidden/>
          </w:rPr>
          <w:instrText xml:space="preserve"> PAGEREF _Toc218716944 \h </w:instrText>
        </w:r>
        <w:r>
          <w:rPr>
            <w:noProof/>
            <w:webHidden/>
          </w:rPr>
        </w:r>
        <w:r>
          <w:rPr>
            <w:noProof/>
            <w:webHidden/>
          </w:rPr>
          <w:fldChar w:fldCharType="separate"/>
        </w:r>
        <w:r>
          <w:rPr>
            <w:noProof/>
            <w:webHidden/>
          </w:rPr>
          <w:t>10</w:t>
        </w:r>
        <w:r>
          <w:rPr>
            <w:noProof/>
            <w:webHidden/>
          </w:rPr>
          <w:fldChar w:fldCharType="end"/>
        </w:r>
      </w:hyperlink>
    </w:p>
    <w:p w14:paraId="7518047E" w14:textId="053A98F4" w:rsidR="00C12BE0" w:rsidRDefault="00C12BE0">
      <w:r>
        <w:rPr>
          <w:b/>
          <w:bCs/>
          <w:noProof/>
        </w:rPr>
        <w:fldChar w:fldCharType="end"/>
      </w:r>
    </w:p>
    <w:p w14:paraId="7E668A6C" w14:textId="58EBC364" w:rsidR="00E71E0B" w:rsidRDefault="00E71E0B">
      <w:pPr>
        <w:pStyle w:val="TOCHeading"/>
      </w:pPr>
    </w:p>
    <w:p w14:paraId="3ED93C62" w14:textId="0ABD8B49" w:rsidR="00E71E0B" w:rsidRDefault="00E71E0B" w:rsidP="00E71E0B">
      <w:pPr>
        <w:pStyle w:val="Subtitle"/>
      </w:pPr>
    </w:p>
    <w:p w14:paraId="3C6D0F93" w14:textId="7A904863" w:rsidR="008375B5" w:rsidRPr="00E71E0B" w:rsidRDefault="008375B5" w:rsidP="00E71E0B">
      <w:pPr>
        <w:pStyle w:val="NormalWeb"/>
        <w:spacing w:line="360" w:lineRule="auto"/>
        <w:rPr>
          <w:rFonts w:ascii="Arial" w:hAnsi="Arial" w:cs="Arial"/>
          <w:b/>
          <w:bCs/>
          <w:color w:val="000000"/>
          <w:sz w:val="28"/>
          <w:szCs w:val="28"/>
        </w:rPr>
      </w:pPr>
    </w:p>
    <w:p w14:paraId="3EFB47F4" w14:textId="77777777" w:rsidR="008375B5" w:rsidRDefault="008375B5" w:rsidP="008375B5">
      <w:pPr>
        <w:pStyle w:val="NormalWeb"/>
        <w:spacing w:line="360" w:lineRule="auto"/>
        <w:rPr>
          <w:rFonts w:ascii="Arial" w:hAnsi="Arial" w:cs="Arial"/>
          <w:b/>
          <w:bCs/>
          <w:color w:val="000000"/>
        </w:rPr>
      </w:pPr>
    </w:p>
    <w:p w14:paraId="49043568" w14:textId="77777777" w:rsidR="008375B5" w:rsidRDefault="008375B5" w:rsidP="008375B5">
      <w:pPr>
        <w:pStyle w:val="NormalWeb"/>
        <w:spacing w:line="360" w:lineRule="auto"/>
        <w:rPr>
          <w:rFonts w:ascii="Arial" w:hAnsi="Arial" w:cs="Arial"/>
          <w:b/>
          <w:bCs/>
          <w:color w:val="000000"/>
        </w:rPr>
      </w:pPr>
    </w:p>
    <w:p w14:paraId="4181A17C" w14:textId="77777777" w:rsidR="008375B5" w:rsidRDefault="008375B5" w:rsidP="008375B5">
      <w:pPr>
        <w:pStyle w:val="NormalWeb"/>
        <w:spacing w:line="360" w:lineRule="auto"/>
        <w:rPr>
          <w:rFonts w:ascii="Arial" w:hAnsi="Arial" w:cs="Arial"/>
          <w:b/>
          <w:bCs/>
          <w:color w:val="000000"/>
        </w:rPr>
      </w:pPr>
    </w:p>
    <w:p w14:paraId="251CEF8F" w14:textId="77777777" w:rsidR="008375B5" w:rsidRDefault="008375B5" w:rsidP="008375B5">
      <w:pPr>
        <w:pStyle w:val="NormalWeb"/>
        <w:spacing w:line="360" w:lineRule="auto"/>
        <w:rPr>
          <w:rFonts w:ascii="Arial" w:hAnsi="Arial" w:cs="Arial"/>
          <w:b/>
          <w:bCs/>
          <w:color w:val="000000"/>
        </w:rPr>
      </w:pPr>
    </w:p>
    <w:p w14:paraId="621F0ECC" w14:textId="77777777" w:rsidR="008375B5" w:rsidRDefault="008375B5" w:rsidP="008375B5">
      <w:pPr>
        <w:pStyle w:val="NormalWeb"/>
        <w:spacing w:line="360" w:lineRule="auto"/>
        <w:rPr>
          <w:rFonts w:ascii="Arial" w:hAnsi="Arial" w:cs="Arial"/>
          <w:b/>
          <w:bCs/>
          <w:color w:val="000000"/>
        </w:rPr>
      </w:pPr>
    </w:p>
    <w:p w14:paraId="5C879DBF" w14:textId="77777777" w:rsidR="008375B5" w:rsidRDefault="008375B5" w:rsidP="008375B5">
      <w:pPr>
        <w:pStyle w:val="NormalWeb"/>
        <w:spacing w:line="360" w:lineRule="auto"/>
        <w:rPr>
          <w:rFonts w:ascii="Arial" w:hAnsi="Arial" w:cs="Arial"/>
          <w:b/>
          <w:bCs/>
          <w:color w:val="000000"/>
        </w:rPr>
      </w:pPr>
    </w:p>
    <w:p w14:paraId="59BB88F8" w14:textId="77777777" w:rsidR="008375B5" w:rsidRDefault="008375B5" w:rsidP="008375B5">
      <w:pPr>
        <w:pStyle w:val="NormalWeb"/>
        <w:spacing w:line="360" w:lineRule="auto"/>
        <w:rPr>
          <w:rFonts w:ascii="Arial" w:hAnsi="Arial" w:cs="Arial"/>
          <w:b/>
          <w:bCs/>
          <w:color w:val="000000"/>
        </w:rPr>
      </w:pPr>
    </w:p>
    <w:p w14:paraId="0A82711B" w14:textId="77777777" w:rsidR="008375B5" w:rsidRDefault="008375B5" w:rsidP="008375B5">
      <w:pPr>
        <w:pStyle w:val="NormalWeb"/>
        <w:spacing w:line="360" w:lineRule="auto"/>
        <w:rPr>
          <w:rFonts w:ascii="Arial" w:hAnsi="Arial" w:cs="Arial"/>
          <w:b/>
          <w:bCs/>
          <w:color w:val="000000"/>
        </w:rPr>
      </w:pPr>
    </w:p>
    <w:p w14:paraId="7EF2CA6E" w14:textId="77777777" w:rsidR="008375B5" w:rsidRDefault="008375B5" w:rsidP="008375B5">
      <w:pPr>
        <w:pStyle w:val="NormalWeb"/>
        <w:spacing w:line="360" w:lineRule="auto"/>
        <w:rPr>
          <w:rFonts w:ascii="Arial" w:hAnsi="Arial" w:cs="Arial"/>
          <w:b/>
          <w:bCs/>
          <w:color w:val="000000"/>
        </w:rPr>
      </w:pPr>
    </w:p>
    <w:p w14:paraId="434CE74E" w14:textId="60DD2069" w:rsidR="00A9474F" w:rsidRPr="00F807A7" w:rsidRDefault="00A9474F" w:rsidP="00E71E0B">
      <w:pPr>
        <w:pStyle w:val="Heading2"/>
      </w:pPr>
      <w:bookmarkStart w:id="0" w:name="_Toc218716935"/>
      <w:r w:rsidRPr="00F807A7">
        <w:lastRenderedPageBreak/>
        <w:t>Introduction</w:t>
      </w:r>
      <w:bookmarkEnd w:id="0"/>
    </w:p>
    <w:p w14:paraId="78527339" w14:textId="6FEEAC0F" w:rsidR="00A9474F" w:rsidRPr="00CB4707" w:rsidRDefault="00CB4707" w:rsidP="00CB4707">
      <w:pPr>
        <w:spacing w:line="360" w:lineRule="auto"/>
        <w:jc w:val="both"/>
        <w:rPr>
          <w:rFonts w:ascii="Arial" w:hAnsi="Arial" w:cs="Arial"/>
          <w:sz w:val="22"/>
          <w:szCs w:val="22"/>
        </w:rPr>
      </w:pPr>
      <w:r w:rsidRPr="00CB4707">
        <w:rPr>
          <w:rFonts w:ascii="Arial" w:hAnsi="Arial" w:cs="Arial"/>
          <w:sz w:val="22"/>
          <w:szCs w:val="22"/>
        </w:rPr>
        <w:t>This portfolio showcases my involvement with the weekly module content, illustrating my evolving comprehension of creativity, leadership, value creation, and contemporary technology in health and social care. I have examined both theoretical principles and their practical implementation in real-world contexts.  The module's lectures have facilitated my exploration of how creative thinking and innovative strategies may tackle contemporary difficulties in the sector, while also emphasising the significance of good leadership and substantial value creation.  This portfolio applies these concepts to actual health and social care challenges, utilising existing research and contemplating how creativity and technology might foster innovative solutions.  This work seeks to demonstrate my active involvement, analytical reasoning, and reflective learning, illustrating how the module has improved my capacity to contribute to successful and progressive practices in health and social care.</w:t>
      </w:r>
    </w:p>
    <w:p w14:paraId="0E1B5463" w14:textId="77777777" w:rsidR="00C80D0F" w:rsidRPr="00F807A7" w:rsidRDefault="00C80D0F" w:rsidP="008375B5">
      <w:pPr>
        <w:spacing w:line="360" w:lineRule="auto"/>
        <w:rPr>
          <w:rFonts w:ascii="Times New Roman" w:hAnsi="Times New Roman"/>
          <w:i/>
          <w:iCs/>
        </w:rPr>
      </w:pPr>
    </w:p>
    <w:p w14:paraId="4981050C" w14:textId="3EDEF2D0" w:rsidR="00871C29" w:rsidRPr="00F807A7" w:rsidRDefault="00871C29" w:rsidP="00E71E0B">
      <w:pPr>
        <w:pStyle w:val="Heading2"/>
      </w:pPr>
      <w:bookmarkStart w:id="1" w:name="_Toc218716936"/>
      <w:r w:rsidRPr="00F807A7">
        <w:t>Task 1- Defining Key Concepts in Practice</w:t>
      </w:r>
      <w:bookmarkEnd w:id="1"/>
    </w:p>
    <w:p w14:paraId="75AB8834" w14:textId="5090D9E5" w:rsidR="00871C29" w:rsidRPr="00B83878" w:rsidRDefault="00B83878" w:rsidP="00B83878">
      <w:pPr>
        <w:spacing w:line="360" w:lineRule="auto"/>
        <w:jc w:val="both"/>
        <w:rPr>
          <w:rFonts w:ascii="Arial" w:hAnsi="Arial" w:cs="Arial"/>
          <w:sz w:val="22"/>
          <w:szCs w:val="22"/>
        </w:rPr>
      </w:pPr>
      <w:r w:rsidRPr="00B83878">
        <w:rPr>
          <w:rFonts w:ascii="Arial" w:hAnsi="Arial" w:cs="Arial"/>
          <w:sz w:val="22"/>
          <w:szCs w:val="22"/>
        </w:rPr>
        <w:t>Innovation is typically defined as the execution of novel ideas, processes, or services that yield enhanced results (Tidd &amp; Bessant, 2021). modification in health and social care is crucial since it enhances service quality, safety, and efficiency. It allows businesses to direct increasing patient demands, resource limitations, and evolving demographics. The implementation of remote monitoring technology for persons with chronic diseases has revolutionised community care by facilitating early diagnosis of deterioration and decreasing hospital admissions. This illustrates how innovation can improve both the quality of care and resource management.</w:t>
      </w:r>
      <w:r w:rsidR="00871C29" w:rsidRPr="00B83878">
        <w:rPr>
          <w:rFonts w:ascii="Arial" w:hAnsi="Arial" w:cs="Arial"/>
          <w:sz w:val="22"/>
          <w:szCs w:val="22"/>
        </w:rPr>
        <w:t xml:space="preserve"> </w:t>
      </w:r>
    </w:p>
    <w:p w14:paraId="509533D7" w14:textId="3B8EC2E7" w:rsidR="00871C29" w:rsidRDefault="00557AD2" w:rsidP="00557AD2">
      <w:pPr>
        <w:spacing w:line="360" w:lineRule="auto"/>
        <w:jc w:val="both"/>
        <w:rPr>
          <w:rFonts w:ascii="Arial" w:hAnsi="Arial" w:cs="Arial"/>
          <w:sz w:val="22"/>
          <w:szCs w:val="22"/>
        </w:rPr>
      </w:pPr>
      <w:r w:rsidRPr="00557AD2">
        <w:rPr>
          <w:rFonts w:ascii="Arial" w:hAnsi="Arial" w:cs="Arial"/>
          <w:sz w:val="22"/>
          <w:szCs w:val="22"/>
        </w:rPr>
        <w:t>Creativity contributes to the production of original and important concepts (Amabile, 2018). In health and social care, creativity is essential as numerous challenges—such as workforce shortages, rising demand, and constrained funding—necessitate adaptable and innovative problem-solving. Creative thinking drives practitioners to investigate alternatives rather than depend exclusively on conventional procedures. Creative therapeutic modalities, including art and music therapy in dementia care, have demonstrated efficacy in alleviating anxiety and facilitating emotional expression. This example explains how creativity can foster more individualised and significant care experiences.</w:t>
      </w:r>
    </w:p>
    <w:p w14:paraId="40172B0C" w14:textId="7CF34FAE" w:rsidR="005C3244" w:rsidRDefault="005C3244" w:rsidP="00557AD2">
      <w:pPr>
        <w:spacing w:line="360" w:lineRule="auto"/>
        <w:jc w:val="both"/>
        <w:rPr>
          <w:rFonts w:ascii="Arial" w:hAnsi="Arial" w:cs="Arial"/>
          <w:sz w:val="22"/>
          <w:szCs w:val="22"/>
        </w:rPr>
      </w:pPr>
      <w:r w:rsidRPr="005C3244">
        <w:rPr>
          <w:rFonts w:ascii="Arial" w:hAnsi="Arial" w:cs="Arial"/>
          <w:sz w:val="22"/>
          <w:szCs w:val="22"/>
        </w:rPr>
        <w:t xml:space="preserve">Value creation entails producing advantages for service consumers, organisations, and society at large through optimised procedures, superior outcomes, or enriched experiences (Porter, 2010). In health and social care, the generation of value is becoming increasingly </w:t>
      </w:r>
      <w:r w:rsidRPr="005C3244">
        <w:rPr>
          <w:rFonts w:ascii="Arial" w:hAnsi="Arial" w:cs="Arial"/>
          <w:sz w:val="22"/>
          <w:szCs w:val="22"/>
        </w:rPr>
        <w:lastRenderedPageBreak/>
        <w:t>vital due to the need for high-quality services amid constrained resources. Value is generated when care is secure, individualised, and economically efficient. An illustrative instance is the transition to integrated care systems, wherein cooperation across health and social care providers minimises redundancy and enhances continuity of service. This guarantees that users have synchronised assistance, enhancing overall value.</w:t>
      </w:r>
    </w:p>
    <w:p w14:paraId="654C2800" w14:textId="7211D157" w:rsidR="0013308F" w:rsidRPr="00557AD2" w:rsidRDefault="0013308F" w:rsidP="00557AD2">
      <w:pPr>
        <w:spacing w:line="360" w:lineRule="auto"/>
        <w:jc w:val="both"/>
        <w:rPr>
          <w:rFonts w:ascii="Arial" w:hAnsi="Arial" w:cs="Arial"/>
          <w:sz w:val="22"/>
          <w:szCs w:val="22"/>
        </w:rPr>
      </w:pPr>
      <w:r w:rsidRPr="0013308F">
        <w:rPr>
          <w:rFonts w:ascii="Arial" w:hAnsi="Arial" w:cs="Arial"/>
          <w:sz w:val="22"/>
          <w:szCs w:val="22"/>
        </w:rPr>
        <w:t>Change is characterised as the action of developing or altering services, structures, or behaviours in reaction to internal or external influences (Kotter, 2012). Change is inevitable in health and social care as the sector must consistently adapt to policy reforms, technological advancements, and shifting population requirements. An illustration is the modification of emergency care pathways to diminish waiting times, frequently necessitating alterations in leadership strategies, staffing frameworks, and operational processes. Efficient change management guarantees that enhancements are enduring and congruent with service-user requirements.</w:t>
      </w:r>
    </w:p>
    <w:p w14:paraId="06F2B02D" w14:textId="77777777" w:rsidR="00871C29" w:rsidRPr="00F807A7" w:rsidRDefault="00871C29" w:rsidP="008375B5">
      <w:pPr>
        <w:spacing w:line="360" w:lineRule="auto"/>
        <w:rPr>
          <w:rFonts w:ascii="Times New Roman" w:hAnsi="Times New Roman"/>
          <w:b/>
          <w:bCs/>
        </w:rPr>
      </w:pPr>
    </w:p>
    <w:p w14:paraId="275D657F" w14:textId="069647EA" w:rsidR="00871C29" w:rsidRPr="00F807A7" w:rsidRDefault="00871C29" w:rsidP="00E71E0B">
      <w:pPr>
        <w:pStyle w:val="Heading2"/>
      </w:pPr>
      <w:bookmarkStart w:id="2" w:name="_Toc218716937"/>
      <w:r w:rsidRPr="00F807A7">
        <w:t>Task 2 -Mind Map</w:t>
      </w:r>
      <w:bookmarkEnd w:id="2"/>
    </w:p>
    <w:p w14:paraId="6A9DCC38" w14:textId="43A461B6" w:rsidR="00A6779E" w:rsidRPr="002F67CE" w:rsidRDefault="00A6779E" w:rsidP="002F67CE">
      <w:pPr>
        <w:spacing w:line="360" w:lineRule="auto"/>
        <w:jc w:val="both"/>
        <w:rPr>
          <w:rFonts w:ascii="Arial" w:hAnsi="Arial" w:cs="Arial"/>
          <w:sz w:val="22"/>
          <w:szCs w:val="22"/>
        </w:rPr>
      </w:pPr>
      <w:r w:rsidRPr="002F67CE">
        <w:rPr>
          <w:rFonts w:ascii="Arial" w:hAnsi="Arial" w:cs="Arial"/>
          <w:sz w:val="22"/>
          <w:szCs w:val="22"/>
        </w:rPr>
        <w:t>Primary Issue: Enhancing quality and efficiency in healthcare and social services.</w:t>
      </w:r>
    </w:p>
    <w:p w14:paraId="5DF9BA50" w14:textId="6E83A3A3" w:rsidR="002F67CE" w:rsidRPr="00186C32" w:rsidRDefault="00A6779E" w:rsidP="00186C32">
      <w:pPr>
        <w:numPr>
          <w:ilvl w:val="0"/>
          <w:numId w:val="9"/>
        </w:numPr>
        <w:spacing w:line="360" w:lineRule="auto"/>
        <w:jc w:val="both"/>
        <w:rPr>
          <w:rFonts w:ascii="Arial" w:hAnsi="Arial" w:cs="Arial"/>
          <w:sz w:val="22"/>
          <w:szCs w:val="22"/>
        </w:rPr>
      </w:pPr>
      <w:r w:rsidRPr="002F67CE">
        <w:rPr>
          <w:rFonts w:ascii="Arial" w:hAnsi="Arial" w:cs="Arial"/>
          <w:sz w:val="22"/>
          <w:szCs w:val="22"/>
        </w:rPr>
        <w:t>Service Recipients</w:t>
      </w:r>
      <w:r w:rsidR="00186C32">
        <w:rPr>
          <w:rFonts w:ascii="Arial" w:hAnsi="Arial" w:cs="Arial"/>
          <w:sz w:val="22"/>
          <w:szCs w:val="22"/>
        </w:rPr>
        <w:t xml:space="preserve">, </w:t>
      </w:r>
      <w:r w:rsidRPr="00186C32">
        <w:rPr>
          <w:rFonts w:ascii="Arial" w:hAnsi="Arial" w:cs="Arial"/>
          <w:sz w:val="22"/>
          <w:szCs w:val="22"/>
        </w:rPr>
        <w:t>Patient-</w:t>
      </w:r>
      <w:r w:rsidR="00186C32" w:rsidRPr="00186C32">
        <w:rPr>
          <w:rFonts w:ascii="Arial" w:hAnsi="Arial" w:cs="Arial"/>
          <w:sz w:val="22"/>
          <w:szCs w:val="22"/>
        </w:rPr>
        <w:t>centred</w:t>
      </w:r>
      <w:r w:rsidRPr="00186C32">
        <w:rPr>
          <w:rFonts w:ascii="Arial" w:hAnsi="Arial" w:cs="Arial"/>
          <w:sz w:val="22"/>
          <w:szCs w:val="22"/>
        </w:rPr>
        <w:t xml:space="preserve"> care</w:t>
      </w:r>
      <w:r w:rsidR="00117112" w:rsidRPr="00186C32">
        <w:rPr>
          <w:rFonts w:ascii="Arial" w:hAnsi="Arial" w:cs="Arial"/>
          <w:sz w:val="22"/>
          <w:szCs w:val="22"/>
        </w:rPr>
        <w:t xml:space="preserve">, </w:t>
      </w:r>
      <w:r w:rsidRPr="00186C32">
        <w:rPr>
          <w:rFonts w:ascii="Arial" w:hAnsi="Arial" w:cs="Arial"/>
          <w:sz w:val="22"/>
          <w:szCs w:val="22"/>
        </w:rPr>
        <w:t>Clear communication</w:t>
      </w:r>
      <w:r w:rsidR="00117112" w:rsidRPr="00186C32">
        <w:rPr>
          <w:rFonts w:ascii="Arial" w:hAnsi="Arial" w:cs="Arial"/>
          <w:sz w:val="22"/>
          <w:szCs w:val="22"/>
        </w:rPr>
        <w:t xml:space="preserve">, </w:t>
      </w:r>
      <w:r w:rsidRPr="00186C32">
        <w:rPr>
          <w:rFonts w:ascii="Arial" w:hAnsi="Arial" w:cs="Arial"/>
          <w:sz w:val="22"/>
          <w:szCs w:val="22"/>
        </w:rPr>
        <w:t>Precautionary action</w:t>
      </w:r>
      <w:r w:rsidR="00117112" w:rsidRPr="00186C32">
        <w:rPr>
          <w:rFonts w:ascii="Arial" w:hAnsi="Arial" w:cs="Arial"/>
          <w:sz w:val="22"/>
          <w:szCs w:val="22"/>
        </w:rPr>
        <w:t xml:space="preserve">, </w:t>
      </w:r>
      <w:r w:rsidRPr="00186C32">
        <w:rPr>
          <w:rFonts w:ascii="Arial" w:hAnsi="Arial" w:cs="Arial"/>
          <w:sz w:val="22"/>
          <w:szCs w:val="22"/>
        </w:rPr>
        <w:t>Protection and respect</w:t>
      </w:r>
      <w:r w:rsidR="00117112" w:rsidRPr="00186C32">
        <w:rPr>
          <w:rFonts w:ascii="Arial" w:hAnsi="Arial" w:cs="Arial"/>
          <w:sz w:val="22"/>
          <w:szCs w:val="22"/>
        </w:rPr>
        <w:t>.</w:t>
      </w:r>
    </w:p>
    <w:p w14:paraId="3615A91A" w14:textId="77777777" w:rsidR="00117112" w:rsidRDefault="00A6779E" w:rsidP="00117112">
      <w:pPr>
        <w:numPr>
          <w:ilvl w:val="0"/>
          <w:numId w:val="9"/>
        </w:numPr>
        <w:spacing w:line="360" w:lineRule="auto"/>
        <w:jc w:val="both"/>
        <w:rPr>
          <w:rFonts w:ascii="Arial" w:hAnsi="Arial" w:cs="Arial"/>
          <w:sz w:val="22"/>
          <w:szCs w:val="22"/>
        </w:rPr>
      </w:pPr>
      <w:r w:rsidRPr="002F67CE">
        <w:rPr>
          <w:rFonts w:ascii="Arial" w:hAnsi="Arial" w:cs="Arial"/>
          <w:sz w:val="22"/>
          <w:szCs w:val="22"/>
        </w:rPr>
        <w:t>Labour Challenges</w:t>
      </w:r>
      <w:r w:rsidR="00117112">
        <w:rPr>
          <w:rFonts w:ascii="Arial" w:hAnsi="Arial" w:cs="Arial"/>
          <w:sz w:val="22"/>
          <w:szCs w:val="22"/>
        </w:rPr>
        <w:t xml:space="preserve">, </w:t>
      </w:r>
      <w:r w:rsidRPr="00117112">
        <w:rPr>
          <w:rFonts w:ascii="Arial" w:hAnsi="Arial" w:cs="Arial"/>
          <w:sz w:val="22"/>
          <w:szCs w:val="22"/>
        </w:rPr>
        <w:t>Instruction and vocational advancement</w:t>
      </w:r>
      <w:r w:rsidR="00117112">
        <w:rPr>
          <w:rFonts w:ascii="Arial" w:hAnsi="Arial" w:cs="Arial"/>
          <w:sz w:val="22"/>
          <w:szCs w:val="22"/>
        </w:rPr>
        <w:t xml:space="preserve">, </w:t>
      </w:r>
      <w:r w:rsidRPr="00117112">
        <w:rPr>
          <w:rFonts w:ascii="Arial" w:hAnsi="Arial" w:cs="Arial"/>
          <w:sz w:val="22"/>
          <w:szCs w:val="22"/>
        </w:rPr>
        <w:t>Support from leadership</w:t>
      </w:r>
      <w:r w:rsidR="00117112">
        <w:rPr>
          <w:rFonts w:ascii="Arial" w:hAnsi="Arial" w:cs="Arial"/>
          <w:sz w:val="22"/>
          <w:szCs w:val="22"/>
        </w:rPr>
        <w:t xml:space="preserve">, </w:t>
      </w:r>
      <w:r w:rsidRPr="00117112">
        <w:rPr>
          <w:rFonts w:ascii="Arial" w:hAnsi="Arial" w:cs="Arial"/>
          <w:sz w:val="22"/>
          <w:szCs w:val="22"/>
        </w:rPr>
        <w:t>Mitigating burnout</w:t>
      </w:r>
      <w:r w:rsidR="00117112">
        <w:rPr>
          <w:rFonts w:ascii="Arial" w:hAnsi="Arial" w:cs="Arial"/>
          <w:sz w:val="22"/>
          <w:szCs w:val="22"/>
        </w:rPr>
        <w:t xml:space="preserve">, </w:t>
      </w:r>
      <w:r w:rsidRPr="00117112">
        <w:rPr>
          <w:rFonts w:ascii="Arial" w:hAnsi="Arial" w:cs="Arial"/>
          <w:sz w:val="22"/>
          <w:szCs w:val="22"/>
        </w:rPr>
        <w:t>Efficient collaboration</w:t>
      </w:r>
      <w:r w:rsidR="00117112">
        <w:rPr>
          <w:rFonts w:ascii="Arial" w:hAnsi="Arial" w:cs="Arial"/>
          <w:sz w:val="22"/>
          <w:szCs w:val="22"/>
        </w:rPr>
        <w:t>.</w:t>
      </w:r>
    </w:p>
    <w:p w14:paraId="541516F5" w14:textId="6104839E" w:rsidR="00117112" w:rsidRPr="00117112" w:rsidRDefault="00A6779E" w:rsidP="00117112">
      <w:pPr>
        <w:numPr>
          <w:ilvl w:val="0"/>
          <w:numId w:val="9"/>
        </w:numPr>
        <w:spacing w:line="360" w:lineRule="auto"/>
        <w:jc w:val="both"/>
        <w:rPr>
          <w:rFonts w:ascii="Arial" w:hAnsi="Arial" w:cs="Arial"/>
          <w:sz w:val="22"/>
          <w:szCs w:val="22"/>
        </w:rPr>
      </w:pPr>
      <w:r w:rsidRPr="00117112">
        <w:rPr>
          <w:rFonts w:ascii="Arial" w:hAnsi="Arial" w:cs="Arial"/>
          <w:sz w:val="22"/>
          <w:szCs w:val="22"/>
        </w:rPr>
        <w:t>Technology and Innovation</w:t>
      </w:r>
      <w:r w:rsidR="00117112">
        <w:rPr>
          <w:rFonts w:ascii="Arial" w:hAnsi="Arial" w:cs="Arial"/>
          <w:sz w:val="22"/>
          <w:szCs w:val="22"/>
        </w:rPr>
        <w:t xml:space="preserve">, </w:t>
      </w:r>
      <w:r w:rsidRPr="00117112">
        <w:rPr>
          <w:rFonts w:ascii="Arial" w:hAnsi="Arial" w:cs="Arial"/>
          <w:sz w:val="22"/>
          <w:szCs w:val="22"/>
        </w:rPr>
        <w:t>Electronic documentation</w:t>
      </w:r>
      <w:r w:rsidR="00117112">
        <w:rPr>
          <w:rFonts w:ascii="Arial" w:hAnsi="Arial" w:cs="Arial"/>
          <w:sz w:val="22"/>
          <w:szCs w:val="22"/>
        </w:rPr>
        <w:t xml:space="preserve">, </w:t>
      </w:r>
      <w:r w:rsidRPr="00117112">
        <w:rPr>
          <w:rFonts w:ascii="Arial" w:hAnsi="Arial" w:cs="Arial"/>
          <w:sz w:val="22"/>
          <w:szCs w:val="22"/>
        </w:rPr>
        <w:t>Remote surveillance</w:t>
      </w:r>
      <w:r w:rsidR="00117112">
        <w:rPr>
          <w:rFonts w:ascii="Arial" w:hAnsi="Arial" w:cs="Arial"/>
          <w:sz w:val="22"/>
          <w:szCs w:val="22"/>
        </w:rPr>
        <w:t xml:space="preserve">, </w:t>
      </w:r>
      <w:r w:rsidRPr="00117112">
        <w:rPr>
          <w:rFonts w:ascii="Arial" w:hAnsi="Arial" w:cs="Arial"/>
          <w:sz w:val="22"/>
          <w:szCs w:val="22"/>
        </w:rPr>
        <w:t>Assistive technology</w:t>
      </w:r>
      <w:r w:rsidR="00117112">
        <w:rPr>
          <w:rFonts w:ascii="Arial" w:hAnsi="Arial" w:cs="Arial"/>
          <w:sz w:val="22"/>
          <w:szCs w:val="22"/>
        </w:rPr>
        <w:t xml:space="preserve">, </w:t>
      </w:r>
      <w:r w:rsidRPr="00117112">
        <w:rPr>
          <w:rFonts w:ascii="Arial" w:hAnsi="Arial" w:cs="Arial"/>
          <w:sz w:val="22"/>
          <w:szCs w:val="22"/>
        </w:rPr>
        <w:t>Decision-making based on data analysis</w:t>
      </w:r>
      <w:r w:rsidR="00117112">
        <w:rPr>
          <w:rFonts w:ascii="Arial" w:hAnsi="Arial" w:cs="Arial"/>
          <w:sz w:val="22"/>
          <w:szCs w:val="22"/>
        </w:rPr>
        <w:t>.</w:t>
      </w:r>
    </w:p>
    <w:p w14:paraId="02F488D8" w14:textId="2810347F" w:rsidR="00117112" w:rsidRPr="00117112" w:rsidRDefault="00A6779E" w:rsidP="00117112">
      <w:pPr>
        <w:numPr>
          <w:ilvl w:val="0"/>
          <w:numId w:val="9"/>
        </w:numPr>
        <w:spacing w:line="360" w:lineRule="auto"/>
        <w:jc w:val="both"/>
        <w:rPr>
          <w:rFonts w:ascii="Arial" w:hAnsi="Arial" w:cs="Arial"/>
          <w:sz w:val="22"/>
          <w:szCs w:val="22"/>
        </w:rPr>
      </w:pPr>
      <w:r w:rsidRPr="002F67CE">
        <w:rPr>
          <w:rFonts w:ascii="Arial" w:hAnsi="Arial" w:cs="Arial"/>
          <w:sz w:val="22"/>
          <w:szCs w:val="22"/>
        </w:rPr>
        <w:t>Value Generation</w:t>
      </w:r>
      <w:r w:rsidR="00117112">
        <w:rPr>
          <w:rFonts w:ascii="Arial" w:hAnsi="Arial" w:cs="Arial"/>
          <w:sz w:val="22"/>
          <w:szCs w:val="22"/>
        </w:rPr>
        <w:t xml:space="preserve">, </w:t>
      </w:r>
      <w:r w:rsidRPr="00117112">
        <w:rPr>
          <w:rFonts w:ascii="Arial" w:hAnsi="Arial" w:cs="Arial"/>
          <w:sz w:val="22"/>
          <w:szCs w:val="22"/>
        </w:rPr>
        <w:t>Economical methodologies</w:t>
      </w:r>
      <w:r w:rsidR="00117112">
        <w:rPr>
          <w:rFonts w:ascii="Arial" w:hAnsi="Arial" w:cs="Arial"/>
          <w:sz w:val="22"/>
          <w:szCs w:val="22"/>
        </w:rPr>
        <w:t xml:space="preserve">, </w:t>
      </w:r>
      <w:r w:rsidRPr="00117112">
        <w:rPr>
          <w:rFonts w:ascii="Arial" w:hAnsi="Arial" w:cs="Arial"/>
          <w:sz w:val="22"/>
          <w:szCs w:val="22"/>
        </w:rPr>
        <w:t>Enhanced results</w:t>
      </w:r>
      <w:r w:rsidR="00117112">
        <w:rPr>
          <w:rFonts w:ascii="Arial" w:hAnsi="Arial" w:cs="Arial"/>
          <w:sz w:val="22"/>
          <w:szCs w:val="22"/>
        </w:rPr>
        <w:t xml:space="preserve">, </w:t>
      </w:r>
      <w:r w:rsidRPr="00117112">
        <w:rPr>
          <w:rFonts w:ascii="Arial" w:hAnsi="Arial" w:cs="Arial"/>
          <w:sz w:val="22"/>
          <w:szCs w:val="22"/>
        </w:rPr>
        <w:t>Decreased latency</w:t>
      </w:r>
      <w:r w:rsidR="002D64DC">
        <w:rPr>
          <w:rFonts w:ascii="Arial" w:hAnsi="Arial" w:cs="Arial"/>
          <w:sz w:val="22"/>
          <w:szCs w:val="22"/>
        </w:rPr>
        <w:t xml:space="preserve">, </w:t>
      </w:r>
      <w:r w:rsidRPr="00117112">
        <w:rPr>
          <w:rFonts w:ascii="Arial" w:hAnsi="Arial" w:cs="Arial"/>
          <w:sz w:val="22"/>
          <w:szCs w:val="22"/>
        </w:rPr>
        <w:t>Coordinated care pathways</w:t>
      </w:r>
      <w:r w:rsidR="002D64DC">
        <w:rPr>
          <w:rFonts w:ascii="Arial" w:hAnsi="Arial" w:cs="Arial"/>
          <w:sz w:val="22"/>
          <w:szCs w:val="22"/>
        </w:rPr>
        <w:t>.</w:t>
      </w:r>
    </w:p>
    <w:p w14:paraId="391B69EA" w14:textId="64B4B0C1" w:rsidR="00A6779E" w:rsidRPr="002D64DC" w:rsidRDefault="00A6779E" w:rsidP="002F67CE">
      <w:pPr>
        <w:numPr>
          <w:ilvl w:val="0"/>
          <w:numId w:val="9"/>
        </w:numPr>
        <w:spacing w:line="360" w:lineRule="auto"/>
        <w:jc w:val="both"/>
        <w:rPr>
          <w:rFonts w:ascii="Arial" w:hAnsi="Arial" w:cs="Arial"/>
          <w:sz w:val="22"/>
          <w:szCs w:val="22"/>
        </w:rPr>
      </w:pPr>
      <w:r w:rsidRPr="002F67CE">
        <w:rPr>
          <w:rFonts w:ascii="Arial" w:hAnsi="Arial" w:cs="Arial"/>
          <w:sz w:val="22"/>
          <w:szCs w:val="22"/>
        </w:rPr>
        <w:t>Innovation and Solution Development</w:t>
      </w:r>
      <w:r w:rsidR="002D64DC">
        <w:rPr>
          <w:rFonts w:ascii="Arial" w:hAnsi="Arial" w:cs="Arial"/>
          <w:sz w:val="22"/>
          <w:szCs w:val="22"/>
        </w:rPr>
        <w:t xml:space="preserve">, </w:t>
      </w:r>
      <w:r w:rsidRPr="002D64DC">
        <w:rPr>
          <w:rFonts w:ascii="Arial" w:hAnsi="Arial" w:cs="Arial"/>
          <w:sz w:val="22"/>
          <w:szCs w:val="22"/>
        </w:rPr>
        <w:t>Innovative care models</w:t>
      </w:r>
      <w:r w:rsidR="00117112" w:rsidRPr="002D64DC">
        <w:rPr>
          <w:rFonts w:ascii="Arial" w:hAnsi="Arial" w:cs="Arial"/>
          <w:sz w:val="22"/>
          <w:szCs w:val="22"/>
        </w:rPr>
        <w:t xml:space="preserve">, </w:t>
      </w:r>
      <w:r w:rsidRPr="002D64DC">
        <w:rPr>
          <w:rFonts w:ascii="Arial" w:hAnsi="Arial" w:cs="Arial"/>
          <w:sz w:val="22"/>
          <w:szCs w:val="22"/>
        </w:rPr>
        <w:t>Adaptable methodologies</w:t>
      </w:r>
      <w:r w:rsidR="002D64DC">
        <w:rPr>
          <w:rFonts w:ascii="Arial" w:hAnsi="Arial" w:cs="Arial"/>
          <w:sz w:val="22"/>
          <w:szCs w:val="22"/>
        </w:rPr>
        <w:t xml:space="preserve">, </w:t>
      </w:r>
      <w:r w:rsidRPr="002D64DC">
        <w:rPr>
          <w:rFonts w:ascii="Arial" w:hAnsi="Arial" w:cs="Arial"/>
          <w:sz w:val="22"/>
          <w:szCs w:val="22"/>
        </w:rPr>
        <w:t>Cooperative concepts</w:t>
      </w:r>
      <w:r w:rsidR="002D64DC">
        <w:rPr>
          <w:rFonts w:ascii="Arial" w:hAnsi="Arial" w:cs="Arial"/>
          <w:sz w:val="22"/>
          <w:szCs w:val="22"/>
        </w:rPr>
        <w:t xml:space="preserve">, </w:t>
      </w:r>
      <w:r w:rsidRPr="002D64DC">
        <w:rPr>
          <w:rFonts w:ascii="Arial" w:hAnsi="Arial" w:cs="Arial"/>
          <w:sz w:val="22"/>
          <w:szCs w:val="22"/>
        </w:rPr>
        <w:t>Participation of users in the design process</w:t>
      </w:r>
      <w:r w:rsidR="002D64DC">
        <w:rPr>
          <w:rFonts w:ascii="Arial" w:hAnsi="Arial" w:cs="Arial"/>
          <w:sz w:val="22"/>
          <w:szCs w:val="22"/>
        </w:rPr>
        <w:t>.</w:t>
      </w:r>
    </w:p>
    <w:p w14:paraId="450B86FD" w14:textId="038F5BAC" w:rsidR="00871C29" w:rsidRPr="002F67CE" w:rsidRDefault="00A6779E" w:rsidP="002F67CE">
      <w:pPr>
        <w:spacing w:line="360" w:lineRule="auto"/>
        <w:jc w:val="both"/>
        <w:rPr>
          <w:rFonts w:ascii="Arial" w:hAnsi="Arial" w:cs="Arial"/>
          <w:sz w:val="22"/>
          <w:szCs w:val="22"/>
        </w:rPr>
      </w:pPr>
      <w:r w:rsidRPr="002F67CE">
        <w:rPr>
          <w:rFonts w:ascii="Arial" w:hAnsi="Arial" w:cs="Arial"/>
          <w:sz w:val="22"/>
          <w:szCs w:val="22"/>
        </w:rPr>
        <w:t>This mind map emphasises the essential domains required to tackle contemporary challenges in health and social care through the integration of creativity, leadership, innovation, value generation, and user-centric solutions.</w:t>
      </w:r>
    </w:p>
    <w:p w14:paraId="6646672F" w14:textId="77777777" w:rsidR="00871C29" w:rsidRPr="00F807A7" w:rsidRDefault="00871C29" w:rsidP="008375B5">
      <w:pPr>
        <w:spacing w:line="360" w:lineRule="auto"/>
        <w:rPr>
          <w:rFonts w:ascii="Times New Roman" w:hAnsi="Times New Roman"/>
          <w:color w:val="0070C0"/>
        </w:rPr>
      </w:pPr>
    </w:p>
    <w:p w14:paraId="35F156A8" w14:textId="77777777" w:rsidR="00871C29" w:rsidRPr="00F807A7" w:rsidRDefault="00871C29" w:rsidP="008375B5">
      <w:pPr>
        <w:spacing w:line="360" w:lineRule="auto"/>
        <w:rPr>
          <w:rFonts w:ascii="Times New Roman" w:hAnsi="Times New Roman"/>
          <w:color w:val="0070C0"/>
        </w:rPr>
      </w:pPr>
    </w:p>
    <w:p w14:paraId="06964A0B" w14:textId="4F2F69E3" w:rsidR="00871C29" w:rsidRPr="00F807A7" w:rsidRDefault="00871C29" w:rsidP="00E71E0B">
      <w:pPr>
        <w:pStyle w:val="Heading2"/>
        <w:rPr>
          <w:lang w:val="en-US" w:eastAsia="en-GB"/>
        </w:rPr>
      </w:pPr>
      <w:bookmarkStart w:id="3" w:name="_Toc218716938"/>
      <w:r w:rsidRPr="00F807A7">
        <w:rPr>
          <w:lang w:val="en-US" w:eastAsia="en-GB"/>
        </w:rPr>
        <w:lastRenderedPageBreak/>
        <w:t>Task 3 - Self-Reflection of Group Activity.</w:t>
      </w:r>
      <w:bookmarkEnd w:id="3"/>
    </w:p>
    <w:p w14:paraId="01728481" w14:textId="77777777" w:rsidR="00864D76" w:rsidRPr="00864D76" w:rsidRDefault="00864D76" w:rsidP="00864D76">
      <w:pPr>
        <w:spacing w:line="360" w:lineRule="auto"/>
        <w:jc w:val="both"/>
        <w:rPr>
          <w:rFonts w:ascii="Arial" w:hAnsi="Arial" w:cs="Arial"/>
          <w:sz w:val="22"/>
          <w:szCs w:val="22"/>
        </w:rPr>
      </w:pPr>
      <w:r w:rsidRPr="00864D76">
        <w:rPr>
          <w:rFonts w:ascii="Arial" w:hAnsi="Arial" w:cs="Arial"/>
          <w:sz w:val="22"/>
          <w:szCs w:val="22"/>
        </w:rPr>
        <w:t>I utilised Gibbs’ Reflective Cycle (1988) to contemplate my experience during the convergent and divergent thinking class activity. Divergent thinking entails the generation of numerous ideas or alternatives, whereas convergent thinking emphasises the selection and refinement of the most effective answer (Cropley, 2006). In the group activity, we initially employed divergent thinking to generate innovative solutions to a health and social care issue. I contributed by proposing other alternative approaches, including those that initially appeared implausible, thereby aiding the group in broadening their perspective.</w:t>
      </w:r>
    </w:p>
    <w:p w14:paraId="62DCD52C" w14:textId="77777777" w:rsidR="00864D76" w:rsidRPr="00864D76" w:rsidRDefault="00864D76" w:rsidP="00864D76">
      <w:pPr>
        <w:spacing w:line="360" w:lineRule="auto"/>
        <w:jc w:val="both"/>
        <w:rPr>
          <w:rFonts w:ascii="Arial" w:hAnsi="Arial" w:cs="Arial"/>
          <w:sz w:val="22"/>
          <w:szCs w:val="22"/>
        </w:rPr>
      </w:pPr>
      <w:r w:rsidRPr="00864D76">
        <w:rPr>
          <w:rFonts w:ascii="Arial" w:hAnsi="Arial" w:cs="Arial"/>
          <w:sz w:val="22"/>
          <w:szCs w:val="22"/>
        </w:rPr>
        <w:t>In the group, we assessed the concepts and chose the most feasible alternative. I found this step more arduous, as it necessitated the refinement of concepts and the application of critical judgement. Collaborative efforts facilitated the equilibrium between creativity and rational decision-making.</w:t>
      </w:r>
    </w:p>
    <w:p w14:paraId="691539DF" w14:textId="77777777" w:rsidR="00864D76" w:rsidRPr="00864D76" w:rsidRDefault="00864D76" w:rsidP="00864D76">
      <w:pPr>
        <w:spacing w:line="360" w:lineRule="auto"/>
        <w:jc w:val="both"/>
        <w:rPr>
          <w:rFonts w:ascii="Arial" w:hAnsi="Arial" w:cs="Arial"/>
          <w:sz w:val="22"/>
          <w:szCs w:val="22"/>
        </w:rPr>
      </w:pPr>
      <w:r w:rsidRPr="00864D76">
        <w:rPr>
          <w:rFonts w:ascii="Arial" w:hAnsi="Arial" w:cs="Arial"/>
          <w:sz w:val="22"/>
          <w:szCs w:val="22"/>
        </w:rPr>
        <w:t>This practice revealed my inherent preference for diverse thinking, as I take pleasure in freely producing thoughts. Nonetheless, I acknowledged the significance of enhancing my convergent thinking abilities to evaluate possibilities more methodically. The activity underscored the significance of collaboration, as the integration of many cognitive approaches enhanced our ultimate answer.</w:t>
      </w:r>
    </w:p>
    <w:p w14:paraId="4EA347C2" w14:textId="0F065886" w:rsidR="00C80D0F" w:rsidRPr="00864D76" w:rsidRDefault="00864D76" w:rsidP="00864D76">
      <w:pPr>
        <w:spacing w:line="360" w:lineRule="auto"/>
        <w:jc w:val="both"/>
        <w:rPr>
          <w:rFonts w:ascii="Arial" w:hAnsi="Arial" w:cs="Arial"/>
          <w:sz w:val="22"/>
          <w:szCs w:val="22"/>
        </w:rPr>
      </w:pPr>
      <w:r w:rsidRPr="00864D76">
        <w:rPr>
          <w:rFonts w:ascii="Arial" w:hAnsi="Arial" w:cs="Arial"/>
          <w:sz w:val="22"/>
          <w:szCs w:val="22"/>
        </w:rPr>
        <w:t>The activity improved my understanding of my cognitive strengths and developmental areas, especially in organised decision-making in group context</w:t>
      </w:r>
    </w:p>
    <w:p w14:paraId="784969F2" w14:textId="77777777" w:rsidR="00871C29" w:rsidRPr="00F807A7" w:rsidRDefault="00871C29" w:rsidP="008375B5">
      <w:pPr>
        <w:spacing w:line="360" w:lineRule="auto"/>
        <w:rPr>
          <w:rFonts w:ascii="Times New Roman" w:hAnsi="Times New Roman"/>
          <w:i/>
          <w:iCs/>
          <w:color w:val="0070C0"/>
        </w:rPr>
      </w:pPr>
    </w:p>
    <w:p w14:paraId="33724E38" w14:textId="163A178F" w:rsidR="00C80D0F" w:rsidRPr="00F807A7" w:rsidRDefault="00871C29" w:rsidP="00E71E0B">
      <w:pPr>
        <w:pStyle w:val="Heading2"/>
      </w:pPr>
      <w:bookmarkStart w:id="4" w:name="_Toc218716939"/>
      <w:r w:rsidRPr="00F807A7">
        <w:t>Task 4 - Case Study Analysis of a UK Innovation</w:t>
      </w:r>
      <w:bookmarkEnd w:id="4"/>
      <w:r w:rsidR="00C80D0F" w:rsidRPr="00F807A7">
        <w:t xml:space="preserve"> </w:t>
      </w:r>
    </w:p>
    <w:p w14:paraId="432F8400" w14:textId="4E5B862B" w:rsidR="00C80D0F" w:rsidRDefault="00F8221F" w:rsidP="00F8221F">
      <w:pPr>
        <w:spacing w:line="360" w:lineRule="auto"/>
        <w:jc w:val="both"/>
        <w:rPr>
          <w:rFonts w:ascii="Arial" w:hAnsi="Arial" w:cs="Arial"/>
          <w:sz w:val="22"/>
          <w:szCs w:val="22"/>
        </w:rPr>
      </w:pPr>
      <w:r w:rsidRPr="00F8221F">
        <w:rPr>
          <w:rFonts w:ascii="Arial" w:hAnsi="Arial" w:cs="Arial"/>
          <w:sz w:val="22"/>
          <w:szCs w:val="22"/>
        </w:rPr>
        <w:t>A significant innovation initiative in the UK health sector is Sleepio, a digital cognitive behavioural therapy (CBT) software implemented inside the NHS to assist individuals with insomnia and associated sleep disorders. Sleepio employs innovation by utilising automated, evidence-based digital information to provide psychological therapy typically administered in person. This innovative application of technology and behavioural science tackles the issue of restricted access to cognitive behavioural therapy for sleep disorders, frequently resulting from a deficiency of qualified therapists and extensive waiting periods. Sleepio enhances accessibility and scalability of effective care through an online self-guided program.</w:t>
      </w:r>
      <w:r w:rsidR="00871C29" w:rsidRPr="00F8221F">
        <w:rPr>
          <w:rFonts w:ascii="Arial" w:hAnsi="Arial" w:cs="Arial"/>
          <w:sz w:val="22"/>
          <w:szCs w:val="22"/>
        </w:rPr>
        <w:t xml:space="preserve"> </w:t>
      </w:r>
    </w:p>
    <w:p w14:paraId="39219F62" w14:textId="74E628F1" w:rsidR="00286E86" w:rsidRDefault="00195E23" w:rsidP="00F8221F">
      <w:pPr>
        <w:spacing w:line="360" w:lineRule="auto"/>
        <w:jc w:val="both"/>
        <w:rPr>
          <w:rFonts w:ascii="Arial" w:hAnsi="Arial" w:cs="Arial"/>
          <w:sz w:val="22"/>
          <w:szCs w:val="22"/>
        </w:rPr>
      </w:pPr>
      <w:r w:rsidRPr="00195E23">
        <w:rPr>
          <w:rFonts w:ascii="Arial" w:hAnsi="Arial" w:cs="Arial"/>
          <w:sz w:val="22"/>
          <w:szCs w:val="22"/>
        </w:rPr>
        <w:t xml:space="preserve">The generated value encompasses improved clinical results, decreased primary care expenses, and augmented patient wellbeing. Randomised controlled trials and NHS reviews indicate that Sleepio substantially alleviates insomnia symptoms and surpasses conventional </w:t>
      </w:r>
      <w:r w:rsidRPr="00195E23">
        <w:rPr>
          <w:rFonts w:ascii="Arial" w:hAnsi="Arial" w:cs="Arial"/>
          <w:sz w:val="22"/>
          <w:szCs w:val="22"/>
        </w:rPr>
        <w:lastRenderedPageBreak/>
        <w:t>sleep hygiene recommendations or pharmacological interventions, with numerous users attaining clinical improvement. Digital distribution alleviates the burden on conventional services and facilitates preventive mental health care.</w:t>
      </w:r>
    </w:p>
    <w:p w14:paraId="216F27D4" w14:textId="36C49EAF" w:rsidR="00E40026" w:rsidRPr="00F8221F" w:rsidRDefault="00E40026" w:rsidP="00F8221F">
      <w:pPr>
        <w:spacing w:line="360" w:lineRule="auto"/>
        <w:jc w:val="both"/>
        <w:rPr>
          <w:rFonts w:ascii="Arial" w:hAnsi="Arial" w:cs="Arial"/>
          <w:sz w:val="22"/>
          <w:szCs w:val="22"/>
        </w:rPr>
      </w:pPr>
      <w:r w:rsidRPr="00E40026">
        <w:rPr>
          <w:rFonts w:ascii="Arial" w:hAnsi="Arial" w:cs="Arial"/>
          <w:sz w:val="22"/>
          <w:szCs w:val="22"/>
        </w:rPr>
        <w:t>Overall, Sleepio illustrates how digital innovation can creatively extend the reach of psychological interventions, improving patient experience and service efficiency in the UK health system</w:t>
      </w:r>
    </w:p>
    <w:p w14:paraId="7AC78F78" w14:textId="77777777" w:rsidR="00871C29" w:rsidRPr="00F807A7" w:rsidRDefault="00871C29" w:rsidP="008375B5">
      <w:pPr>
        <w:spacing w:line="360" w:lineRule="auto"/>
        <w:rPr>
          <w:rFonts w:ascii="Times New Roman" w:hAnsi="Times New Roman"/>
          <w:i/>
          <w:iCs/>
          <w:color w:val="0070C0"/>
        </w:rPr>
      </w:pPr>
    </w:p>
    <w:p w14:paraId="54D7EEDF" w14:textId="779D6060" w:rsidR="00871C29" w:rsidRPr="002F6069" w:rsidRDefault="00871C29" w:rsidP="00E71E0B">
      <w:pPr>
        <w:pStyle w:val="Heading2"/>
      </w:pPr>
      <w:bookmarkStart w:id="5" w:name="_Toc218716940"/>
      <w:r w:rsidRPr="002F6069">
        <w:t>Task 5 - Research Task</w:t>
      </w:r>
      <w:bookmarkEnd w:id="5"/>
      <w:r w:rsidRPr="002F6069">
        <w:t xml:space="preserve"> </w:t>
      </w:r>
    </w:p>
    <w:p w14:paraId="6A8DEE78" w14:textId="489105A8" w:rsidR="00D66494" w:rsidRPr="002F6069" w:rsidRDefault="00D66494" w:rsidP="002F6069">
      <w:pPr>
        <w:spacing w:line="360" w:lineRule="auto"/>
        <w:jc w:val="both"/>
        <w:rPr>
          <w:rFonts w:ascii="Arial" w:hAnsi="Arial" w:cs="Arial"/>
          <w:sz w:val="22"/>
          <w:szCs w:val="22"/>
        </w:rPr>
      </w:pPr>
      <w:r w:rsidRPr="002F6069">
        <w:rPr>
          <w:rFonts w:ascii="Arial" w:hAnsi="Arial" w:cs="Arial"/>
          <w:sz w:val="22"/>
          <w:szCs w:val="22"/>
        </w:rPr>
        <w:t>A pressing issue in health and social care is worker burnout, which adversely impacts workforce wellbeing and the quality of care. Studies indicate that burnout in healthcare professionals is influenced by several occupational pressures. A cross-sectional study indicated a positive correlation between extended working hours and burnout, implying that excessive hours and inadequate rest elevate emotional weariness among healthcare professionals. The study emphasised potential interventions, such as encouraging sufficient sleep to alleviate burnout risks; however, workforce shortages complicate the practical reduction of working hours.</w:t>
      </w:r>
    </w:p>
    <w:p w14:paraId="130155E2" w14:textId="234FF5C2" w:rsidR="00D66494" w:rsidRPr="002F6069" w:rsidRDefault="00D66494" w:rsidP="002F6069">
      <w:pPr>
        <w:spacing w:line="360" w:lineRule="auto"/>
        <w:jc w:val="both"/>
        <w:rPr>
          <w:rFonts w:ascii="Arial" w:hAnsi="Arial" w:cs="Arial"/>
          <w:sz w:val="22"/>
          <w:szCs w:val="22"/>
        </w:rPr>
      </w:pPr>
      <w:r w:rsidRPr="002F6069">
        <w:rPr>
          <w:rFonts w:ascii="Arial" w:hAnsi="Arial" w:cs="Arial"/>
          <w:sz w:val="22"/>
          <w:szCs w:val="22"/>
        </w:rPr>
        <w:t>A recent study of primary healthcare professionals during the COVID-19 pandemic indicated that institutional and organisational factors greatly affect burnout levels. It identified that elevated job demands, insufficient managerial assistance, and inadequate personnel were significant factors contributing to burnout. These characteristics cultivate a work climate in which professionals experience excessive burdens, stress, and an inability to reconcile job demands with personal well-being.</w:t>
      </w:r>
    </w:p>
    <w:p w14:paraId="2BD8EE6E" w14:textId="77A509A9" w:rsidR="00C80D0F" w:rsidRDefault="00D66494" w:rsidP="00B51B93">
      <w:pPr>
        <w:spacing w:line="360" w:lineRule="auto"/>
        <w:jc w:val="both"/>
        <w:rPr>
          <w:rFonts w:ascii="Arial" w:hAnsi="Arial" w:cs="Arial"/>
          <w:sz w:val="22"/>
          <w:szCs w:val="22"/>
        </w:rPr>
      </w:pPr>
      <w:r w:rsidRPr="002F6069">
        <w:rPr>
          <w:rFonts w:ascii="Arial" w:hAnsi="Arial" w:cs="Arial"/>
          <w:sz w:val="22"/>
          <w:szCs w:val="22"/>
        </w:rPr>
        <w:t xml:space="preserve">Both sources indicate that burnout originates from systemic operational demands instead </w:t>
      </w:r>
      <w:r w:rsidR="002F6069" w:rsidRPr="002F6069">
        <w:rPr>
          <w:rFonts w:ascii="Arial" w:hAnsi="Arial" w:cs="Arial"/>
          <w:sz w:val="22"/>
          <w:szCs w:val="22"/>
        </w:rPr>
        <w:t>of individual</w:t>
      </w:r>
      <w:r w:rsidRPr="002F6069">
        <w:rPr>
          <w:rFonts w:ascii="Arial" w:hAnsi="Arial" w:cs="Arial"/>
          <w:sz w:val="22"/>
          <w:szCs w:val="22"/>
        </w:rPr>
        <w:t xml:space="preserve"> defects. This highlights the necessity for organisational and policy-level interventions, including sufficient staffing, enhanced work-life balance, and supportive management, to tackle the underlying causes of burnout and enhance workforce sustainability in health and social care.</w:t>
      </w:r>
    </w:p>
    <w:p w14:paraId="23F1E17E" w14:textId="77777777" w:rsidR="00B51B93" w:rsidRPr="00B51B93" w:rsidRDefault="00B51B93" w:rsidP="00B51B93">
      <w:pPr>
        <w:spacing w:line="360" w:lineRule="auto"/>
        <w:jc w:val="both"/>
        <w:rPr>
          <w:rFonts w:ascii="Arial" w:hAnsi="Arial" w:cs="Arial"/>
          <w:sz w:val="22"/>
          <w:szCs w:val="22"/>
        </w:rPr>
      </w:pPr>
    </w:p>
    <w:p w14:paraId="3C3FCE6C" w14:textId="2A16B764" w:rsidR="00871C29" w:rsidRPr="00F807A7" w:rsidRDefault="00871C29" w:rsidP="00E71E0B">
      <w:pPr>
        <w:pStyle w:val="Heading2"/>
        <w:rPr>
          <w:lang w:val="en-US" w:eastAsia="en-GB"/>
        </w:rPr>
      </w:pPr>
      <w:bookmarkStart w:id="6" w:name="_Toc218716941"/>
      <w:r w:rsidRPr="00F807A7">
        <w:rPr>
          <w:lang w:val="en-US" w:eastAsia="en-GB"/>
        </w:rPr>
        <w:t>Task 6 - Exploring Digital Innovation in Health and Social Care</w:t>
      </w:r>
      <w:bookmarkEnd w:id="6"/>
    </w:p>
    <w:p w14:paraId="76DEE49D" w14:textId="0785B359" w:rsidR="00C80D0F" w:rsidRDefault="00C67E14" w:rsidP="00C67E14">
      <w:pPr>
        <w:spacing w:line="360" w:lineRule="auto"/>
        <w:jc w:val="both"/>
        <w:rPr>
          <w:rFonts w:ascii="Arial" w:hAnsi="Arial" w:cs="Arial"/>
          <w:sz w:val="22"/>
          <w:szCs w:val="22"/>
        </w:rPr>
      </w:pPr>
      <w:r w:rsidRPr="00C67E14">
        <w:rPr>
          <w:rFonts w:ascii="Arial" w:hAnsi="Arial" w:cs="Arial"/>
          <w:sz w:val="22"/>
          <w:szCs w:val="22"/>
        </w:rPr>
        <w:t xml:space="preserve">Wearable health technology, like smartwatches and fitness trackers, offer substantial advantages in the management of chronic illnesses through the facilitation of continuous, real-time monitoring of physiological data. A primary benefit is that wearables enable patients </w:t>
      </w:r>
      <w:r w:rsidRPr="00C67E14">
        <w:rPr>
          <w:rFonts w:ascii="Arial" w:hAnsi="Arial" w:cs="Arial"/>
          <w:sz w:val="22"/>
          <w:szCs w:val="22"/>
        </w:rPr>
        <w:lastRenderedPageBreak/>
        <w:t>and clinicians to monitor vital signs—such as heart rate, physical activity, sleep patterns, and glucose levels—beyond clinical environments. This repeated observation facilitates the early identification of changes, allowing for prompt management and minimising the risk of consequences. Wearable glucose monitors utilised by individuals with diabetes offer immediate input on glucose levels, enabling users to modify their diet or medicine more efficiently. Studies indicate that real-time health data boosts patient involvement and fosters self-management behaviours, hence improving long-term health outcomes (Wang et al., 2021). Wearables enable individuals to engage actively in their healthcare, while providing professionals with enhanced and precise health data.</w:t>
      </w:r>
    </w:p>
    <w:p w14:paraId="2A91E163" w14:textId="4974C393" w:rsidR="00A56C71" w:rsidRDefault="00A56C71" w:rsidP="00C67E14">
      <w:pPr>
        <w:spacing w:line="360" w:lineRule="auto"/>
        <w:jc w:val="both"/>
        <w:rPr>
          <w:rFonts w:ascii="Arial" w:hAnsi="Arial" w:cs="Arial"/>
          <w:sz w:val="22"/>
          <w:szCs w:val="22"/>
        </w:rPr>
      </w:pPr>
      <w:r w:rsidRPr="00A56C71">
        <w:rPr>
          <w:rFonts w:ascii="Arial" w:hAnsi="Arial" w:cs="Arial"/>
          <w:sz w:val="22"/>
          <w:szCs w:val="22"/>
        </w:rPr>
        <w:t>Electronic Health Records (EHRs) improve communication and collaboration by offering healthcare workers centralised, current, and readily available patient information. Clinicians can efficiently exchange medical histories, test results, medication lists, and treatment plans, rather than depending on paper records or disjointed systems. This information exchange enhances decision-making, mitigates test redundancy, and minimises medication errors. For instance, when a patient transitions from primary care to hospital services, electronic health records enable both teams to access the identical clinical data, so providing continuity of treatment. Studies demonstrate that electronic health records enhance safety and coordination of care by facilitating effective communication across multidisciplinary teams (Kruse et al., 2018). EHRs facilitate a more cohesive health system by optimising documentation and improving information accuracy, hence enabling professionals to communicate more effectively across services.</w:t>
      </w:r>
    </w:p>
    <w:p w14:paraId="640A55B3" w14:textId="291B0891" w:rsidR="00871C29" w:rsidRDefault="00B51B93" w:rsidP="00B51FAF">
      <w:pPr>
        <w:spacing w:line="360" w:lineRule="auto"/>
        <w:jc w:val="both"/>
        <w:rPr>
          <w:rFonts w:ascii="Arial" w:hAnsi="Arial" w:cs="Arial"/>
          <w:sz w:val="22"/>
          <w:szCs w:val="22"/>
        </w:rPr>
      </w:pPr>
      <w:r w:rsidRPr="00B51B93">
        <w:rPr>
          <w:rFonts w:ascii="Arial" w:hAnsi="Arial" w:cs="Arial"/>
          <w:sz w:val="22"/>
          <w:szCs w:val="22"/>
        </w:rPr>
        <w:t>Digital technologies significantly contribute to preventative care by facilitating the adoption of healthy practices and enabling early risk detection. An example is mobile health (mHealth) applications that offer tailored health guidance, reminders, and behavior-tracking functionalities. These tools can drive people to enhance their diet, augment physical activity, or track symptoms. An application designed for cardiovascular disease prevention may monitor daily steps, offer customised exercise regimens, and notify users when activity levels fall below suggested standards. Recent study indicates that digital health treatments might markedly enhance adherence to preventive behaviours and elevate patient motivation (Dugas et al., 2020). Digital platforms can disseminate population-level health messaging, like immunisation reminders and smoking cessation advice, so facilitating broader health promotion within communities.</w:t>
      </w:r>
    </w:p>
    <w:p w14:paraId="49AA5E11" w14:textId="77777777" w:rsidR="00B51FAF" w:rsidRPr="00B51FAF" w:rsidRDefault="00B51FAF" w:rsidP="00B51FAF">
      <w:pPr>
        <w:spacing w:line="360" w:lineRule="auto"/>
        <w:jc w:val="both"/>
        <w:rPr>
          <w:rFonts w:ascii="Arial" w:hAnsi="Arial" w:cs="Arial"/>
          <w:sz w:val="22"/>
          <w:szCs w:val="22"/>
        </w:rPr>
      </w:pPr>
    </w:p>
    <w:p w14:paraId="76675383" w14:textId="27871B72" w:rsidR="00871C29" w:rsidRDefault="00F807A7" w:rsidP="00C12BE0">
      <w:pPr>
        <w:pStyle w:val="Heading2"/>
      </w:pPr>
      <w:bookmarkStart w:id="7" w:name="_Toc218716942"/>
      <w:r w:rsidRPr="00F807A7">
        <w:lastRenderedPageBreak/>
        <w:t>Task 7 - Understanding the NHS Leadership Framework</w:t>
      </w:r>
      <w:bookmarkEnd w:id="7"/>
      <w:r w:rsidRPr="00F807A7">
        <w:t xml:space="preserve"> </w:t>
      </w:r>
    </w:p>
    <w:p w14:paraId="11ACB8B7" w14:textId="1D4D3973" w:rsidR="008C0697" w:rsidRDefault="008C0697" w:rsidP="008C0697">
      <w:pPr>
        <w:spacing w:line="360" w:lineRule="auto"/>
        <w:jc w:val="both"/>
        <w:rPr>
          <w:rFonts w:ascii="Arial" w:hAnsi="Arial" w:cs="Arial"/>
          <w:sz w:val="22"/>
          <w:szCs w:val="22"/>
        </w:rPr>
      </w:pPr>
      <w:r w:rsidRPr="008C0697">
        <w:rPr>
          <w:rFonts w:ascii="Arial" w:hAnsi="Arial" w:cs="Arial"/>
          <w:sz w:val="22"/>
          <w:szCs w:val="22"/>
        </w:rPr>
        <w:t>The NHS Leadership Framework, created by the NHS Leadership Academy, delineates the essential behaviours and competencies necessary for effective leadership in health and social care. The framework is based on the Healthcare Leadership Model, which comprises nine fundamental characteristics, including inspiring shared purpose, leading with caring, evaluating information, engaging the team, and ensuring accountability. These behaviours pertain to all personnel, irrespective of role or rank, underscoring that leadership transcends managerial positions. The framework is crucial as it fosters consistent, values-driven leadership that ensures high-quality, safe, and compassionate care. The framework aids leaders in efficiently addressing complex difficulties, including service pressures, staff wellness, and patient safety, by emphasising self-awareness, teamwork, and continual development. The NHS Leadership Framework fosters the cultivation of robust, ethical leaders capable of instigating positive change and enhancing outcomes for service users in health and social care</w:t>
      </w:r>
      <w:r w:rsidRPr="008C0697">
        <w:rPr>
          <w:rFonts w:ascii="Arial" w:hAnsi="Arial" w:cs="Arial"/>
          <w:sz w:val="22"/>
          <w:szCs w:val="22"/>
        </w:rPr>
        <w:t>.</w:t>
      </w:r>
    </w:p>
    <w:p w14:paraId="0CE47D14" w14:textId="75AEEFC9" w:rsidR="003F1E7D" w:rsidRPr="008C0697" w:rsidRDefault="003F1E7D" w:rsidP="008C0697">
      <w:pPr>
        <w:spacing w:line="360" w:lineRule="auto"/>
        <w:jc w:val="both"/>
        <w:rPr>
          <w:rFonts w:ascii="Arial" w:hAnsi="Arial" w:cs="Arial"/>
          <w:sz w:val="22"/>
          <w:szCs w:val="22"/>
        </w:rPr>
      </w:pPr>
      <w:r w:rsidRPr="003F1E7D">
        <w:rPr>
          <w:rFonts w:ascii="Arial" w:hAnsi="Arial" w:cs="Arial"/>
          <w:sz w:val="22"/>
          <w:szCs w:val="22"/>
        </w:rPr>
        <w:t>Leading with care is a leadership practice that fosters creativity by establishing a friendly, psychologically safe workplace in which employees feel valued and respected. When leaders demonstrate empathy, engage in active listening, and emphasise employee welfare, team members are more inclined to provide ideas and explore novel care strategies. In health and social care environments, this practice can enhance patient outcomes by alleviating worker burnout and fostering engagement, hence promoting more compassionate and person-centred care. A leader who fosters open communication and endorses reflective practice empowers personnel to devise innovative ideas for enhancing service delivery while upholding high standards of care.</w:t>
      </w:r>
    </w:p>
    <w:p w14:paraId="79B7AC79" w14:textId="77777777" w:rsidR="00F807A7" w:rsidRPr="00427065" w:rsidRDefault="00F807A7" w:rsidP="008375B5">
      <w:pPr>
        <w:spacing w:line="360" w:lineRule="auto"/>
        <w:rPr>
          <w:rFonts w:ascii="Times New Roman" w:hAnsi="Times New Roman"/>
          <w:color w:val="4C94D8"/>
        </w:rPr>
      </w:pPr>
    </w:p>
    <w:p w14:paraId="16609D1D" w14:textId="4BD8805B" w:rsidR="00F807A7" w:rsidRPr="00F807A7" w:rsidRDefault="00F807A7" w:rsidP="00C12BE0">
      <w:pPr>
        <w:pStyle w:val="Heading2"/>
      </w:pPr>
      <w:bookmarkStart w:id="8" w:name="_Toc218716943"/>
      <w:r w:rsidRPr="00F807A7">
        <w:t>Task 8 - Self-Reflection Journal Entry</w:t>
      </w:r>
      <w:bookmarkEnd w:id="8"/>
      <w:r w:rsidRPr="00F807A7">
        <w:t xml:space="preserve"> </w:t>
      </w:r>
    </w:p>
    <w:p w14:paraId="016B5FE6" w14:textId="6AFFD31F" w:rsidR="00FE4F91" w:rsidRPr="00FE4F91" w:rsidRDefault="00FE4F91" w:rsidP="00FE4F91">
      <w:pPr>
        <w:spacing w:line="360" w:lineRule="auto"/>
        <w:jc w:val="both"/>
        <w:rPr>
          <w:rFonts w:ascii="Arial" w:hAnsi="Arial" w:cs="Arial"/>
          <w:sz w:val="22"/>
          <w:szCs w:val="22"/>
        </w:rPr>
      </w:pPr>
      <w:r w:rsidRPr="00FE4F91">
        <w:rPr>
          <w:rFonts w:ascii="Arial" w:hAnsi="Arial" w:cs="Arial"/>
          <w:sz w:val="22"/>
          <w:szCs w:val="22"/>
        </w:rPr>
        <w:t>This program emphasised creativity, innovation, leadership, and value creation in health and social care via lectures, group activities, and portfolio assignments.</w:t>
      </w:r>
    </w:p>
    <w:p w14:paraId="3E70A12D" w14:textId="3A431578" w:rsidR="00FE4F91" w:rsidRPr="00FE4F91" w:rsidRDefault="00FE4F91" w:rsidP="00FE4F91">
      <w:pPr>
        <w:spacing w:line="360" w:lineRule="auto"/>
        <w:jc w:val="both"/>
        <w:rPr>
          <w:rFonts w:ascii="Arial" w:hAnsi="Arial" w:cs="Arial"/>
          <w:sz w:val="22"/>
          <w:szCs w:val="22"/>
        </w:rPr>
      </w:pPr>
      <w:r w:rsidRPr="00FE4F91">
        <w:rPr>
          <w:rFonts w:ascii="Arial" w:hAnsi="Arial" w:cs="Arial"/>
          <w:b/>
          <w:bCs/>
          <w:sz w:val="22"/>
          <w:szCs w:val="22"/>
        </w:rPr>
        <w:t>Emotions</w:t>
      </w:r>
      <w:r w:rsidRPr="00FE4F91">
        <w:rPr>
          <w:rFonts w:ascii="Arial" w:hAnsi="Arial" w:cs="Arial"/>
          <w:sz w:val="22"/>
          <w:szCs w:val="22"/>
        </w:rPr>
        <w:t>: Initially, I experienced ambiguity regarding the application of creativity in professional practice, as I primarily linked it to artistic expression rather than systematic problem-solving.</w:t>
      </w:r>
    </w:p>
    <w:p w14:paraId="01E40C3D" w14:textId="77777777" w:rsidR="00FE4F91" w:rsidRPr="00FE4F91" w:rsidRDefault="00FE4F91" w:rsidP="00FE4F91">
      <w:pPr>
        <w:spacing w:line="360" w:lineRule="auto"/>
        <w:jc w:val="both"/>
        <w:rPr>
          <w:rFonts w:ascii="Arial" w:hAnsi="Arial" w:cs="Arial"/>
          <w:sz w:val="22"/>
          <w:szCs w:val="22"/>
        </w:rPr>
      </w:pPr>
      <w:r w:rsidRPr="00FE4F91">
        <w:rPr>
          <w:rFonts w:ascii="Arial" w:hAnsi="Arial" w:cs="Arial"/>
          <w:b/>
          <w:bCs/>
          <w:sz w:val="22"/>
          <w:szCs w:val="22"/>
        </w:rPr>
        <w:t>Assessment</w:t>
      </w:r>
      <w:r w:rsidRPr="00FE4F91">
        <w:rPr>
          <w:rFonts w:ascii="Arial" w:hAnsi="Arial" w:cs="Arial"/>
          <w:sz w:val="22"/>
          <w:szCs w:val="22"/>
        </w:rPr>
        <w:t xml:space="preserve">: Participation in divergent and convergent thinking exercises, together with mind-mapping, enhanced my comprehension of the systematic application of creativity to </w:t>
      </w:r>
      <w:r w:rsidRPr="00FE4F91">
        <w:rPr>
          <w:rFonts w:ascii="Arial" w:hAnsi="Arial" w:cs="Arial"/>
          <w:sz w:val="22"/>
          <w:szCs w:val="22"/>
        </w:rPr>
        <w:lastRenderedPageBreak/>
        <w:t>tangible service concerns. Research assignments enhanced my appreciation for evidence-based innovation.</w:t>
      </w:r>
    </w:p>
    <w:p w14:paraId="24B62387" w14:textId="77777777" w:rsidR="00FE4F91" w:rsidRPr="00FE4F91" w:rsidRDefault="00FE4F91" w:rsidP="00FE4F91">
      <w:pPr>
        <w:spacing w:line="360" w:lineRule="auto"/>
        <w:jc w:val="both"/>
        <w:rPr>
          <w:rFonts w:ascii="Arial" w:hAnsi="Arial" w:cs="Arial"/>
          <w:sz w:val="22"/>
          <w:szCs w:val="22"/>
        </w:rPr>
      </w:pPr>
    </w:p>
    <w:p w14:paraId="457C975D" w14:textId="04C684CC" w:rsidR="00FE4F91" w:rsidRPr="00FE4F91" w:rsidRDefault="00FE4F91" w:rsidP="00FE4F91">
      <w:pPr>
        <w:spacing w:line="360" w:lineRule="auto"/>
        <w:jc w:val="both"/>
        <w:rPr>
          <w:rFonts w:ascii="Arial" w:hAnsi="Arial" w:cs="Arial"/>
          <w:sz w:val="22"/>
          <w:szCs w:val="22"/>
        </w:rPr>
      </w:pPr>
      <w:r w:rsidRPr="00FE4F91">
        <w:rPr>
          <w:rFonts w:ascii="Arial" w:hAnsi="Arial" w:cs="Arial"/>
          <w:sz w:val="22"/>
          <w:szCs w:val="22"/>
        </w:rPr>
        <w:t>The module illustrated that value creation transpires when innovative concepts enhance results for service users, personnel welfare, and operational efficiency. Leadership frameworks emphasise that supportive leadership fosters innovation.</w:t>
      </w:r>
    </w:p>
    <w:p w14:paraId="231A07BF" w14:textId="2A7B5659" w:rsidR="00FE4F91" w:rsidRPr="00FE4F91" w:rsidRDefault="00FE4F91" w:rsidP="00FE4F91">
      <w:pPr>
        <w:spacing w:line="360" w:lineRule="auto"/>
        <w:jc w:val="both"/>
        <w:rPr>
          <w:rFonts w:ascii="Arial" w:hAnsi="Arial" w:cs="Arial"/>
          <w:sz w:val="22"/>
          <w:szCs w:val="22"/>
        </w:rPr>
      </w:pPr>
      <w:r w:rsidRPr="00FE4F91">
        <w:rPr>
          <w:rFonts w:ascii="Arial" w:hAnsi="Arial" w:cs="Arial"/>
          <w:b/>
          <w:bCs/>
          <w:sz w:val="22"/>
          <w:szCs w:val="22"/>
        </w:rPr>
        <w:t>Conclusion</w:t>
      </w:r>
      <w:r w:rsidRPr="00FE4F91">
        <w:rPr>
          <w:rFonts w:ascii="Arial" w:hAnsi="Arial" w:cs="Arial"/>
          <w:sz w:val="22"/>
          <w:szCs w:val="22"/>
        </w:rPr>
        <w:t>: I now perceive creativity as a fundamental and indispensable skill in health and social care, rather than a mere supplementary asset.</w:t>
      </w:r>
    </w:p>
    <w:p w14:paraId="13781E74" w14:textId="38A7DE2A" w:rsidR="00C80D0F" w:rsidRPr="00FE4F91" w:rsidRDefault="00FE4F91" w:rsidP="00FE4F91">
      <w:pPr>
        <w:spacing w:line="360" w:lineRule="auto"/>
        <w:jc w:val="both"/>
        <w:rPr>
          <w:rFonts w:ascii="Arial" w:hAnsi="Arial" w:cs="Arial"/>
          <w:sz w:val="22"/>
          <w:szCs w:val="22"/>
        </w:rPr>
      </w:pPr>
      <w:r w:rsidRPr="00FE4F91">
        <w:rPr>
          <w:rFonts w:ascii="Arial" w:hAnsi="Arial" w:cs="Arial"/>
          <w:b/>
          <w:bCs/>
          <w:sz w:val="22"/>
          <w:szCs w:val="22"/>
        </w:rPr>
        <w:t>Action Plan</w:t>
      </w:r>
      <w:r w:rsidRPr="00FE4F91">
        <w:rPr>
          <w:rFonts w:ascii="Arial" w:hAnsi="Arial" w:cs="Arial"/>
          <w:sz w:val="22"/>
          <w:szCs w:val="22"/>
        </w:rPr>
        <w:t>: In future practice, I will employ thoughtful and innovative methodologies to cultivate sustainable, person-centred solutions and enhance service development.</w:t>
      </w:r>
    </w:p>
    <w:p w14:paraId="02351579" w14:textId="77777777" w:rsidR="008375B5" w:rsidRPr="00427065" w:rsidRDefault="008375B5" w:rsidP="008375B5">
      <w:pPr>
        <w:spacing w:line="360" w:lineRule="auto"/>
        <w:rPr>
          <w:rFonts w:ascii="Times New Roman" w:hAnsi="Times New Roman"/>
          <w:color w:val="A5C9EB"/>
        </w:rPr>
      </w:pPr>
    </w:p>
    <w:p w14:paraId="49856174" w14:textId="77777777" w:rsidR="008375B5" w:rsidRPr="00F807A7" w:rsidRDefault="008375B5" w:rsidP="008375B5">
      <w:pPr>
        <w:spacing w:line="360" w:lineRule="auto"/>
        <w:rPr>
          <w:rFonts w:ascii="Times New Roman" w:hAnsi="Times New Roman"/>
        </w:rPr>
      </w:pPr>
    </w:p>
    <w:p w14:paraId="1CF87636" w14:textId="77777777" w:rsidR="008375B5" w:rsidRDefault="008375B5" w:rsidP="008375B5">
      <w:pPr>
        <w:spacing w:line="360" w:lineRule="auto"/>
        <w:rPr>
          <w:rFonts w:ascii="Times New Roman" w:hAnsi="Times New Roman"/>
        </w:rPr>
      </w:pPr>
    </w:p>
    <w:p w14:paraId="2C8F2F74" w14:textId="77777777" w:rsidR="00C72BF5" w:rsidRDefault="00C72BF5" w:rsidP="008375B5">
      <w:pPr>
        <w:spacing w:line="360" w:lineRule="auto"/>
        <w:rPr>
          <w:rFonts w:ascii="Times New Roman" w:hAnsi="Times New Roman"/>
        </w:rPr>
      </w:pPr>
    </w:p>
    <w:p w14:paraId="34C9C7F6" w14:textId="77777777" w:rsidR="00C72BF5" w:rsidRDefault="00C72BF5" w:rsidP="008375B5">
      <w:pPr>
        <w:spacing w:line="360" w:lineRule="auto"/>
        <w:rPr>
          <w:rFonts w:ascii="Times New Roman" w:hAnsi="Times New Roman"/>
        </w:rPr>
      </w:pPr>
    </w:p>
    <w:p w14:paraId="3E2859A3" w14:textId="77777777" w:rsidR="00C72BF5" w:rsidRDefault="00C72BF5" w:rsidP="008375B5">
      <w:pPr>
        <w:spacing w:line="360" w:lineRule="auto"/>
        <w:rPr>
          <w:rFonts w:ascii="Times New Roman" w:hAnsi="Times New Roman"/>
        </w:rPr>
      </w:pPr>
    </w:p>
    <w:p w14:paraId="7D95219E" w14:textId="77777777" w:rsidR="00C72BF5" w:rsidRDefault="00C72BF5" w:rsidP="008375B5">
      <w:pPr>
        <w:spacing w:line="360" w:lineRule="auto"/>
        <w:rPr>
          <w:rFonts w:ascii="Times New Roman" w:hAnsi="Times New Roman"/>
        </w:rPr>
      </w:pPr>
    </w:p>
    <w:p w14:paraId="3BA9E6EB" w14:textId="77777777" w:rsidR="00C72BF5" w:rsidRDefault="00C72BF5" w:rsidP="008375B5">
      <w:pPr>
        <w:spacing w:line="360" w:lineRule="auto"/>
        <w:rPr>
          <w:rFonts w:ascii="Times New Roman" w:hAnsi="Times New Roman"/>
        </w:rPr>
      </w:pPr>
    </w:p>
    <w:p w14:paraId="7C8A2BB6" w14:textId="77777777" w:rsidR="00C72BF5" w:rsidRDefault="00C72BF5" w:rsidP="008375B5">
      <w:pPr>
        <w:spacing w:line="360" w:lineRule="auto"/>
        <w:rPr>
          <w:rFonts w:ascii="Times New Roman" w:hAnsi="Times New Roman"/>
        </w:rPr>
      </w:pPr>
    </w:p>
    <w:p w14:paraId="52E0742B" w14:textId="77777777" w:rsidR="00C72BF5" w:rsidRDefault="00C72BF5" w:rsidP="008375B5">
      <w:pPr>
        <w:spacing w:line="360" w:lineRule="auto"/>
        <w:rPr>
          <w:rFonts w:ascii="Times New Roman" w:hAnsi="Times New Roman"/>
        </w:rPr>
      </w:pPr>
    </w:p>
    <w:p w14:paraId="24359B9E" w14:textId="77777777" w:rsidR="00C72BF5" w:rsidRDefault="00C72BF5" w:rsidP="008375B5">
      <w:pPr>
        <w:spacing w:line="360" w:lineRule="auto"/>
        <w:rPr>
          <w:rFonts w:ascii="Times New Roman" w:hAnsi="Times New Roman"/>
        </w:rPr>
      </w:pPr>
    </w:p>
    <w:p w14:paraId="04D48E6C" w14:textId="77777777" w:rsidR="00C72BF5" w:rsidRDefault="00C72BF5" w:rsidP="008375B5">
      <w:pPr>
        <w:spacing w:line="360" w:lineRule="auto"/>
        <w:rPr>
          <w:rFonts w:ascii="Times New Roman" w:hAnsi="Times New Roman"/>
        </w:rPr>
      </w:pPr>
    </w:p>
    <w:p w14:paraId="65E926F0" w14:textId="77777777" w:rsidR="00C72BF5" w:rsidRDefault="00C72BF5" w:rsidP="008375B5">
      <w:pPr>
        <w:spacing w:line="360" w:lineRule="auto"/>
        <w:rPr>
          <w:rFonts w:ascii="Times New Roman" w:hAnsi="Times New Roman"/>
        </w:rPr>
      </w:pPr>
    </w:p>
    <w:p w14:paraId="3B2BB2DC" w14:textId="77777777" w:rsidR="00C72BF5" w:rsidRDefault="00C72BF5" w:rsidP="008375B5">
      <w:pPr>
        <w:spacing w:line="360" w:lineRule="auto"/>
        <w:rPr>
          <w:rFonts w:ascii="Times New Roman" w:hAnsi="Times New Roman"/>
        </w:rPr>
      </w:pPr>
    </w:p>
    <w:p w14:paraId="4DEC953E" w14:textId="77777777" w:rsidR="00C72BF5" w:rsidRDefault="00C72BF5" w:rsidP="008375B5">
      <w:pPr>
        <w:spacing w:line="360" w:lineRule="auto"/>
        <w:rPr>
          <w:rFonts w:ascii="Times New Roman" w:hAnsi="Times New Roman"/>
        </w:rPr>
      </w:pPr>
    </w:p>
    <w:p w14:paraId="596F5C71" w14:textId="77777777" w:rsidR="00C72BF5" w:rsidRDefault="00C72BF5" w:rsidP="008375B5">
      <w:pPr>
        <w:spacing w:line="360" w:lineRule="auto"/>
        <w:rPr>
          <w:rFonts w:ascii="Times New Roman" w:hAnsi="Times New Roman"/>
        </w:rPr>
      </w:pPr>
    </w:p>
    <w:p w14:paraId="76E1E693" w14:textId="77777777" w:rsidR="00C72BF5" w:rsidRPr="00F807A7" w:rsidRDefault="00C72BF5" w:rsidP="008375B5">
      <w:pPr>
        <w:spacing w:line="360" w:lineRule="auto"/>
        <w:rPr>
          <w:rFonts w:ascii="Times New Roman" w:hAnsi="Times New Roman"/>
        </w:rPr>
      </w:pPr>
    </w:p>
    <w:p w14:paraId="02DBC2A6" w14:textId="77777777" w:rsidR="008375B5" w:rsidRDefault="008375B5" w:rsidP="00C12BE0">
      <w:pPr>
        <w:pStyle w:val="Heading2"/>
      </w:pPr>
      <w:bookmarkStart w:id="9" w:name="_Toc218716944"/>
      <w:r w:rsidRPr="00F807A7">
        <w:t>References</w:t>
      </w:r>
      <w:bookmarkEnd w:id="9"/>
    </w:p>
    <w:p w14:paraId="4D0B1D93" w14:textId="717DB2E2"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Amabile, T.M. (2018) </w:t>
      </w:r>
      <w:r w:rsidRPr="00E62698">
        <w:rPr>
          <w:rFonts w:ascii="Arial" w:hAnsi="Arial" w:cs="Arial"/>
          <w:i/>
          <w:iCs/>
          <w:sz w:val="22"/>
          <w:szCs w:val="22"/>
        </w:rPr>
        <w:t>Creativity in context: Update to the social psychology of creativity</w:t>
      </w:r>
      <w:r w:rsidRPr="00675019">
        <w:rPr>
          <w:rFonts w:ascii="Arial" w:hAnsi="Arial" w:cs="Arial"/>
          <w:sz w:val="22"/>
          <w:szCs w:val="22"/>
        </w:rPr>
        <w:t>. 2nd ed</w:t>
      </w:r>
      <w:r w:rsidR="00E62698">
        <w:rPr>
          <w:rFonts w:ascii="Arial" w:hAnsi="Arial" w:cs="Arial"/>
          <w:sz w:val="22"/>
          <w:szCs w:val="22"/>
        </w:rPr>
        <w:t>itio</w:t>
      </w:r>
      <w:r w:rsidRPr="00675019">
        <w:rPr>
          <w:rFonts w:ascii="Arial" w:hAnsi="Arial" w:cs="Arial"/>
          <w:sz w:val="22"/>
          <w:szCs w:val="22"/>
        </w:rPr>
        <w:t>n. New York: Routledge.</w:t>
      </w:r>
    </w:p>
    <w:p w14:paraId="3E7A721C" w14:textId="77777777" w:rsidR="00675019" w:rsidRPr="00675019" w:rsidRDefault="00675019" w:rsidP="00675019">
      <w:pPr>
        <w:jc w:val="both"/>
        <w:rPr>
          <w:rFonts w:ascii="Arial" w:hAnsi="Arial" w:cs="Arial"/>
          <w:sz w:val="22"/>
          <w:szCs w:val="22"/>
        </w:rPr>
      </w:pPr>
    </w:p>
    <w:p w14:paraId="79852C12" w14:textId="431768F2"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Cropley, A. (2006) ‘In praise of convergent thinking’, Creativity Research Journal, 18(3), pp. 391–404. Available at: </w:t>
      </w:r>
      <w:hyperlink r:id="rId10" w:history="1">
        <w:r w:rsidR="007B29EF" w:rsidRPr="00CC2543">
          <w:rPr>
            <w:rStyle w:val="Hyperlink"/>
            <w:rFonts w:ascii="Arial" w:hAnsi="Arial" w:cs="Arial"/>
            <w:sz w:val="22"/>
            <w:szCs w:val="22"/>
          </w:rPr>
          <w:t>https://www.tandfonline.com/doi/abs/10.1207/s15326934crj1803_13</w:t>
        </w:r>
      </w:hyperlink>
      <w:r w:rsidR="007B29EF">
        <w:rPr>
          <w:rFonts w:ascii="Arial" w:hAnsi="Arial" w:cs="Arial"/>
          <w:sz w:val="22"/>
          <w:szCs w:val="22"/>
        </w:rPr>
        <w:t xml:space="preserve"> </w:t>
      </w:r>
      <w:r w:rsidRPr="00675019">
        <w:rPr>
          <w:rFonts w:ascii="Arial" w:hAnsi="Arial" w:cs="Arial"/>
          <w:sz w:val="22"/>
          <w:szCs w:val="22"/>
        </w:rPr>
        <w:t>(Accessed: 7 January 2026).</w:t>
      </w:r>
    </w:p>
    <w:p w14:paraId="04F8A441" w14:textId="77777777" w:rsidR="00675019" w:rsidRPr="00675019" w:rsidRDefault="00675019" w:rsidP="00675019">
      <w:pPr>
        <w:jc w:val="both"/>
        <w:rPr>
          <w:rFonts w:ascii="Arial" w:hAnsi="Arial" w:cs="Arial"/>
          <w:sz w:val="22"/>
          <w:szCs w:val="22"/>
        </w:rPr>
      </w:pPr>
    </w:p>
    <w:p w14:paraId="1D5AFD3C" w14:textId="72FF3454"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Dugas, M. et al. (2020) ‘Digital health interventions for preventive care: A systematic review’, Preventive Medicine, 135, 106381. Available at: </w:t>
      </w:r>
      <w:hyperlink r:id="rId11" w:history="1">
        <w:r w:rsidR="007B29EF" w:rsidRPr="00CC2543">
          <w:rPr>
            <w:rStyle w:val="Hyperlink"/>
            <w:rFonts w:ascii="Arial" w:hAnsi="Arial" w:cs="Arial"/>
            <w:sz w:val="22"/>
            <w:szCs w:val="22"/>
          </w:rPr>
          <w:t>https://www.sciencedirect.com/science/article/pii/S0091743520300587</w:t>
        </w:r>
      </w:hyperlink>
      <w:r w:rsidR="007B29EF">
        <w:rPr>
          <w:rFonts w:ascii="Arial" w:hAnsi="Arial" w:cs="Arial"/>
          <w:sz w:val="22"/>
          <w:szCs w:val="22"/>
        </w:rPr>
        <w:t xml:space="preserve"> </w:t>
      </w:r>
      <w:r w:rsidRPr="00675019">
        <w:rPr>
          <w:rFonts w:ascii="Arial" w:hAnsi="Arial" w:cs="Arial"/>
          <w:sz w:val="22"/>
          <w:szCs w:val="22"/>
        </w:rPr>
        <w:t>(Accessed: 7 January 2026).</w:t>
      </w:r>
    </w:p>
    <w:p w14:paraId="46B1A2D0" w14:textId="77777777" w:rsidR="00675019" w:rsidRPr="00675019" w:rsidRDefault="00675019" w:rsidP="00675019">
      <w:pPr>
        <w:jc w:val="both"/>
        <w:rPr>
          <w:rFonts w:ascii="Arial" w:hAnsi="Arial" w:cs="Arial"/>
          <w:sz w:val="22"/>
          <w:szCs w:val="22"/>
        </w:rPr>
      </w:pPr>
    </w:p>
    <w:p w14:paraId="09C18360" w14:textId="31464F84"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Espie, C.A. et al. (2012) ‘A randomized, placebo-controlled trial of online cognitive behavioral therapy for chronic insomnia disorder’, Sleep, 35(6), pp. 769–781. Available at: </w:t>
      </w:r>
      <w:hyperlink r:id="rId12" w:history="1">
        <w:r w:rsidR="007B29EF" w:rsidRPr="00CC2543">
          <w:rPr>
            <w:rStyle w:val="Hyperlink"/>
            <w:rFonts w:ascii="Arial" w:hAnsi="Arial" w:cs="Arial"/>
            <w:sz w:val="22"/>
            <w:szCs w:val="22"/>
          </w:rPr>
          <w:t>https://academic.oup.com/sleep/article/35/6/769/2558938</w:t>
        </w:r>
      </w:hyperlink>
      <w:r w:rsidR="007B29EF">
        <w:rPr>
          <w:rFonts w:ascii="Arial" w:hAnsi="Arial" w:cs="Arial"/>
          <w:sz w:val="22"/>
          <w:szCs w:val="22"/>
        </w:rPr>
        <w:t xml:space="preserve"> </w:t>
      </w:r>
      <w:r w:rsidRPr="00675019">
        <w:rPr>
          <w:rFonts w:ascii="Arial" w:hAnsi="Arial" w:cs="Arial"/>
          <w:sz w:val="22"/>
          <w:szCs w:val="22"/>
        </w:rPr>
        <w:t>(Accessed: 7 January 2026).</w:t>
      </w:r>
    </w:p>
    <w:p w14:paraId="5FD9A615" w14:textId="77777777" w:rsidR="00675019" w:rsidRPr="00675019" w:rsidRDefault="00675019" w:rsidP="00675019">
      <w:pPr>
        <w:jc w:val="both"/>
        <w:rPr>
          <w:rFonts w:ascii="Arial" w:hAnsi="Arial" w:cs="Arial"/>
          <w:sz w:val="22"/>
          <w:szCs w:val="22"/>
        </w:rPr>
      </w:pPr>
    </w:p>
    <w:p w14:paraId="1C30FB25" w14:textId="35F22064"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Gibbs, G. (1988) Learning by doing: A guide to teaching and learning methods. Oxford: Oxford Polytechnic. Available at: </w:t>
      </w:r>
      <w:hyperlink r:id="rId13" w:history="1">
        <w:r w:rsidR="007B29EF" w:rsidRPr="00CC2543">
          <w:rPr>
            <w:rStyle w:val="Hyperlink"/>
            <w:rFonts w:ascii="Arial" w:hAnsi="Arial" w:cs="Arial"/>
            <w:sz w:val="22"/>
            <w:szCs w:val="22"/>
          </w:rPr>
          <w:t>https://thoughtsmostlyaboutlearning.files.wordpress.com/2015/12/gibbs_reflective_cycle.pdf</w:t>
        </w:r>
      </w:hyperlink>
      <w:r w:rsidR="007B29EF">
        <w:rPr>
          <w:rFonts w:ascii="Arial" w:hAnsi="Arial" w:cs="Arial"/>
          <w:sz w:val="22"/>
          <w:szCs w:val="22"/>
        </w:rPr>
        <w:t xml:space="preserve"> </w:t>
      </w:r>
      <w:r w:rsidRPr="00675019">
        <w:rPr>
          <w:rFonts w:ascii="Arial" w:hAnsi="Arial" w:cs="Arial"/>
          <w:sz w:val="22"/>
          <w:szCs w:val="22"/>
        </w:rPr>
        <w:t>(Accessed: 7 January 2026).</w:t>
      </w:r>
    </w:p>
    <w:p w14:paraId="1E1F8AB1" w14:textId="77777777" w:rsidR="00675019" w:rsidRPr="00675019" w:rsidRDefault="00675019" w:rsidP="00675019">
      <w:pPr>
        <w:jc w:val="both"/>
        <w:rPr>
          <w:rFonts w:ascii="Arial" w:hAnsi="Arial" w:cs="Arial"/>
          <w:sz w:val="22"/>
          <w:szCs w:val="22"/>
        </w:rPr>
      </w:pPr>
    </w:p>
    <w:p w14:paraId="3B187062" w14:textId="77777777" w:rsidR="00675019" w:rsidRPr="00675019" w:rsidRDefault="00675019" w:rsidP="00675019">
      <w:pPr>
        <w:jc w:val="both"/>
        <w:rPr>
          <w:rFonts w:ascii="Arial" w:hAnsi="Arial" w:cs="Arial"/>
          <w:sz w:val="22"/>
          <w:szCs w:val="22"/>
        </w:rPr>
      </w:pPr>
      <w:r w:rsidRPr="00675019">
        <w:rPr>
          <w:rFonts w:ascii="Arial" w:hAnsi="Arial" w:cs="Arial"/>
          <w:sz w:val="22"/>
          <w:szCs w:val="22"/>
        </w:rPr>
        <w:t>Kotter, J.P. (2012) Leading change. Boston: Harvard Business Review Press.</w:t>
      </w:r>
    </w:p>
    <w:p w14:paraId="339C2F67" w14:textId="77777777" w:rsidR="00675019" w:rsidRPr="00675019" w:rsidRDefault="00675019" w:rsidP="00675019">
      <w:pPr>
        <w:jc w:val="both"/>
        <w:rPr>
          <w:rFonts w:ascii="Arial" w:hAnsi="Arial" w:cs="Arial"/>
          <w:sz w:val="22"/>
          <w:szCs w:val="22"/>
        </w:rPr>
      </w:pPr>
    </w:p>
    <w:p w14:paraId="0959A640" w14:textId="3580F23A"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Kruse, C.S. et al. (2018) ‘The impact of electronic health records on teamwork and communication’, JMIR Medical Informatics, 6(2), e19. Available at: </w:t>
      </w:r>
      <w:hyperlink r:id="rId14" w:history="1">
        <w:r w:rsidR="007B29EF" w:rsidRPr="00CC2543">
          <w:rPr>
            <w:rStyle w:val="Hyperlink"/>
            <w:rFonts w:ascii="Arial" w:hAnsi="Arial" w:cs="Arial"/>
            <w:sz w:val="22"/>
            <w:szCs w:val="22"/>
          </w:rPr>
          <w:t>https://medinform.jmir.org/2018/2/e19</w:t>
        </w:r>
      </w:hyperlink>
      <w:r w:rsidR="007B29EF">
        <w:rPr>
          <w:rFonts w:ascii="Arial" w:hAnsi="Arial" w:cs="Arial"/>
          <w:sz w:val="22"/>
          <w:szCs w:val="22"/>
        </w:rPr>
        <w:t xml:space="preserve"> </w:t>
      </w:r>
      <w:r w:rsidRPr="00675019">
        <w:rPr>
          <w:rFonts w:ascii="Arial" w:hAnsi="Arial" w:cs="Arial"/>
          <w:sz w:val="22"/>
          <w:szCs w:val="22"/>
        </w:rPr>
        <w:t>(Accessed: 7 January 2026).</w:t>
      </w:r>
    </w:p>
    <w:p w14:paraId="4F4BA7A3" w14:textId="77777777" w:rsidR="00675019" w:rsidRPr="00675019" w:rsidRDefault="00675019" w:rsidP="00675019">
      <w:pPr>
        <w:jc w:val="both"/>
        <w:rPr>
          <w:rFonts w:ascii="Arial" w:hAnsi="Arial" w:cs="Arial"/>
          <w:sz w:val="22"/>
          <w:szCs w:val="22"/>
        </w:rPr>
      </w:pPr>
    </w:p>
    <w:p w14:paraId="35731928" w14:textId="461F3D14" w:rsidR="00675019" w:rsidRPr="00675019" w:rsidRDefault="00675019" w:rsidP="00675019">
      <w:pPr>
        <w:spacing w:after="0" w:line="360" w:lineRule="auto"/>
        <w:jc w:val="both"/>
        <w:rPr>
          <w:rFonts w:ascii="Arial" w:hAnsi="Arial" w:cs="Arial"/>
          <w:sz w:val="22"/>
          <w:szCs w:val="22"/>
        </w:rPr>
      </w:pPr>
      <w:r w:rsidRPr="00675019">
        <w:rPr>
          <w:rFonts w:ascii="Arial" w:hAnsi="Arial" w:cs="Arial"/>
          <w:sz w:val="22"/>
          <w:szCs w:val="22"/>
        </w:rPr>
        <w:t>NHS Leadership Academy</w:t>
      </w:r>
      <w:r>
        <w:rPr>
          <w:rFonts w:ascii="Arial" w:hAnsi="Arial" w:cs="Arial"/>
          <w:sz w:val="22"/>
          <w:szCs w:val="22"/>
        </w:rPr>
        <w:t xml:space="preserve"> </w:t>
      </w:r>
      <w:r w:rsidRPr="00675019">
        <w:rPr>
          <w:rFonts w:ascii="Arial" w:hAnsi="Arial" w:cs="Arial"/>
          <w:sz w:val="22"/>
          <w:szCs w:val="22"/>
        </w:rPr>
        <w:t xml:space="preserve">(2013) Healthcare leadership model. Available at: </w:t>
      </w:r>
      <w:hyperlink r:id="rId15" w:history="1">
        <w:r w:rsidRPr="00CC2543">
          <w:rPr>
            <w:rStyle w:val="Hyperlink"/>
            <w:rFonts w:ascii="Arial" w:hAnsi="Arial" w:cs="Arial"/>
            <w:sz w:val="22"/>
            <w:szCs w:val="22"/>
          </w:rPr>
          <w:t>https://www.leadershipacademy.nhs.uk/resources/healthcare-leadership-model/</w:t>
        </w:r>
      </w:hyperlink>
      <w:r w:rsidR="007B29EF">
        <w:rPr>
          <w:rFonts w:ascii="Arial" w:hAnsi="Arial" w:cs="Arial"/>
          <w:sz w:val="22"/>
          <w:szCs w:val="22"/>
        </w:rPr>
        <w:t xml:space="preserve"> </w:t>
      </w:r>
      <w:r w:rsidRPr="00675019">
        <w:rPr>
          <w:rFonts w:ascii="Arial" w:hAnsi="Arial" w:cs="Arial"/>
          <w:sz w:val="22"/>
          <w:szCs w:val="22"/>
        </w:rPr>
        <w:t>(Accessed: 7 January 2026).</w:t>
      </w:r>
    </w:p>
    <w:p w14:paraId="1B98DF96" w14:textId="77777777" w:rsidR="00675019" w:rsidRPr="00675019" w:rsidRDefault="00675019" w:rsidP="00675019">
      <w:pPr>
        <w:spacing w:after="0" w:line="360" w:lineRule="auto"/>
        <w:jc w:val="both"/>
        <w:rPr>
          <w:rFonts w:ascii="Arial" w:hAnsi="Arial" w:cs="Arial"/>
          <w:sz w:val="22"/>
          <w:szCs w:val="22"/>
        </w:rPr>
      </w:pPr>
    </w:p>
    <w:p w14:paraId="1A6AF396" w14:textId="4C6048C0" w:rsidR="00675019" w:rsidRPr="00675019" w:rsidRDefault="00675019" w:rsidP="00675019">
      <w:pPr>
        <w:spacing w:after="0" w:line="360" w:lineRule="auto"/>
        <w:jc w:val="both"/>
        <w:rPr>
          <w:rFonts w:ascii="Arial" w:hAnsi="Arial" w:cs="Arial"/>
          <w:sz w:val="22"/>
          <w:szCs w:val="22"/>
        </w:rPr>
      </w:pPr>
      <w:r w:rsidRPr="00675019">
        <w:rPr>
          <w:rFonts w:ascii="Arial" w:hAnsi="Arial" w:cs="Arial"/>
          <w:sz w:val="22"/>
          <w:szCs w:val="22"/>
        </w:rPr>
        <w:t xml:space="preserve">NICE (2022) Sleepio for insomnia and sleep disruption. Available at: </w:t>
      </w:r>
      <w:hyperlink r:id="rId16" w:history="1">
        <w:r w:rsidRPr="00CC2543">
          <w:rPr>
            <w:rStyle w:val="Hyperlink"/>
            <w:rFonts w:ascii="Arial" w:hAnsi="Arial" w:cs="Arial"/>
            <w:sz w:val="22"/>
            <w:szCs w:val="22"/>
          </w:rPr>
          <w:t>https://www.nice.org.uk/guidance/mtg70</w:t>
        </w:r>
      </w:hyperlink>
      <w:r>
        <w:rPr>
          <w:rFonts w:ascii="Arial" w:hAnsi="Arial" w:cs="Arial"/>
          <w:sz w:val="22"/>
          <w:szCs w:val="22"/>
        </w:rPr>
        <w:t xml:space="preserve"> </w:t>
      </w:r>
      <w:r w:rsidR="007B29EF">
        <w:rPr>
          <w:rFonts w:ascii="Arial" w:hAnsi="Arial" w:cs="Arial"/>
          <w:sz w:val="22"/>
          <w:szCs w:val="22"/>
        </w:rPr>
        <w:t xml:space="preserve"> </w:t>
      </w:r>
      <w:r w:rsidRPr="00675019">
        <w:rPr>
          <w:rFonts w:ascii="Arial" w:hAnsi="Arial" w:cs="Arial"/>
          <w:sz w:val="22"/>
          <w:szCs w:val="22"/>
        </w:rPr>
        <w:t>(Accessed: 7 January 2026).</w:t>
      </w:r>
    </w:p>
    <w:p w14:paraId="140F7126" w14:textId="77777777" w:rsidR="00675019" w:rsidRPr="00675019" w:rsidRDefault="00675019" w:rsidP="00BE5F80">
      <w:pPr>
        <w:spacing w:after="0" w:line="360" w:lineRule="auto"/>
        <w:jc w:val="both"/>
        <w:rPr>
          <w:rFonts w:ascii="Arial" w:hAnsi="Arial" w:cs="Arial"/>
          <w:sz w:val="22"/>
          <w:szCs w:val="22"/>
        </w:rPr>
      </w:pPr>
    </w:p>
    <w:p w14:paraId="2F74865D" w14:textId="197F714D" w:rsidR="00675019" w:rsidRPr="00675019" w:rsidRDefault="00675019" w:rsidP="00BE5F80">
      <w:pPr>
        <w:spacing w:after="0" w:line="360" w:lineRule="auto"/>
        <w:jc w:val="both"/>
        <w:rPr>
          <w:rFonts w:ascii="Arial" w:hAnsi="Arial" w:cs="Arial"/>
          <w:sz w:val="22"/>
          <w:szCs w:val="22"/>
        </w:rPr>
      </w:pPr>
      <w:r w:rsidRPr="00675019">
        <w:rPr>
          <w:rFonts w:ascii="Arial" w:hAnsi="Arial" w:cs="Arial"/>
          <w:sz w:val="22"/>
          <w:szCs w:val="22"/>
        </w:rPr>
        <w:t xml:space="preserve">Porter, M.E. (2010) ‘What is value in health care?’, New England Journal of Medicine, 363(26), pp. 2477–2481. Available at: </w:t>
      </w:r>
      <w:hyperlink r:id="rId17" w:history="1">
        <w:r w:rsidR="00BE5F80" w:rsidRPr="00CC2543">
          <w:rPr>
            <w:rStyle w:val="Hyperlink"/>
            <w:rFonts w:ascii="Arial" w:hAnsi="Arial" w:cs="Arial"/>
            <w:sz w:val="22"/>
            <w:szCs w:val="22"/>
          </w:rPr>
          <w:t>https://www.nejm.org/doi/full/10.1056/NEJMp1011024</w:t>
        </w:r>
      </w:hyperlink>
      <w:r w:rsidR="00BE5F80">
        <w:rPr>
          <w:rFonts w:ascii="Arial" w:hAnsi="Arial" w:cs="Arial"/>
          <w:sz w:val="22"/>
          <w:szCs w:val="22"/>
        </w:rPr>
        <w:t xml:space="preserve"> </w:t>
      </w:r>
    </w:p>
    <w:p w14:paraId="2453632C" w14:textId="77777777" w:rsidR="00675019" w:rsidRPr="00675019" w:rsidRDefault="00675019" w:rsidP="00BE5F80">
      <w:pPr>
        <w:spacing w:after="0" w:line="360" w:lineRule="auto"/>
        <w:jc w:val="both"/>
        <w:rPr>
          <w:rFonts w:ascii="Arial" w:hAnsi="Arial" w:cs="Arial"/>
          <w:sz w:val="22"/>
          <w:szCs w:val="22"/>
        </w:rPr>
      </w:pPr>
      <w:r w:rsidRPr="00675019">
        <w:rPr>
          <w:rFonts w:ascii="Arial" w:hAnsi="Arial" w:cs="Arial"/>
          <w:sz w:val="22"/>
          <w:szCs w:val="22"/>
        </w:rPr>
        <w:t xml:space="preserve"> (Accessed: 7 January 2026).</w:t>
      </w:r>
    </w:p>
    <w:p w14:paraId="2E104A1B" w14:textId="77777777" w:rsidR="00675019" w:rsidRPr="00675019" w:rsidRDefault="00675019" w:rsidP="00BE5F80">
      <w:pPr>
        <w:spacing w:after="0" w:line="360" w:lineRule="auto"/>
        <w:jc w:val="both"/>
        <w:rPr>
          <w:rFonts w:ascii="Arial" w:hAnsi="Arial" w:cs="Arial"/>
          <w:sz w:val="22"/>
          <w:szCs w:val="22"/>
        </w:rPr>
      </w:pPr>
    </w:p>
    <w:p w14:paraId="41F7AD59" w14:textId="77777777" w:rsidR="00675019" w:rsidRPr="00675019" w:rsidRDefault="00675019" w:rsidP="00BE5F80">
      <w:pPr>
        <w:spacing w:after="0" w:line="360" w:lineRule="auto"/>
        <w:jc w:val="both"/>
        <w:rPr>
          <w:rFonts w:ascii="Arial" w:hAnsi="Arial" w:cs="Arial"/>
          <w:sz w:val="22"/>
          <w:szCs w:val="22"/>
        </w:rPr>
      </w:pPr>
      <w:r w:rsidRPr="00675019">
        <w:rPr>
          <w:rFonts w:ascii="Arial" w:hAnsi="Arial" w:cs="Arial"/>
          <w:sz w:val="22"/>
          <w:szCs w:val="22"/>
        </w:rPr>
        <w:t>Tidd, J. and Bessant, J. (2021) Managing innovation: Integrating technological, market and organizational change. 7th edn. Chichester: Wiley.</w:t>
      </w:r>
    </w:p>
    <w:p w14:paraId="55C20A5E" w14:textId="77777777" w:rsidR="00675019" w:rsidRPr="00675019" w:rsidRDefault="00675019" w:rsidP="00675019">
      <w:pPr>
        <w:jc w:val="both"/>
        <w:rPr>
          <w:rFonts w:ascii="Arial" w:hAnsi="Arial" w:cs="Arial"/>
          <w:sz w:val="22"/>
          <w:szCs w:val="22"/>
        </w:rPr>
      </w:pPr>
    </w:p>
    <w:p w14:paraId="042DDAAD" w14:textId="5EF32B25" w:rsidR="00675019" w:rsidRDefault="00675019" w:rsidP="007B29EF">
      <w:pPr>
        <w:spacing w:after="0" w:line="360" w:lineRule="auto"/>
        <w:jc w:val="both"/>
        <w:rPr>
          <w:rFonts w:ascii="Arial" w:hAnsi="Arial" w:cs="Arial"/>
          <w:sz w:val="22"/>
          <w:szCs w:val="22"/>
        </w:rPr>
      </w:pPr>
      <w:r w:rsidRPr="00675019">
        <w:rPr>
          <w:rFonts w:ascii="Arial" w:hAnsi="Arial" w:cs="Arial"/>
          <w:sz w:val="22"/>
          <w:szCs w:val="22"/>
        </w:rPr>
        <w:t xml:space="preserve">Wang, L. et al. (2021) ‘Wearable devices and their role in chronic disease management’, Journal of Medical Systems, 45(9). Available at: </w:t>
      </w:r>
      <w:hyperlink r:id="rId18" w:history="1">
        <w:r w:rsidR="00BE5F80" w:rsidRPr="00CC2543">
          <w:rPr>
            <w:rStyle w:val="Hyperlink"/>
            <w:rFonts w:ascii="Arial" w:hAnsi="Arial" w:cs="Arial"/>
            <w:sz w:val="22"/>
            <w:szCs w:val="22"/>
          </w:rPr>
          <w:t>https://link.springer.com/article/10.1007/s10916-021-01759-5</w:t>
        </w:r>
      </w:hyperlink>
      <w:r w:rsidR="00BE5F80">
        <w:rPr>
          <w:rFonts w:ascii="Arial" w:hAnsi="Arial" w:cs="Arial"/>
          <w:sz w:val="22"/>
          <w:szCs w:val="22"/>
        </w:rPr>
        <w:t xml:space="preserve">  </w:t>
      </w:r>
      <w:r w:rsidRPr="00675019">
        <w:rPr>
          <w:rFonts w:ascii="Arial" w:hAnsi="Arial" w:cs="Arial"/>
          <w:sz w:val="22"/>
          <w:szCs w:val="22"/>
        </w:rPr>
        <w:t>(Accessed: 7 January 2026).</w:t>
      </w:r>
    </w:p>
    <w:p w14:paraId="77681517" w14:textId="77777777" w:rsidR="005A1370" w:rsidRDefault="005A1370" w:rsidP="007B29EF">
      <w:pPr>
        <w:spacing w:after="0" w:line="360" w:lineRule="auto"/>
        <w:jc w:val="both"/>
        <w:rPr>
          <w:rFonts w:ascii="Arial" w:hAnsi="Arial" w:cs="Arial"/>
          <w:sz w:val="22"/>
          <w:szCs w:val="22"/>
        </w:rPr>
      </w:pPr>
    </w:p>
    <w:p w14:paraId="22ABD902" w14:textId="77777777" w:rsidR="005A1370" w:rsidRPr="00675019" w:rsidRDefault="005A1370" w:rsidP="007B29EF">
      <w:pPr>
        <w:spacing w:after="0" w:line="360" w:lineRule="auto"/>
        <w:jc w:val="both"/>
        <w:rPr>
          <w:rFonts w:ascii="Arial" w:hAnsi="Arial" w:cs="Arial"/>
          <w:sz w:val="22"/>
          <w:szCs w:val="22"/>
        </w:rPr>
      </w:pPr>
    </w:p>
    <w:p w14:paraId="6E2ACCB4" w14:textId="0C95CB28" w:rsidR="00675019" w:rsidRDefault="005A1370" w:rsidP="005A1370">
      <w:pPr>
        <w:spacing w:after="0" w:line="360" w:lineRule="auto"/>
        <w:jc w:val="both"/>
        <w:rPr>
          <w:rFonts w:ascii="Arial" w:hAnsi="Arial" w:cs="Arial"/>
          <w:sz w:val="22"/>
          <w:szCs w:val="22"/>
        </w:rPr>
      </w:pPr>
      <w:r w:rsidRPr="005A1370">
        <w:rPr>
          <w:rFonts w:ascii="Arial" w:hAnsi="Arial" w:cs="Arial"/>
          <w:sz w:val="22"/>
          <w:szCs w:val="22"/>
        </w:rPr>
        <w:t xml:space="preserve">Willis, V.C., Thomas Craig, K.J., Jabbarpour, Y., Scheufele, E.L., Arriaga, Y.E., Ajinkya, M., Rhee, K.B. and Bazemore, A. (2022) ‘Digital health interventions to enhance prevention in primary care: A scoping review’, JMIR Medical Informatics, 10(1) Available at: </w:t>
      </w:r>
      <w:hyperlink r:id="rId19" w:history="1">
        <w:r w:rsidR="003C2BC4" w:rsidRPr="00CC2543">
          <w:rPr>
            <w:rStyle w:val="Hyperlink"/>
            <w:rFonts w:ascii="Arial" w:hAnsi="Arial" w:cs="Arial"/>
            <w:sz w:val="22"/>
            <w:szCs w:val="22"/>
          </w:rPr>
          <w:t>https://medinform.jmir.org/2022/1/e33518/</w:t>
        </w:r>
      </w:hyperlink>
      <w:r w:rsidR="003C2BC4">
        <w:rPr>
          <w:rFonts w:ascii="Arial" w:hAnsi="Arial" w:cs="Arial"/>
          <w:sz w:val="22"/>
          <w:szCs w:val="22"/>
        </w:rPr>
        <w:t xml:space="preserve"> </w:t>
      </w:r>
      <w:r w:rsidRPr="005A1370">
        <w:rPr>
          <w:rFonts w:ascii="Arial" w:hAnsi="Arial" w:cs="Arial"/>
          <w:sz w:val="22"/>
          <w:szCs w:val="22"/>
        </w:rPr>
        <w:t>(Accessed: 7 January 2026).</w:t>
      </w:r>
    </w:p>
    <w:p w14:paraId="5ECFDC74" w14:textId="77777777" w:rsidR="005A1370" w:rsidRPr="00675019" w:rsidRDefault="005A1370" w:rsidP="007B29EF">
      <w:pPr>
        <w:spacing w:after="0" w:line="360" w:lineRule="auto"/>
        <w:jc w:val="both"/>
        <w:rPr>
          <w:rFonts w:ascii="Arial" w:hAnsi="Arial" w:cs="Arial"/>
          <w:sz w:val="22"/>
          <w:szCs w:val="22"/>
        </w:rPr>
      </w:pPr>
    </w:p>
    <w:p w14:paraId="7C75C54D" w14:textId="1BB594C0" w:rsidR="008B1273" w:rsidRPr="00675019" w:rsidRDefault="00675019" w:rsidP="00675019">
      <w:pPr>
        <w:jc w:val="both"/>
        <w:rPr>
          <w:rFonts w:ascii="Arial" w:hAnsi="Arial" w:cs="Arial"/>
          <w:sz w:val="22"/>
          <w:szCs w:val="22"/>
        </w:rPr>
      </w:pPr>
      <w:r w:rsidRPr="00675019">
        <w:rPr>
          <w:rFonts w:ascii="Arial" w:hAnsi="Arial" w:cs="Arial"/>
          <w:sz w:val="22"/>
          <w:szCs w:val="22"/>
        </w:rPr>
        <w:t xml:space="preserve">West, M. et al. (2017) Developing collective leadership for health care. London: The King’s Fund. Available at: </w:t>
      </w:r>
      <w:hyperlink r:id="rId20" w:history="1">
        <w:r w:rsidR="00BE5F80" w:rsidRPr="00CC2543">
          <w:rPr>
            <w:rStyle w:val="Hyperlink"/>
            <w:rFonts w:ascii="Arial" w:hAnsi="Arial" w:cs="Arial"/>
            <w:sz w:val="22"/>
            <w:szCs w:val="22"/>
          </w:rPr>
          <w:t>https://www.kingsfund.org.uk/publications/developing-collective-leadership-health-care</w:t>
        </w:r>
      </w:hyperlink>
      <w:r w:rsidR="00BE5F80">
        <w:rPr>
          <w:rFonts w:ascii="Arial" w:hAnsi="Arial" w:cs="Arial"/>
          <w:sz w:val="22"/>
          <w:szCs w:val="22"/>
        </w:rPr>
        <w:t xml:space="preserve">  </w:t>
      </w:r>
      <w:r w:rsidRPr="00675019">
        <w:rPr>
          <w:rFonts w:ascii="Arial" w:hAnsi="Arial" w:cs="Arial"/>
          <w:sz w:val="22"/>
          <w:szCs w:val="22"/>
        </w:rPr>
        <w:t>(Accessed: 7 January 2026).</w:t>
      </w:r>
    </w:p>
    <w:sectPr w:rsidR="008B1273" w:rsidRPr="00675019" w:rsidSect="008375B5">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5F0D0" w14:textId="77777777" w:rsidR="005D2616" w:rsidRDefault="005D2616" w:rsidP="008375B5">
      <w:pPr>
        <w:spacing w:after="0" w:line="240" w:lineRule="auto"/>
      </w:pPr>
      <w:r>
        <w:separator/>
      </w:r>
    </w:p>
  </w:endnote>
  <w:endnote w:type="continuationSeparator" w:id="0">
    <w:p w14:paraId="543A27DA" w14:textId="77777777" w:rsidR="005D2616" w:rsidRDefault="005D2616"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FB0F2"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1CE3E6CB"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8759E" w14:textId="77777777" w:rsidR="005D2616" w:rsidRDefault="005D2616" w:rsidP="008375B5">
      <w:pPr>
        <w:spacing w:after="0" w:line="240" w:lineRule="auto"/>
      </w:pPr>
      <w:r>
        <w:separator/>
      </w:r>
    </w:p>
  </w:footnote>
  <w:footnote w:type="continuationSeparator" w:id="0">
    <w:p w14:paraId="6762C829" w14:textId="77777777" w:rsidR="005D2616" w:rsidRDefault="005D2616"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566E86"/>
    <w:multiLevelType w:val="hybridMultilevel"/>
    <w:tmpl w:val="63B80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1413425">
    <w:abstractNumId w:val="2"/>
  </w:num>
  <w:num w:numId="2" w16cid:durableId="1877623337">
    <w:abstractNumId w:val="3"/>
  </w:num>
  <w:num w:numId="3" w16cid:durableId="1514418924">
    <w:abstractNumId w:val="4"/>
  </w:num>
  <w:num w:numId="4" w16cid:durableId="1121263132">
    <w:abstractNumId w:val="0"/>
  </w:num>
  <w:num w:numId="5" w16cid:durableId="1156645576">
    <w:abstractNumId w:val="1"/>
  </w:num>
  <w:num w:numId="6" w16cid:durableId="1625576162">
    <w:abstractNumId w:val="5"/>
  </w:num>
  <w:num w:numId="7" w16cid:durableId="1754083947">
    <w:abstractNumId w:val="7"/>
  </w:num>
  <w:num w:numId="8" w16cid:durableId="1939630204">
    <w:abstractNumId w:val="8"/>
  </w:num>
  <w:num w:numId="9" w16cid:durableId="8607790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04147"/>
    <w:rsid w:val="000E3E5E"/>
    <w:rsid w:val="00117112"/>
    <w:rsid w:val="00125285"/>
    <w:rsid w:val="0013308F"/>
    <w:rsid w:val="00186C32"/>
    <w:rsid w:val="00195E23"/>
    <w:rsid w:val="00255D51"/>
    <w:rsid w:val="00286E86"/>
    <w:rsid w:val="002D64DC"/>
    <w:rsid w:val="002F6069"/>
    <w:rsid w:val="002F67CE"/>
    <w:rsid w:val="00373402"/>
    <w:rsid w:val="003C2BC4"/>
    <w:rsid w:val="003F1E7D"/>
    <w:rsid w:val="0040587C"/>
    <w:rsid w:val="00427065"/>
    <w:rsid w:val="004B6D9F"/>
    <w:rsid w:val="004D5524"/>
    <w:rsid w:val="00557AD2"/>
    <w:rsid w:val="0058254B"/>
    <w:rsid w:val="005A1370"/>
    <w:rsid w:val="005C3244"/>
    <w:rsid w:val="005D2616"/>
    <w:rsid w:val="005E3F3D"/>
    <w:rsid w:val="006306F4"/>
    <w:rsid w:val="00675019"/>
    <w:rsid w:val="006E3FCC"/>
    <w:rsid w:val="007311FD"/>
    <w:rsid w:val="007B29EF"/>
    <w:rsid w:val="008265EC"/>
    <w:rsid w:val="008375B5"/>
    <w:rsid w:val="00864D76"/>
    <w:rsid w:val="00871C29"/>
    <w:rsid w:val="008B1273"/>
    <w:rsid w:val="008C0697"/>
    <w:rsid w:val="008E31E6"/>
    <w:rsid w:val="008E4F15"/>
    <w:rsid w:val="008F1C3F"/>
    <w:rsid w:val="009334D8"/>
    <w:rsid w:val="00987802"/>
    <w:rsid w:val="00A56C71"/>
    <w:rsid w:val="00A6779E"/>
    <w:rsid w:val="00A875D4"/>
    <w:rsid w:val="00A9474F"/>
    <w:rsid w:val="00AB4CE6"/>
    <w:rsid w:val="00AC2DCE"/>
    <w:rsid w:val="00AC3FDE"/>
    <w:rsid w:val="00AC5B5D"/>
    <w:rsid w:val="00B51B93"/>
    <w:rsid w:val="00B51FAF"/>
    <w:rsid w:val="00B83878"/>
    <w:rsid w:val="00BE55B9"/>
    <w:rsid w:val="00BE5F80"/>
    <w:rsid w:val="00C12BE0"/>
    <w:rsid w:val="00C12D50"/>
    <w:rsid w:val="00C67E14"/>
    <w:rsid w:val="00C72BF5"/>
    <w:rsid w:val="00C80D0F"/>
    <w:rsid w:val="00CA730D"/>
    <w:rsid w:val="00CB4707"/>
    <w:rsid w:val="00D202DF"/>
    <w:rsid w:val="00D40915"/>
    <w:rsid w:val="00D66494"/>
    <w:rsid w:val="00DB593B"/>
    <w:rsid w:val="00E40026"/>
    <w:rsid w:val="00E62698"/>
    <w:rsid w:val="00E71E0B"/>
    <w:rsid w:val="00F27FC6"/>
    <w:rsid w:val="00F36444"/>
    <w:rsid w:val="00F807A7"/>
    <w:rsid w:val="00F8221F"/>
    <w:rsid w:val="00FE4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99855"/>
  <w15:chartTrackingRefBased/>
  <w15:docId w15:val="{A0228F38-5B8C-4540-8CE5-CD0334E30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E71E0B"/>
    <w:pPr>
      <w:spacing w:before="240" w:after="0" w:line="259" w:lineRule="auto"/>
      <w:outlineLvl w:val="9"/>
    </w:pPr>
    <w:rPr>
      <w:kern w:val="0"/>
      <w:sz w:val="32"/>
      <w:szCs w:val="32"/>
      <w:lang w:val="en-US"/>
    </w:rPr>
  </w:style>
  <w:style w:type="paragraph" w:styleId="TOC2">
    <w:name w:val="toc 2"/>
    <w:basedOn w:val="Normal"/>
    <w:next w:val="Normal"/>
    <w:autoRedefine/>
    <w:uiPriority w:val="39"/>
    <w:unhideWhenUsed/>
    <w:rsid w:val="00C12BE0"/>
    <w:pPr>
      <w:ind w:left="240"/>
    </w:pPr>
  </w:style>
  <w:style w:type="character" w:styleId="Hyperlink">
    <w:name w:val="Hyperlink"/>
    <w:uiPriority w:val="99"/>
    <w:unhideWhenUsed/>
    <w:rsid w:val="00C12BE0"/>
    <w:rPr>
      <w:color w:val="467886"/>
      <w:u w:val="single"/>
    </w:rPr>
  </w:style>
  <w:style w:type="character" w:styleId="UnresolvedMention">
    <w:name w:val="Unresolved Mention"/>
    <w:uiPriority w:val="99"/>
    <w:semiHidden/>
    <w:unhideWhenUsed/>
    <w:rsid w:val="00675019"/>
    <w:rPr>
      <w:color w:val="605E5C"/>
      <w:shd w:val="clear" w:color="auto" w:fill="E1DFDD"/>
    </w:rPr>
  </w:style>
  <w:style w:type="character" w:styleId="FollowedHyperlink">
    <w:name w:val="FollowedHyperlink"/>
    <w:uiPriority w:val="99"/>
    <w:semiHidden/>
    <w:unhideWhenUsed/>
    <w:rsid w:val="00D202DF"/>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houghtsmostlyaboutlearning.files.wordpress.com/2015/12/gibbs_reflective_cycle.pdf" TargetMode="External"/><Relationship Id="rId18" Type="http://schemas.openxmlformats.org/officeDocument/2006/relationships/hyperlink" Target="https://link.springer.com/article/10.1007/s10916-021-01759-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cademic.oup.com/sleep/article/35/6/769/2558938" TargetMode="External"/><Relationship Id="rId17" Type="http://schemas.openxmlformats.org/officeDocument/2006/relationships/hyperlink" Target="https://www.nejm.org/doi/full/10.1056/NEJMp1011024" TargetMode="External"/><Relationship Id="rId2" Type="http://schemas.openxmlformats.org/officeDocument/2006/relationships/numbering" Target="numbering.xml"/><Relationship Id="rId16" Type="http://schemas.openxmlformats.org/officeDocument/2006/relationships/hyperlink" Target="https://www.nice.org.uk/guidance/mtg70" TargetMode="External"/><Relationship Id="rId20" Type="http://schemas.openxmlformats.org/officeDocument/2006/relationships/hyperlink" Target="https://www.kingsfund.org.uk/publications/developing-collective-leadership-health-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091743520300587" TargetMode="External"/><Relationship Id="rId5" Type="http://schemas.openxmlformats.org/officeDocument/2006/relationships/webSettings" Target="webSettings.xml"/><Relationship Id="rId15" Type="http://schemas.openxmlformats.org/officeDocument/2006/relationships/hyperlink" Target="https://www.leadershipacademy.nhs.uk/resources/healthcare-leadership-model/" TargetMode="External"/><Relationship Id="rId23" Type="http://schemas.openxmlformats.org/officeDocument/2006/relationships/theme" Target="theme/theme1.xml"/><Relationship Id="rId10" Type="http://schemas.openxmlformats.org/officeDocument/2006/relationships/hyperlink" Target="https://www.tandfonline.com/doi/abs/10.1207/s15326934crj1803_13" TargetMode="External"/><Relationship Id="rId19" Type="http://schemas.openxmlformats.org/officeDocument/2006/relationships/hyperlink" Target="https://medinform.jmir.org/2022/1/e33518/"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medinform.jmir.org/2018/2/e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279C85-8601-4215-B014-AC92E14F7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29488</TotalTime>
  <Pages>11</Pages>
  <Words>3066</Words>
  <Characters>17478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Lauren Christopher</cp:lastModifiedBy>
  <cp:revision>52</cp:revision>
  <dcterms:created xsi:type="dcterms:W3CDTF">2025-12-12T13:16:00Z</dcterms:created>
  <dcterms:modified xsi:type="dcterms:W3CDTF">2026-02-26T16:13:00Z</dcterms:modified>
</cp:coreProperties>
</file>