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27E5" w:rsidRPr="005B5BA3" w:rsidRDefault="00AC46F5" w:rsidP="005B5BA3">
      <w:r w:rsidRPr="005B5BA3">
        <w:t>HOW CAN MATERIAL OBJECTS HAVE A SOCIAL LIFE?</w:t>
      </w:r>
    </w:p>
    <w:p w:rsidR="00AC46F5" w:rsidRPr="005B5BA3" w:rsidRDefault="00AC46F5" w:rsidP="005B5BA3"/>
    <w:p w:rsidR="00AC46F5" w:rsidRPr="005B5BA3" w:rsidRDefault="00AC46F5" w:rsidP="005B5BA3">
      <w:r w:rsidRPr="005B5BA3">
        <w:t>Primarily, one must understand what such things as ‘social life’ and ‘material objects’ mean, and how they will be understood in this essay. The definition of ‘social life’ can be a bit complex in understanding but is generally given as the time one spends with other individuals, often in places where additional people may be</w:t>
      </w:r>
      <w:r w:rsidR="005B5BA3" w:rsidRPr="005B5BA3">
        <w:t xml:space="preserve"> (Merriam-webster.com, 2017)</w:t>
      </w:r>
      <w:r w:rsidRPr="005B5BA3">
        <w:t>. Material objects refers to an object having a real physical existence independent of mind or consciousness</w:t>
      </w:r>
      <w:r w:rsidR="005B5BA3" w:rsidRPr="005B5BA3">
        <w:t xml:space="preserve"> (Legal-Dictionary.thefreedictionary.com, 2017)</w:t>
      </w:r>
      <w:r w:rsidRPr="005B5BA3">
        <w:t>. Despite this, material objects can also have a social life which is not independent of mind or consciousness, as the definition of social life is given as the time one spends with others, and material objects not having the sentience it is arguable that individuals have, the social life of an object may refer to the sentience, status or otherwise understanding the individuals apply to materiel objects upon seeing or ‘experiencing’ them. This is that a material object which is not a living being, has no power of autonomy nor ability of movement directly and of its own free will gains a social life in the way it is perceived and used by the living beings around it.</w:t>
      </w:r>
      <w:r w:rsidRPr="005B5BA3">
        <w:br/>
        <w:t xml:space="preserve">          This can be understood in several different ways. Firstly, a material object can have a social life in that it is representative of such things as social class, a material object can be representative of that group of people or one that is used solely by that group. Secondly, a material object can have a social life in that it is a carrier of social norms, rules or messages. This is that a material object can be understood by others to infer a certain status of the owner. This is not the same as a material object that signifies such things as social class, because social class is a restrictive grouping, but a material object with a social life that carries a message or infers a kind of status may transcend social groups and be used by both those in lower classes and upper classes. Thirdly, an item may have a social life in that it literally allows for methods of social communication, be it through social media, or the medium of calls or texts, in this sense, the material object has a social life because it allows for contact between one individual and another to take place without them needing to be in good proximity to one another. I am going to make the case that these different ways in which material objects can be thought to have a social life is so by presenting one or more ethnographies, case studies or evidences in literature in which it can be demonstrated that a material object has a social life.</w:t>
      </w:r>
    </w:p>
    <w:p w:rsidR="00AC46F5" w:rsidRPr="005B5BA3" w:rsidRDefault="00AC46F5" w:rsidP="005B5BA3">
      <w:r w:rsidRPr="005B5BA3">
        <w:t xml:space="preserve">A material object can be considered to have a social life when one views it as a vehicle of or for social grouping. This is, that the material object is in some way symptomatic or indicative of a social group or class. For example, this is presented in Kim </w:t>
      </w:r>
      <w:proofErr w:type="spellStart"/>
      <w:r w:rsidRPr="005B5BA3">
        <w:t>Longinotto’s</w:t>
      </w:r>
      <w:proofErr w:type="spellEnd"/>
      <w:r w:rsidRPr="005B5BA3">
        <w:t xml:space="preserve"> ‘Pink Sari’s”</w:t>
      </w:r>
      <w:r w:rsidR="005B5BA3" w:rsidRPr="005B5BA3">
        <w:t xml:space="preserve"> (Pink Saris, 2010)</w:t>
      </w:r>
      <w:r w:rsidRPr="005B5BA3">
        <w:t xml:space="preserve"> in which she documents the actions of a female social justice group called “Pink gang” who fight for the rights of local women when their cases are presented to them by the women themselves or other concerned women in their family. In the documentary it is made evident that Rural India, (in which the documentary takes place and the people are from) the Hindu Caste system is the way in which society is ordered – which consists of five social groups, the lowest of which the ‘pink gang’ are from and which the subjects of the documentary are largely grouped in. In this it is shows that the colour of a woman’s Sari (traditional clothing) may indicate the class or caste she is from, as pink Sari’s are shown only to be worn by the ‘Hijra’ or the ‘Untouchables’, the lower most Caste. This shows how a material item can have a social life as the Sari, despite the Pink Gang leaders repeated efforts to call the Caste system outdated and irrelevant in modern day India, has a social life because within the society it is a vehicle for the message of social class – when the leader of the pink gang (</w:t>
      </w:r>
      <w:proofErr w:type="spellStart"/>
      <w:r w:rsidRPr="005B5BA3">
        <w:t>Sampat</w:t>
      </w:r>
      <w:proofErr w:type="spellEnd"/>
      <w:r w:rsidRPr="005B5BA3">
        <w:t xml:space="preserve"> Pal) takes a teenager under her care who has been divorced by her husband, cast out by her family and left by her boyfriend she hands her a Pink Sari as she is not wearing that colour and to be in their group in their caste she must wear the colour that makes her part of them.</w:t>
      </w:r>
    </w:p>
    <w:p w:rsidR="005C090B" w:rsidRPr="005B5BA3" w:rsidRDefault="005C090B" w:rsidP="005B5BA3">
      <w:r w:rsidRPr="005B5BA3">
        <w:lastRenderedPageBreak/>
        <w:t>Additionally, a material object can be considered to have a social life because in the way one from a high social class may enjoy elevated status or reverence within a group, an object may also have attached to it elevated status which does not necessarily infer that it is worth money, but that socially to a group of people it is valuable. For example, within the Trobriand island inhabitants are well known and documented to practice a ritual of reciprocity known as the “Kula Ring”,</w:t>
      </w:r>
      <w:r w:rsidR="005B5BA3" w:rsidRPr="005B5BA3">
        <w:t xml:space="preserve"> (Newworldencyclopedia.org, 2017)</w:t>
      </w:r>
      <w:r w:rsidRPr="005B5BA3">
        <w:t xml:space="preserve"> in which individuals from the islands go from island to island braving rough waters in traditional canoes to exchange items that have no monetary value and beyond decoration no use in daily life. These Items are beads and jewellery, made from such things as tortoise shell. Instead of monetary or practical value the value is in the social status the item holds, with some items being given again and again because they are so highly sort after that to give it and to receive it is a great honour. Items in this sense can be thought to have a social life because they have value, and context by the people that make and use them. Much in the way that people have a social life (Think earlier definition in which I established that it is when one spends time with others in a social setting which is where more people are likely to be) as is evidenced by the Kula Ring gift exchange material items can have a social life, too.</w:t>
      </w:r>
    </w:p>
    <w:p w:rsidR="00505881" w:rsidRPr="005B5BA3" w:rsidRDefault="00505881" w:rsidP="005B5BA3">
      <w:r w:rsidRPr="005B5BA3">
        <w:t xml:space="preserve">Material objects may have a social life in the sense that they are literal aids in social communication. The definition on social life as I touched on before is given as the time on spends with other individuals in a setting where further individuals may be, such as a pub or restaurant. A material item such as a phone, tablet or computer can be thought of as having a social life as these are both items and methods of communication. They allow A to contact B, and so on. They allow an individual to meet up with others (by in part giving them the means) and have a social life. In addition to this, </w:t>
      </w:r>
      <w:proofErr w:type="gramStart"/>
      <w:r w:rsidRPr="005B5BA3">
        <w:t>Such</w:t>
      </w:r>
      <w:proofErr w:type="gramEnd"/>
      <w:r w:rsidRPr="005B5BA3">
        <w:t xml:space="preserve"> material objects indicated before like phones and tablets are much like the Sari’s previously mentioned, indicators of social class. This can be determined through the model and make of phone in which more expensive phones preclude to the idea one is from a wealthier background.</w:t>
      </w:r>
      <w:r w:rsidRPr="005B5BA3">
        <w:br/>
        <w:t xml:space="preserve">     Furthermore, in a society which is increasingly reliant on technology – with such tasks as banking, food and clothes shopping and communication – being done online material objects are gaining a social life in which they dictate a digital divide,</w:t>
      </w:r>
      <w:r w:rsidR="005B5BA3" w:rsidRPr="005B5BA3">
        <w:t xml:space="preserve"> (Rouse, </w:t>
      </w:r>
      <w:proofErr w:type="spellStart"/>
      <w:r w:rsidR="005B5BA3" w:rsidRPr="005B5BA3">
        <w:t>n.d.</w:t>
      </w:r>
      <w:proofErr w:type="spellEnd"/>
      <w:r w:rsidR="005B5BA3" w:rsidRPr="005B5BA3">
        <w:t>)</w:t>
      </w:r>
      <w:r w:rsidRPr="005B5BA3">
        <w:t xml:space="preserve"> in which those who can afford the latest technology items are on one side, and on the other are those who cannot or can only afford a dated model which in a short amount of time may be shut out from using certain online services </w:t>
      </w:r>
      <w:r w:rsidR="005B5BA3" w:rsidRPr="005B5BA3">
        <w:t>(</w:t>
      </w:r>
      <w:proofErr w:type="spellStart"/>
      <w:r w:rsidR="005B5BA3" w:rsidRPr="005B5BA3">
        <w:t>Embury</w:t>
      </w:r>
      <w:proofErr w:type="spellEnd"/>
      <w:r w:rsidR="005B5BA3" w:rsidRPr="005B5BA3">
        <w:t>-Dennis, 2017) (Horton, 2016)</w:t>
      </w:r>
      <w:r w:rsidRPr="005B5BA3">
        <w:t>as it is deemed obsolete and it’s ‘social life’ can be seen to be terminated by those that produce the technology as it is no longer able to perform the function that gave it a social life in the first place.</w:t>
      </w:r>
    </w:p>
    <w:p w:rsidR="00505881" w:rsidRPr="005B5BA3" w:rsidRDefault="00505881" w:rsidP="005B5BA3">
      <w:r w:rsidRPr="005B5BA3">
        <w:t>Furthermore, material objects can have a social life in that they can be carriers of social messages, rules or understandings. This is not the same as material objects that represent such groupings as social class, like the Pink Sari’s demonstrated above. As the Pink Sari’s were restricted to one social group, where as an item that carries a message or infers and understanding can be across social groups. For example, wedding rings. Wedding rings are a fixture in western society that infer that the wearer is married. These may be worn by people in lower classes or by people in upper classes though in the western world they are universally understood to infer that an individual is married and therefore in a relationship.</w:t>
      </w:r>
    </w:p>
    <w:p w:rsidR="00AC46F5" w:rsidRDefault="00505881" w:rsidP="005B5BA3">
      <w:r w:rsidRPr="005B5BA3">
        <w:t xml:space="preserve">Overall it can be surmised that there are many ways in which material objects have a social life. As I have gone over in this essay. Material objects can have a social life in that they are carriers of social messages, indicators of one’s social class or can be enablers of one’s literal social life. In </w:t>
      </w:r>
      <w:proofErr w:type="gramStart"/>
      <w:r w:rsidRPr="005B5BA3">
        <w:t>addition</w:t>
      </w:r>
      <w:proofErr w:type="gramEnd"/>
      <w:r w:rsidRPr="005B5BA3">
        <w:t xml:space="preserve"> as pointed out in the case of the Kula Ring, much in the way people spend time with one person than another, and item may do the same in that it changes hands from person to person.</w:t>
      </w:r>
    </w:p>
    <w:p w:rsidR="005B5BA3" w:rsidRDefault="005B5BA3" w:rsidP="005B5BA3"/>
    <w:p w:rsidR="005B5BA3" w:rsidRDefault="005B5BA3" w:rsidP="005B5BA3">
      <w:r>
        <w:lastRenderedPageBreak/>
        <w:t>Reference List:</w:t>
      </w:r>
    </w:p>
    <w:p w:rsidR="005B5BA3" w:rsidRDefault="005B5BA3" w:rsidP="005B5BA3">
      <w:pPr>
        <w:rPr>
          <w:rFonts w:ascii="Arial" w:hAnsi="Arial" w:cs="Arial"/>
          <w:color w:val="666666"/>
          <w:sz w:val="20"/>
          <w:szCs w:val="20"/>
          <w:shd w:val="clear" w:color="auto" w:fill="FFFFFF"/>
        </w:rPr>
      </w:pPr>
      <w:r>
        <w:rPr>
          <w:rFonts w:ascii="Arial" w:hAnsi="Arial" w:cs="Arial"/>
          <w:i/>
          <w:iCs/>
          <w:color w:val="666666"/>
          <w:sz w:val="20"/>
          <w:szCs w:val="20"/>
          <w:shd w:val="clear" w:color="auto" w:fill="FFFFFF"/>
        </w:rPr>
        <w:t>Pink Saris</w:t>
      </w:r>
      <w:r>
        <w:rPr>
          <w:rFonts w:ascii="Arial" w:hAnsi="Arial" w:cs="Arial"/>
          <w:color w:val="666666"/>
          <w:sz w:val="20"/>
          <w:szCs w:val="20"/>
          <w:shd w:val="clear" w:color="auto" w:fill="FFFFFF"/>
        </w:rPr>
        <w:t xml:space="preserve">. (2010). [film] Directed by K. </w:t>
      </w:r>
      <w:proofErr w:type="spellStart"/>
      <w:r>
        <w:rPr>
          <w:rFonts w:ascii="Arial" w:hAnsi="Arial" w:cs="Arial"/>
          <w:color w:val="666666"/>
          <w:sz w:val="20"/>
          <w:szCs w:val="20"/>
          <w:shd w:val="clear" w:color="auto" w:fill="FFFFFF"/>
        </w:rPr>
        <w:t>Longinotto</w:t>
      </w:r>
      <w:proofErr w:type="spellEnd"/>
      <w:r>
        <w:rPr>
          <w:rFonts w:ascii="Arial" w:hAnsi="Arial" w:cs="Arial"/>
          <w:color w:val="666666"/>
          <w:sz w:val="20"/>
          <w:szCs w:val="20"/>
          <w:shd w:val="clear" w:color="auto" w:fill="FFFFFF"/>
        </w:rPr>
        <w:t>. Uttar Pradesh, India.</w:t>
      </w:r>
    </w:p>
    <w:p w:rsidR="005B5BA3" w:rsidRDefault="005B5BA3" w:rsidP="005B5BA3">
      <w:pPr>
        <w:rPr>
          <w:rFonts w:ascii="Arial" w:hAnsi="Arial" w:cs="Arial"/>
          <w:color w:val="666666"/>
          <w:sz w:val="20"/>
          <w:szCs w:val="20"/>
          <w:shd w:val="clear" w:color="auto" w:fill="FFFFFF"/>
        </w:rPr>
      </w:pPr>
      <w:proofErr w:type="spellStart"/>
      <w:r>
        <w:rPr>
          <w:rFonts w:ascii="Arial" w:hAnsi="Arial" w:cs="Arial"/>
          <w:color w:val="666666"/>
          <w:sz w:val="20"/>
          <w:szCs w:val="20"/>
          <w:shd w:val="clear" w:color="auto" w:fill="FFFFFF"/>
        </w:rPr>
        <w:t>Embury</w:t>
      </w:r>
      <w:proofErr w:type="spellEnd"/>
      <w:r>
        <w:rPr>
          <w:rFonts w:ascii="Arial" w:hAnsi="Arial" w:cs="Arial"/>
          <w:color w:val="666666"/>
          <w:sz w:val="20"/>
          <w:szCs w:val="20"/>
          <w:shd w:val="clear" w:color="auto" w:fill="FFFFFF"/>
        </w:rPr>
        <w:t>-Dennis, T. (2017). </w:t>
      </w:r>
      <w:r>
        <w:rPr>
          <w:rFonts w:ascii="Arial" w:hAnsi="Arial" w:cs="Arial"/>
          <w:i/>
          <w:iCs/>
          <w:color w:val="666666"/>
          <w:sz w:val="20"/>
          <w:szCs w:val="20"/>
          <w:shd w:val="clear" w:color="auto" w:fill="FFFFFF"/>
        </w:rPr>
        <w:t>Your Facebook Messenger might be about to shut down. This is how to stop it</w:t>
      </w:r>
      <w:r>
        <w:rPr>
          <w:rFonts w:ascii="Arial" w:hAnsi="Arial" w:cs="Arial"/>
          <w:color w:val="666666"/>
          <w:sz w:val="20"/>
          <w:szCs w:val="20"/>
          <w:shd w:val="clear" w:color="auto" w:fill="FFFFFF"/>
        </w:rPr>
        <w:t>. [online] The Independent. Available at: http://www.independent.co.uk/life-style/gadgets-and-tech/news/facebook-messenger-apps-phones-tablets-windows-android-apple-a7656946.html [Accessed 4 Dec. 2017].</w:t>
      </w:r>
    </w:p>
    <w:p w:rsidR="005B5BA3" w:rsidRDefault="005B5BA3" w:rsidP="005B5BA3">
      <w:pPr>
        <w:rPr>
          <w:rFonts w:ascii="Arial" w:hAnsi="Arial" w:cs="Arial"/>
          <w:color w:val="666666"/>
          <w:sz w:val="20"/>
          <w:szCs w:val="20"/>
          <w:shd w:val="clear" w:color="auto" w:fill="FFFFFF"/>
        </w:rPr>
      </w:pPr>
      <w:r>
        <w:rPr>
          <w:rFonts w:ascii="Arial" w:hAnsi="Arial" w:cs="Arial"/>
          <w:color w:val="666666"/>
          <w:sz w:val="20"/>
          <w:szCs w:val="20"/>
          <w:shd w:val="clear" w:color="auto" w:fill="FFFFFF"/>
        </w:rPr>
        <w:t>Horton, H. (2016). </w:t>
      </w:r>
      <w:r>
        <w:rPr>
          <w:rFonts w:ascii="Arial" w:hAnsi="Arial" w:cs="Arial"/>
          <w:i/>
          <w:iCs/>
          <w:color w:val="666666"/>
          <w:sz w:val="20"/>
          <w:szCs w:val="20"/>
          <w:shd w:val="clear" w:color="auto" w:fill="FFFFFF"/>
        </w:rPr>
        <w:t>WhatsApp to stop working on older phones - find out if your model is affected</w:t>
      </w:r>
      <w:r>
        <w:rPr>
          <w:rFonts w:ascii="Arial" w:hAnsi="Arial" w:cs="Arial"/>
          <w:color w:val="666666"/>
          <w:sz w:val="20"/>
          <w:szCs w:val="20"/>
          <w:shd w:val="clear" w:color="auto" w:fill="FFFFFF"/>
        </w:rPr>
        <w:t>. [online] The Telegraph. Available at: http://www.telegraph.co.uk/technology/2016/12/02/whatsapp-stop-working-older-phones-find-model-affected/ [Accessed 4 Dec. 2017].</w:t>
      </w:r>
    </w:p>
    <w:p w:rsidR="005B5BA3" w:rsidRDefault="005B5BA3" w:rsidP="005B5BA3">
      <w:pPr>
        <w:rPr>
          <w:rFonts w:ascii="Arial" w:hAnsi="Arial" w:cs="Arial"/>
          <w:color w:val="666666"/>
          <w:sz w:val="20"/>
          <w:szCs w:val="20"/>
          <w:shd w:val="clear" w:color="auto" w:fill="FFFFFF"/>
        </w:rPr>
      </w:pPr>
      <w:r>
        <w:rPr>
          <w:rFonts w:ascii="Arial" w:hAnsi="Arial" w:cs="Arial"/>
          <w:color w:val="666666"/>
          <w:sz w:val="20"/>
          <w:szCs w:val="20"/>
          <w:shd w:val="clear" w:color="auto" w:fill="FFFFFF"/>
        </w:rPr>
        <w:t>Rouse, M. (</w:t>
      </w:r>
      <w:proofErr w:type="spellStart"/>
      <w:r>
        <w:rPr>
          <w:rFonts w:ascii="Arial" w:hAnsi="Arial" w:cs="Arial"/>
          <w:color w:val="666666"/>
          <w:sz w:val="20"/>
          <w:szCs w:val="20"/>
          <w:shd w:val="clear" w:color="auto" w:fill="FFFFFF"/>
        </w:rPr>
        <w:t>n.d.</w:t>
      </w:r>
      <w:proofErr w:type="spellEnd"/>
      <w:r>
        <w:rPr>
          <w:rFonts w:ascii="Arial" w:hAnsi="Arial" w:cs="Arial"/>
          <w:color w:val="666666"/>
          <w:sz w:val="20"/>
          <w:szCs w:val="20"/>
          <w:shd w:val="clear" w:color="auto" w:fill="FFFFFF"/>
        </w:rPr>
        <w:t>). </w:t>
      </w:r>
      <w:r>
        <w:rPr>
          <w:rFonts w:ascii="Arial" w:hAnsi="Arial" w:cs="Arial"/>
          <w:i/>
          <w:iCs/>
          <w:color w:val="666666"/>
          <w:sz w:val="20"/>
          <w:szCs w:val="20"/>
          <w:shd w:val="clear" w:color="auto" w:fill="FFFFFF"/>
        </w:rPr>
        <w:t>What is digital divide? - Definition from WhatIs.com</w:t>
      </w:r>
      <w:r>
        <w:rPr>
          <w:rFonts w:ascii="Arial" w:hAnsi="Arial" w:cs="Arial"/>
          <w:color w:val="666666"/>
          <w:sz w:val="20"/>
          <w:szCs w:val="20"/>
          <w:shd w:val="clear" w:color="auto" w:fill="FFFFFF"/>
        </w:rPr>
        <w:t>. [online] WhatIs.com. Available at: http://whatis.techtarget.com/definition/digital-divide [Accessed 4 Dec. 2017].</w:t>
      </w:r>
    </w:p>
    <w:p w:rsidR="005B5BA3" w:rsidRDefault="005B5BA3" w:rsidP="005B5BA3">
      <w:pPr>
        <w:rPr>
          <w:rFonts w:ascii="Arial" w:hAnsi="Arial" w:cs="Arial"/>
          <w:color w:val="666666"/>
          <w:sz w:val="20"/>
          <w:szCs w:val="20"/>
          <w:shd w:val="clear" w:color="auto" w:fill="FFFFFF"/>
        </w:rPr>
      </w:pPr>
      <w:r>
        <w:rPr>
          <w:rFonts w:ascii="Arial" w:hAnsi="Arial" w:cs="Arial"/>
          <w:color w:val="666666"/>
          <w:sz w:val="20"/>
          <w:szCs w:val="20"/>
          <w:shd w:val="clear" w:color="auto" w:fill="FFFFFF"/>
        </w:rPr>
        <w:t>Merriam-webster.com. (2017). </w:t>
      </w:r>
      <w:r>
        <w:rPr>
          <w:rFonts w:ascii="Arial" w:hAnsi="Arial" w:cs="Arial"/>
          <w:i/>
          <w:iCs/>
          <w:color w:val="666666"/>
          <w:sz w:val="20"/>
          <w:szCs w:val="20"/>
          <w:shd w:val="clear" w:color="auto" w:fill="FFFFFF"/>
        </w:rPr>
        <w:t>Definition of SOCIAL LIFE</w:t>
      </w:r>
      <w:r>
        <w:rPr>
          <w:rFonts w:ascii="Arial" w:hAnsi="Arial" w:cs="Arial"/>
          <w:color w:val="666666"/>
          <w:sz w:val="20"/>
          <w:szCs w:val="20"/>
          <w:shd w:val="clear" w:color="auto" w:fill="FFFFFF"/>
        </w:rPr>
        <w:t>. [online] Available at: https://www.merriam-webster.com/dictionary/social%20life [Accessed 4 Dec. 2017].</w:t>
      </w:r>
    </w:p>
    <w:p w:rsidR="005B5BA3" w:rsidRDefault="005B5BA3" w:rsidP="005B5BA3">
      <w:pPr>
        <w:rPr>
          <w:rFonts w:ascii="Arial" w:hAnsi="Arial" w:cs="Arial"/>
          <w:color w:val="666666"/>
          <w:sz w:val="20"/>
          <w:szCs w:val="20"/>
          <w:shd w:val="clear" w:color="auto" w:fill="FFFFFF"/>
        </w:rPr>
      </w:pPr>
      <w:r>
        <w:rPr>
          <w:rFonts w:ascii="Arial" w:hAnsi="Arial" w:cs="Arial"/>
          <w:color w:val="666666"/>
          <w:sz w:val="20"/>
          <w:szCs w:val="20"/>
          <w:shd w:val="clear" w:color="auto" w:fill="FFFFFF"/>
        </w:rPr>
        <w:t>Legal-Dictionary.thefreedictionary.com. (2017). </w:t>
      </w:r>
      <w:r>
        <w:rPr>
          <w:rFonts w:ascii="Arial" w:hAnsi="Arial" w:cs="Arial"/>
          <w:i/>
          <w:iCs/>
          <w:color w:val="666666"/>
          <w:sz w:val="20"/>
          <w:szCs w:val="20"/>
          <w:shd w:val="clear" w:color="auto" w:fill="FFFFFF"/>
        </w:rPr>
        <w:t>Material Object - Definition</w:t>
      </w:r>
      <w:r>
        <w:rPr>
          <w:rFonts w:ascii="Arial" w:hAnsi="Arial" w:cs="Arial"/>
          <w:color w:val="666666"/>
          <w:sz w:val="20"/>
          <w:szCs w:val="20"/>
          <w:shd w:val="clear" w:color="auto" w:fill="FFFFFF"/>
        </w:rPr>
        <w:t>. [online] Available at: https://legal-dictionary.thefreedictionary.com/material+object [Accessed 4 Dec. 2017].</w:t>
      </w:r>
    </w:p>
    <w:p w:rsidR="005B5BA3" w:rsidRPr="005B5BA3" w:rsidRDefault="005B5BA3" w:rsidP="005B5BA3">
      <w:r>
        <w:rPr>
          <w:rFonts w:ascii="Arial" w:hAnsi="Arial" w:cs="Arial"/>
          <w:color w:val="666666"/>
          <w:sz w:val="20"/>
          <w:szCs w:val="20"/>
          <w:shd w:val="clear" w:color="auto" w:fill="FFFFFF"/>
        </w:rPr>
        <w:t>Newworldencyclopedia.org. (2017). </w:t>
      </w:r>
      <w:r>
        <w:rPr>
          <w:rFonts w:ascii="Arial" w:hAnsi="Arial" w:cs="Arial"/>
          <w:i/>
          <w:iCs/>
          <w:color w:val="666666"/>
          <w:sz w:val="20"/>
          <w:szCs w:val="20"/>
          <w:shd w:val="clear" w:color="auto" w:fill="FFFFFF"/>
        </w:rPr>
        <w:t xml:space="preserve">Kula ring - New World </w:t>
      </w:r>
      <w:proofErr w:type="spellStart"/>
      <w:r>
        <w:rPr>
          <w:rFonts w:ascii="Arial" w:hAnsi="Arial" w:cs="Arial"/>
          <w:i/>
          <w:iCs/>
          <w:color w:val="666666"/>
          <w:sz w:val="20"/>
          <w:szCs w:val="20"/>
          <w:shd w:val="clear" w:color="auto" w:fill="FFFFFF"/>
        </w:rPr>
        <w:t>Encyclopedia</w:t>
      </w:r>
      <w:proofErr w:type="spellEnd"/>
      <w:r>
        <w:rPr>
          <w:rFonts w:ascii="Arial" w:hAnsi="Arial" w:cs="Arial"/>
          <w:color w:val="666666"/>
          <w:sz w:val="20"/>
          <w:szCs w:val="20"/>
          <w:shd w:val="clear" w:color="auto" w:fill="FFFFFF"/>
        </w:rPr>
        <w:t>. [online] Available at: http://www.newworldencyclopedia.org/entry/Kula_ring [Accessed 4 Dec. 2017].</w:t>
      </w:r>
      <w:bookmarkStart w:id="0" w:name="_GoBack"/>
      <w:bookmarkEnd w:id="0"/>
    </w:p>
    <w:sectPr w:rsidR="005B5BA3" w:rsidRPr="005B5B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6F5"/>
    <w:rsid w:val="00505881"/>
    <w:rsid w:val="005B5BA3"/>
    <w:rsid w:val="005C090B"/>
    <w:rsid w:val="009373C2"/>
    <w:rsid w:val="00A10F77"/>
    <w:rsid w:val="00AC46F5"/>
    <w:rsid w:val="00DE2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1CAC1"/>
  <w15:chartTrackingRefBased/>
  <w15:docId w15:val="{213A7C07-7042-4081-9255-904478EE4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1495</Words>
  <Characters>8525</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Prior</dc:creator>
  <cp:keywords/>
  <dc:description/>
  <cp:lastModifiedBy>Ellie Prior</cp:lastModifiedBy>
  <cp:revision>1</cp:revision>
  <dcterms:created xsi:type="dcterms:W3CDTF">2017-12-04T22:51:00Z</dcterms:created>
  <dcterms:modified xsi:type="dcterms:W3CDTF">2017-12-05T00:03:00Z</dcterms:modified>
</cp:coreProperties>
</file>