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B85593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65648">
              <w:rPr>
                <w:rFonts w:ascii="Times New Roman" w:hAnsi="Times New Roman" w:cs="Times New Roman"/>
                <w:b/>
                <w:color w:val="auto"/>
                <w:sz w:val="48"/>
              </w:rPr>
              <w:t>Cai O’Marah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6193D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65648">
              <w:rPr>
                <w:rFonts w:ascii="Times New Roman" w:hAnsi="Times New Roman" w:cs="Times New Roman"/>
                <w:b/>
                <w:color w:val="auto"/>
                <w:sz w:val="48"/>
              </w:rPr>
              <w:t xml:space="preserve"> cai.omarah@conwy.gov.uk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6C36F22"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D07386E" w14:textId="77777777" w:rsidR="00C65648" w:rsidRPr="005D3F07" w:rsidRDefault="00C65648" w:rsidP="00C65648">
            <w:pPr>
              <w:ind w:right="-957"/>
              <w:rPr>
                <w:rFonts w:ascii="Times New Roman" w:hAnsi="Times New Roman" w:cs="Times New Roman"/>
                <w:b/>
                <w:sz w:val="48"/>
              </w:rPr>
            </w:pPr>
            <w:r w:rsidRPr="00B54E31">
              <w:rPr>
                <w:rFonts w:ascii="Times New Roman" w:hAnsi="Times New Roman" w:cs="Times New Roman"/>
                <w:b/>
                <w:sz w:val="48"/>
              </w:rPr>
              <w:t>2238433</w:t>
            </w:r>
          </w:p>
          <w:p w14:paraId="028B32EA" w14:textId="77777777" w:rsidR="00C65648" w:rsidRPr="005D3F07" w:rsidRDefault="00C65648" w:rsidP="005D3F07">
            <w:pPr>
              <w:overflowPunct/>
              <w:autoSpaceDE/>
              <w:autoSpaceDN/>
              <w:adjustRightInd/>
              <w:ind w:right="-957"/>
              <w:textAlignment w:val="auto"/>
              <w:rPr>
                <w:rFonts w:ascii="Times New Roman" w:hAnsi="Times New Roman" w:cs="Times New Roman"/>
                <w:b/>
                <w:color w:val="auto"/>
                <w:sz w:val="48"/>
              </w:rPr>
            </w:pPr>
          </w:p>
          <w:p w14:paraId="5F84129B" w14:textId="51644F5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6DD3FE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65648">
        <w:rPr>
          <w:sz w:val="24"/>
          <w:szCs w:val="24"/>
        </w:rPr>
        <w:t>22/06/2023</w:t>
      </w:r>
      <w:r w:rsidR="00C7108B">
        <w:rPr>
          <w:sz w:val="24"/>
          <w:szCs w:val="24"/>
        </w:rPr>
        <w:t xml:space="preserve">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3B14942C" w:rsidR="00D3203C" w:rsidRDefault="00D3203C" w:rsidP="00D3203C">
            <w:pPr>
              <w:jc w:val="both"/>
              <w:rPr>
                <w:i/>
                <w:sz w:val="24"/>
                <w:szCs w:val="24"/>
              </w:rPr>
            </w:pPr>
          </w:p>
          <w:p w14:paraId="6C2D6519" w14:textId="77777777" w:rsidR="00C65648" w:rsidRDefault="00C65648" w:rsidP="00C65648">
            <w:pPr>
              <w:spacing w:line="480" w:lineRule="auto"/>
              <w:rPr>
                <w:lang w:val="cy-GB"/>
              </w:rPr>
            </w:pPr>
            <w:r>
              <w:rPr>
                <w:lang w:val="cy-GB"/>
              </w:rPr>
              <w:t xml:space="preserve">Person 1 was referred to our service by a Supported Living Coordinator (SLC) who had concerns around ability to manage independently, and undiagnosed learning difficulties. The plan was to meet with Person 1 for a screening assessment to determine whether there were any current care and support needs, as is 1’s rights under the principles of the Social Services and Wellbeing (Wales) Act (SSWB(W)A) (2014) (Welsh Government [WG]; 2014). </w:t>
            </w:r>
          </w:p>
          <w:p w14:paraId="248C73A9" w14:textId="77777777" w:rsidR="00C65648" w:rsidRDefault="00C65648" w:rsidP="00C65648">
            <w:pPr>
              <w:spacing w:line="480" w:lineRule="auto"/>
              <w:rPr>
                <w:lang w:val="cy-GB"/>
              </w:rPr>
            </w:pPr>
            <w:r>
              <w:rPr>
                <w:lang w:val="cy-GB"/>
              </w:rPr>
              <w:t>1 identifies as  female and lives alone in a self-contained bungalow on a housing project in a coastal town within a County where the percentage of Welsh speakers is relatively low by national average (WG; 2023). There are good transport networks to, and from, the town, and a number of accessible services.</w:t>
            </w:r>
          </w:p>
          <w:p w14:paraId="3B3DE373" w14:textId="77777777" w:rsidR="00C65648" w:rsidRDefault="00C65648" w:rsidP="00C65648">
            <w:pPr>
              <w:spacing w:line="480" w:lineRule="auto"/>
              <w:rPr>
                <w:lang w:val="cy-GB"/>
              </w:rPr>
            </w:pPr>
            <w:r>
              <w:rPr>
                <w:lang w:val="cy-GB"/>
              </w:rPr>
              <w:t>Initial contact was difficult with 1 as she has no access to a phone and requires support to read  letters. 1 uses an intercom to communicate with her SLC. To set-up the initial meeting with 1, I relayed my messages to her SLC and awaited a response. I ensured that her SLC asked 1 if the visit could be observed</w:t>
            </w:r>
            <w:r w:rsidRPr="008A4686">
              <w:rPr>
                <w:lang w:val="cy-GB"/>
              </w:rPr>
              <w:t xml:space="preserve"> </w:t>
            </w:r>
            <w:r>
              <w:rPr>
                <w:lang w:val="cy-GB"/>
              </w:rPr>
              <w:t>with me, not 1, being the focus of the observation, clearly defining the reason why; I also clarified that she could refuse if she was not comfortable. 1 replied through her SLC that she had no problem with this, and I had no reason to doubt her as an individual with assumed capacity able to make informed decisions (Mental Capacity Act [MCA]; 2005). I knew that she had met my mentor previously and therefore would feel at ease with no negative impact.</w:t>
            </w:r>
          </w:p>
          <w:p w14:paraId="504B9070" w14:textId="77777777" w:rsidR="00C65648" w:rsidRDefault="00C65648" w:rsidP="00C65648">
            <w:pPr>
              <w:spacing w:line="480" w:lineRule="auto"/>
              <w:rPr>
                <w:lang w:val="cy-GB"/>
              </w:rPr>
            </w:pPr>
            <w:r>
              <w:rPr>
                <w:lang w:val="cy-GB"/>
              </w:rPr>
              <w:t xml:space="preserve">I was aware through supervision and  reading the referral that 1 had settled in the area from across the border, and her identity of being from a specific geographical region in England is strong. Although, as not to assume, the ‘Active Offer’ was offered on  arrival (WG; 2015); I asked her preference for the assessment to be conducted in Welsh or English; 1’s preferred language was English.   </w:t>
            </w:r>
          </w:p>
          <w:p w14:paraId="1F851EE6" w14:textId="39D262A1" w:rsidR="00C65648" w:rsidRDefault="00C65648" w:rsidP="00D3203C">
            <w:pPr>
              <w:jc w:val="both"/>
              <w:rPr>
                <w:sz w:val="24"/>
                <w:szCs w:val="24"/>
              </w:rPr>
            </w:pPr>
          </w:p>
          <w:p w14:paraId="571E82B8" w14:textId="582F3541" w:rsidR="00C65648" w:rsidRPr="00C65648" w:rsidRDefault="00C65648" w:rsidP="00D3203C">
            <w:pPr>
              <w:jc w:val="both"/>
              <w:rPr>
                <w:b/>
                <w:sz w:val="24"/>
                <w:szCs w:val="24"/>
              </w:rPr>
            </w:pPr>
            <w:r>
              <w:rPr>
                <w:b/>
                <w:sz w:val="24"/>
                <w:szCs w:val="24"/>
              </w:rPr>
              <w:t>Word Count - 330</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DCA65A" w14:textId="77777777" w:rsidR="00C65648" w:rsidRDefault="00C65648" w:rsidP="00C65648">
            <w:pPr>
              <w:jc w:val="both"/>
              <w:rPr>
                <w:i/>
                <w:sz w:val="24"/>
                <w:szCs w:val="24"/>
              </w:rPr>
            </w:pPr>
          </w:p>
          <w:p w14:paraId="0DB08545" w14:textId="7803839A" w:rsidR="00C65648" w:rsidRPr="00C65648" w:rsidRDefault="00C65648" w:rsidP="00C65648">
            <w:pPr>
              <w:jc w:val="both"/>
              <w:rPr>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8D86C9B"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1CB2E5A" w14:textId="10688301" w:rsidR="00C65648" w:rsidRDefault="00C65648" w:rsidP="00243DB0">
            <w:pPr>
              <w:jc w:val="both"/>
              <w:rPr>
                <w:i/>
                <w:sz w:val="24"/>
                <w:szCs w:val="24"/>
              </w:rPr>
            </w:pPr>
          </w:p>
          <w:p w14:paraId="147675DD" w14:textId="3AF69982" w:rsidR="00C65648" w:rsidRDefault="00C65648" w:rsidP="00243DB0">
            <w:pPr>
              <w:jc w:val="both"/>
              <w:rPr>
                <w:i/>
                <w:sz w:val="24"/>
                <w:szCs w:val="24"/>
              </w:rPr>
            </w:pPr>
          </w:p>
          <w:p w14:paraId="6BD0678F" w14:textId="77777777" w:rsidR="00C65648" w:rsidRDefault="00C65648" w:rsidP="00C65648">
            <w:pPr>
              <w:spacing w:line="480" w:lineRule="auto"/>
              <w:rPr>
                <w:lang w:val="cy-GB"/>
              </w:rPr>
            </w:pPr>
            <w:r>
              <w:rPr>
                <w:lang w:val="cy-GB"/>
              </w:rPr>
              <w:t xml:space="preserve">At the beginning of the observation, I offered 1 the ‘Active Offer’ without making assumptions on language choice. In social work, language is a powerful tool that we use to communicate (Shannon; 2019), and it is evidenced through Practice Reviews that assessing individuals in the language that is not the service user’s preferred language can harm the chances of successful outcomes (NSPCC; 2014) and the building of trustful relationships with individuals who receive a service (Code (2) of Professional Practice) (Social Care Wales [SCW]; 2017). As a bilingual social worker, I am acutely aware of the power of language when conducting assessments, and the potential for power imbalance when conversations with service users are not carried out in their language of choice (in addition to the words used) (Goyner; 2021). Although having prior knowledge of 1’s cultural and linguistic background, I was conscious not to assume language choice but still to offer the ‘Active Offer’ in a way that would not make 1 feel judged for not being a Welsh speaker (Biestek; 1953). The ‘Active Offer’ as outlined in the Welsh Government Framework, ‘More than just Words’ means  people are given a service in Welsh without having to ask for it (WG; 2022). </w:t>
            </w:r>
          </w:p>
          <w:p w14:paraId="3521B9E8" w14:textId="77777777" w:rsidR="00C65648" w:rsidRDefault="00C65648" w:rsidP="00C65648">
            <w:pPr>
              <w:spacing w:line="480" w:lineRule="auto"/>
              <w:rPr>
                <w:lang w:val="cy-GB"/>
              </w:rPr>
            </w:pPr>
            <w:r>
              <w:rPr>
                <w:lang w:val="cy-GB"/>
              </w:rPr>
              <w:t xml:space="preserve">When we entered 1’s home, I asked 1 where she would prefer for us to sit, and began the assessment by making 1 feel comfortable by commenting positively on her home and asking about the pictures up on her wall. I had not previously met 1, and had only communicated with her through a third party due to communication difficulties in getting in touch with 1 as her sole mode of communication is through an intercom system that is linked with emergency services and her SLC only. When we arrived, 1 was waiting outside her house for us and invited us inside. I introduced my mentor (the observer) and again confirmed if she was happy for the </w:t>
            </w:r>
            <w:r>
              <w:rPr>
                <w:lang w:val="cy-GB"/>
              </w:rPr>
              <w:lastRenderedPageBreak/>
              <w:t xml:space="preserve">meeting to be observed and stipulated why; 1 confirmed she was happy with this, and confirmed that she had previously consented to this through her SLC. </w:t>
            </w:r>
          </w:p>
          <w:p w14:paraId="69E5D4EB" w14:textId="77777777" w:rsidR="00C65648" w:rsidRDefault="00C65648" w:rsidP="00C65648">
            <w:pPr>
              <w:spacing w:line="480" w:lineRule="auto"/>
              <w:rPr>
                <w:lang w:val="cy-GB"/>
              </w:rPr>
            </w:pPr>
            <w:r>
              <w:rPr>
                <w:lang w:val="cy-GB"/>
              </w:rPr>
              <w:t xml:space="preserve">Using a combination of gentle and non-offensive verbal and non-verbal cues I first made 1 feel at ease and relaxed. Beginning with small talk was part of my communication strategy which worked well as 1 began to notably relax as she began talking about her dog which she had to give away as she was struggling to look after him. 1 was eager to talk and I sensed that she struggled with loneliness and did not have many people whom she could talk to, and I had to apply a different communication strategy to steer the conversation back to the assessment. I did this by relating 1’s own care and support needs to her dog’s and asking her why she felt she needed to give him up, which would give me some insight into what it is that 1 finds difficult to manage independently, whilst also giving 1 an opportunity to talk about her dog (SCW; 2017). </w:t>
            </w:r>
          </w:p>
          <w:p w14:paraId="31261AD5" w14:textId="77777777" w:rsidR="00C65648" w:rsidRDefault="00C65648" w:rsidP="00C65648">
            <w:pPr>
              <w:spacing w:line="480" w:lineRule="auto"/>
              <w:rPr>
                <w:lang w:val="cy-GB"/>
              </w:rPr>
            </w:pPr>
            <w:r>
              <w:rPr>
                <w:lang w:val="cy-GB"/>
              </w:rPr>
              <w:t xml:space="preserve">1 had a tendency to go off tangent at times and I had to focus the conversation by making sure that 1 felt listened to by using a SURETY non-verbal communication strategy (Stickley; 2011),  ensuring through non-verbal communication that 1 felt that her voice was being listened to. Using the SURETY model, I sat across from 1 without folding my arms and legs, and leaned forward to demonstrate active listening (National Health Service [NHS];2021). I maintained eye contact throughout, and used my intuition when I felt I had an opportunity to focus 1 when she went off-tangent without seeming offensive (Stickley; 2011). This achieved two things; it made 1 feel listened to and it helped to establish a rapport of trust which helped later on when we began to discuss more specific and painful subjects.  </w:t>
            </w:r>
          </w:p>
          <w:p w14:paraId="1DE02098" w14:textId="77777777" w:rsidR="00C65648" w:rsidRDefault="00C65648" w:rsidP="00C65648">
            <w:pPr>
              <w:spacing w:line="480" w:lineRule="auto"/>
              <w:rPr>
                <w:lang w:val="cy-GB"/>
              </w:rPr>
            </w:pPr>
            <w:r>
              <w:rPr>
                <w:lang w:val="cy-GB"/>
              </w:rPr>
              <w:t xml:space="preserve">1 has lived in her current accommodation since her father died in 2018, and although supported by her SLC, does not have additional support networks. Since establishing a level of trust through active listening and non-verbal cues earlier on, I focused the conversation on how 1 had been coping living independently since her father died. This was made easier by earlier giving flexibility to 1 by allowing her to show us her pictures, which also demonstrated practising a person-centred approach (Rogers; 1979) and by recognising 1’s ability for self-understanding and tapping into that to inform identification of any support needs. </w:t>
            </w:r>
          </w:p>
          <w:p w14:paraId="3A4F1813" w14:textId="77777777" w:rsidR="00C65648" w:rsidRDefault="00C65648" w:rsidP="00C65648">
            <w:pPr>
              <w:spacing w:line="480" w:lineRule="auto"/>
              <w:rPr>
                <w:lang w:val="cy-GB"/>
              </w:rPr>
            </w:pPr>
            <w:r>
              <w:rPr>
                <w:lang w:val="cy-GB"/>
              </w:rPr>
              <w:t xml:space="preserve">I had previously identified that 1 may feel lonely, but as the session progressed it became clear that 1 was also suffering from a sense of loss and grief not only pertaining to the death of her father, but also suffering from the ‘ambiguous loss’ of having to give up her dog and companion (Mayo Clinic Health System; 2023). I felt that I </w:t>
            </w:r>
            <w:r>
              <w:rPr>
                <w:lang w:val="cy-GB"/>
              </w:rPr>
              <w:lastRenderedPageBreak/>
              <w:t xml:space="preserve">demonstrated emotional intelligence during what I perceived to be moments of reflection by 1 whereby I would allow the silence to linger for a moment before offering words of sympathy (Herland; 2021). </w:t>
            </w:r>
          </w:p>
          <w:p w14:paraId="075B54DE" w14:textId="77777777" w:rsidR="00C65648" w:rsidRDefault="00C65648" w:rsidP="00C65648">
            <w:pPr>
              <w:spacing w:line="480" w:lineRule="auto"/>
              <w:rPr>
                <w:lang w:val="cy-GB"/>
              </w:rPr>
            </w:pPr>
            <w:r>
              <w:rPr>
                <w:lang w:val="cy-GB"/>
              </w:rPr>
              <w:t xml:space="preserve">1 then told me that she intended to get another dog. Using open questions and statements, I explored this issue further by firstly making statements based on what 1 had previously told me about her difficulty with her previous dog, and then asking what had changed since. As her ability to remain within her monthly budget had been cited as one of the main reasons for referral, I asked 1 a closed question (statement) about how getting another dog would strain her budget further, and an open question on what she would do differently. I exercised non-judgemental practice whilst discussing the dog by acknowledging the difficulties of 1’s situation (such as commenting on the cost of living crisis and difficulties faced by many to afford the basics) whilst not making any judgments of 1’s own ability to care for a dog. 1 would also make statements of self-judgement, which I did not mirror, and instead explored the reasoning behind this.  </w:t>
            </w:r>
          </w:p>
          <w:p w14:paraId="55D37275" w14:textId="77777777" w:rsidR="00C65648" w:rsidRDefault="00C65648" w:rsidP="00C65648">
            <w:pPr>
              <w:spacing w:line="480" w:lineRule="auto"/>
              <w:rPr>
                <w:lang w:val="cy-GB"/>
              </w:rPr>
            </w:pPr>
            <w:r>
              <w:rPr>
                <w:lang w:val="cy-GB"/>
              </w:rPr>
              <w:t xml:space="preserve">As social workers we often have to be time conscious, and at times during the observation I was conscious of the need to focus on what the support needs are and identify outcomes; however,  I felt it was important to give 1 the time to communicate at her own pace and to be given the space to express herself, with a gentle nudge back to an outcome-focus when I felt it appropriate. I was able to identify outcomes through asking what 1’s day-to-day routines are like and it became clear that 1 was struggling with her mobility which was impacting on her ability to complete everyday tasks such as shopping and cleaning, as well as her access to the wider community. 1 and I agreed that I’d refer to occupational therapy, and through using a person-centred approach I included 1 in the entire decision making process with 1’s wishes and feelings central to the identified outcomes, and working in partnership with 1 to identify this need (WG; 2014) (SCW; 2022).   </w:t>
            </w:r>
          </w:p>
          <w:p w14:paraId="2BDAD9FB" w14:textId="77777777" w:rsidR="00C65648" w:rsidRDefault="00C65648" w:rsidP="00C65648">
            <w:pPr>
              <w:spacing w:line="480" w:lineRule="auto"/>
              <w:rPr>
                <w:lang w:val="cy-GB"/>
              </w:rPr>
            </w:pPr>
            <w:r>
              <w:rPr>
                <w:lang w:val="cy-GB"/>
              </w:rPr>
              <w:t xml:space="preserve">Following the observation, I received feedback from the observer which has informed my own evaluation and reflection of how the observation went.  Using Borton’s (1970) ‘What’ model of reflection that was cited by Dabell (2018), I’ve reflected that my intention at the beginning of the visit was to assess and/or identify eligible care and support needs in line with SSWB(W)A 2014 and our own criteria for social support (the ‘What’). Having further reflected on the ‘So What’, I’ve concluded that I should have had more awareness prior to the observation of the community where 1 lives, and how language, age and disability can become barriers creating social exclusion and isolation. Also,  that I needed to widen my skills in talking about, and acknowledging, markers of social isolation (something which I am beginning to learn is fairly common and can </w:t>
            </w:r>
            <w:r>
              <w:rPr>
                <w:lang w:val="cy-GB"/>
              </w:rPr>
              <w:lastRenderedPageBreak/>
              <w:t xml:space="preserve">impact on people’s mental health deeply), and to build on local knowledge so as I can better offer signposting. Although I would say that the observation went well, and I was able to identify outcomes, I reflect on my need to learn and develop my knowledge of local resources to more effectively signpost through research and networking, and develop my assessment skills further through training and supervision (which is the ‘Now What’ ).  </w:t>
            </w:r>
          </w:p>
          <w:p w14:paraId="05E9461B" w14:textId="77777777" w:rsidR="00C65648" w:rsidRDefault="00C65648" w:rsidP="00C65648">
            <w:pPr>
              <w:jc w:val="both"/>
              <w:rPr>
                <w:sz w:val="24"/>
                <w:szCs w:val="24"/>
              </w:rPr>
            </w:pPr>
          </w:p>
          <w:p w14:paraId="61333E11" w14:textId="77777777" w:rsidR="00C65648" w:rsidRPr="00C65648" w:rsidRDefault="00C65648" w:rsidP="00C65648">
            <w:pPr>
              <w:jc w:val="both"/>
              <w:rPr>
                <w:b/>
                <w:sz w:val="24"/>
                <w:szCs w:val="24"/>
              </w:rPr>
            </w:pPr>
            <w:r>
              <w:rPr>
                <w:b/>
                <w:sz w:val="24"/>
                <w:szCs w:val="24"/>
              </w:rPr>
              <w:t xml:space="preserve">Word Count – 1375 </w:t>
            </w:r>
          </w:p>
          <w:p w14:paraId="05E0FE3A" w14:textId="77777777" w:rsidR="00C65648" w:rsidRDefault="00C65648" w:rsidP="00C65648">
            <w:pPr>
              <w:jc w:val="both"/>
              <w:rPr>
                <w:i/>
                <w:sz w:val="24"/>
                <w:szCs w:val="24"/>
              </w:rPr>
            </w:pPr>
          </w:p>
          <w:p w14:paraId="2385A7B3" w14:textId="77777777" w:rsidR="00C65648" w:rsidRDefault="00C65648" w:rsidP="00C65648">
            <w:pPr>
              <w:jc w:val="both"/>
              <w:rPr>
                <w:i/>
                <w:sz w:val="24"/>
                <w:szCs w:val="24"/>
              </w:rPr>
            </w:pPr>
          </w:p>
          <w:p w14:paraId="597F5372" w14:textId="77777777" w:rsidR="00C65648" w:rsidRDefault="00C65648" w:rsidP="00C65648">
            <w:pPr>
              <w:jc w:val="both"/>
              <w:rPr>
                <w:i/>
                <w:sz w:val="24"/>
                <w:szCs w:val="24"/>
              </w:rPr>
            </w:pPr>
          </w:p>
          <w:p w14:paraId="216BF36F" w14:textId="77777777" w:rsidR="00C65648" w:rsidRPr="00C65648" w:rsidRDefault="00C65648" w:rsidP="00243DB0">
            <w:pPr>
              <w:jc w:val="both"/>
              <w:rPr>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65648" w:rsidRPr="008B28E7" w14:paraId="516B70F2" w14:textId="77777777" w:rsidTr="0078746B">
        <w:tc>
          <w:tcPr>
            <w:tcW w:w="2718" w:type="dxa"/>
            <w:shd w:val="clear" w:color="auto" w:fill="auto"/>
          </w:tcPr>
          <w:p w14:paraId="100EA0C9" w14:textId="77777777" w:rsidR="00C65648" w:rsidRPr="00C7108B" w:rsidRDefault="00C65648" w:rsidP="0078746B">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C3AEED4" w14:textId="77777777" w:rsidR="00C65648" w:rsidRPr="00C7108B" w:rsidRDefault="00C65648" w:rsidP="0078746B">
            <w:pPr>
              <w:rPr>
                <w:sz w:val="22"/>
                <w:szCs w:val="22"/>
              </w:rPr>
            </w:pPr>
          </w:p>
        </w:tc>
        <w:tc>
          <w:tcPr>
            <w:tcW w:w="7470" w:type="dxa"/>
            <w:shd w:val="clear" w:color="auto" w:fill="auto"/>
          </w:tcPr>
          <w:p w14:paraId="1BE8EA26" w14:textId="77777777" w:rsidR="00C65648" w:rsidRPr="008B28E7" w:rsidRDefault="00C65648" w:rsidP="0078746B">
            <w:pPr>
              <w:jc w:val="both"/>
              <w:rPr>
                <w:sz w:val="24"/>
                <w:szCs w:val="24"/>
              </w:rPr>
            </w:pPr>
            <w:r>
              <w:rPr>
                <w:sz w:val="24"/>
                <w:szCs w:val="24"/>
              </w:rPr>
              <w:t xml:space="preserve">Cai was on time. </w:t>
            </w:r>
          </w:p>
        </w:tc>
      </w:tr>
      <w:tr w:rsidR="00C65648" w:rsidRPr="008B28E7" w14:paraId="141B2998" w14:textId="77777777" w:rsidTr="0078746B">
        <w:tc>
          <w:tcPr>
            <w:tcW w:w="2718" w:type="dxa"/>
            <w:shd w:val="clear" w:color="auto" w:fill="auto"/>
          </w:tcPr>
          <w:p w14:paraId="21D8D626" w14:textId="77777777" w:rsidR="00C65648" w:rsidRDefault="00C65648" w:rsidP="0078746B">
            <w:pPr>
              <w:rPr>
                <w:sz w:val="22"/>
                <w:szCs w:val="22"/>
              </w:rPr>
            </w:pPr>
            <w:r w:rsidRPr="00C7108B">
              <w:rPr>
                <w:sz w:val="22"/>
                <w:szCs w:val="22"/>
              </w:rPr>
              <w:lastRenderedPageBreak/>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169C284E" w14:textId="77777777" w:rsidR="00C65648" w:rsidRPr="00C7108B" w:rsidRDefault="00C65648" w:rsidP="0078746B">
            <w:pPr>
              <w:rPr>
                <w:sz w:val="22"/>
                <w:szCs w:val="22"/>
              </w:rPr>
            </w:pPr>
            <w:r>
              <w:rPr>
                <w:sz w:val="22"/>
                <w:szCs w:val="22"/>
              </w:rPr>
              <w:t>Did they explain why they were being observed?</w:t>
            </w:r>
          </w:p>
          <w:p w14:paraId="7FC2EA29" w14:textId="77777777" w:rsidR="00C65648" w:rsidRPr="00C7108B" w:rsidRDefault="00C65648" w:rsidP="0078746B">
            <w:pPr>
              <w:rPr>
                <w:sz w:val="22"/>
                <w:szCs w:val="22"/>
              </w:rPr>
            </w:pPr>
          </w:p>
        </w:tc>
        <w:tc>
          <w:tcPr>
            <w:tcW w:w="7470" w:type="dxa"/>
            <w:shd w:val="clear" w:color="auto" w:fill="auto"/>
          </w:tcPr>
          <w:p w14:paraId="739E1F14" w14:textId="77777777" w:rsidR="00C65648" w:rsidRPr="008B28E7" w:rsidRDefault="00C65648" w:rsidP="0078746B">
            <w:pPr>
              <w:jc w:val="both"/>
              <w:rPr>
                <w:sz w:val="24"/>
                <w:szCs w:val="24"/>
              </w:rPr>
            </w:pPr>
            <w:r>
              <w:rPr>
                <w:sz w:val="24"/>
                <w:szCs w:val="24"/>
              </w:rPr>
              <w:t xml:space="preserve">Yes- I knew there were two people coming and Cai explained it. </w:t>
            </w:r>
          </w:p>
        </w:tc>
      </w:tr>
      <w:tr w:rsidR="00C65648" w:rsidRPr="008B28E7" w14:paraId="380E9C1B" w14:textId="77777777" w:rsidTr="0078746B">
        <w:tc>
          <w:tcPr>
            <w:tcW w:w="2718" w:type="dxa"/>
            <w:shd w:val="clear" w:color="auto" w:fill="auto"/>
          </w:tcPr>
          <w:p w14:paraId="71177246" w14:textId="77777777" w:rsidR="00C65648" w:rsidRDefault="00C65648" w:rsidP="0078746B">
            <w:pPr>
              <w:rPr>
                <w:sz w:val="22"/>
                <w:szCs w:val="22"/>
              </w:rPr>
            </w:pPr>
            <w:r w:rsidRPr="00C7108B">
              <w:rPr>
                <w:sz w:val="22"/>
                <w:szCs w:val="22"/>
              </w:rPr>
              <w:t>Were you clear why the social worker met with you today?</w:t>
            </w:r>
          </w:p>
          <w:p w14:paraId="2B87E144" w14:textId="77777777" w:rsidR="00C65648" w:rsidRPr="00C7108B" w:rsidRDefault="00C65648" w:rsidP="0078746B">
            <w:pPr>
              <w:rPr>
                <w:sz w:val="22"/>
                <w:szCs w:val="22"/>
              </w:rPr>
            </w:pPr>
          </w:p>
        </w:tc>
        <w:tc>
          <w:tcPr>
            <w:tcW w:w="7470" w:type="dxa"/>
            <w:shd w:val="clear" w:color="auto" w:fill="auto"/>
          </w:tcPr>
          <w:p w14:paraId="16D9AEAB" w14:textId="77777777" w:rsidR="00C65648" w:rsidRPr="008B28E7" w:rsidRDefault="00C65648" w:rsidP="0078746B">
            <w:pPr>
              <w:jc w:val="both"/>
              <w:rPr>
                <w:sz w:val="24"/>
                <w:szCs w:val="24"/>
              </w:rPr>
            </w:pPr>
            <w:r>
              <w:rPr>
                <w:sz w:val="24"/>
                <w:szCs w:val="24"/>
              </w:rPr>
              <w:t>Yes</w:t>
            </w:r>
          </w:p>
        </w:tc>
      </w:tr>
      <w:tr w:rsidR="00C65648" w:rsidRPr="008B28E7" w14:paraId="7A5EFFBF" w14:textId="77777777" w:rsidTr="0078746B">
        <w:tc>
          <w:tcPr>
            <w:tcW w:w="2718" w:type="dxa"/>
            <w:shd w:val="clear" w:color="auto" w:fill="auto"/>
          </w:tcPr>
          <w:p w14:paraId="23878450" w14:textId="77777777" w:rsidR="00C65648" w:rsidRPr="00C7108B" w:rsidRDefault="00C65648" w:rsidP="0078746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20EBB600" w14:textId="77777777" w:rsidR="00C65648" w:rsidRPr="00C7108B" w:rsidRDefault="00C65648" w:rsidP="0078746B">
            <w:pPr>
              <w:rPr>
                <w:sz w:val="22"/>
                <w:szCs w:val="22"/>
              </w:rPr>
            </w:pPr>
          </w:p>
        </w:tc>
        <w:tc>
          <w:tcPr>
            <w:tcW w:w="7470" w:type="dxa"/>
            <w:shd w:val="clear" w:color="auto" w:fill="auto"/>
          </w:tcPr>
          <w:p w14:paraId="0DB1D5AD" w14:textId="77777777" w:rsidR="00C65648" w:rsidRPr="008B28E7" w:rsidRDefault="00C65648" w:rsidP="0078746B">
            <w:pPr>
              <w:jc w:val="both"/>
              <w:rPr>
                <w:sz w:val="24"/>
                <w:szCs w:val="24"/>
              </w:rPr>
            </w:pPr>
            <w:r>
              <w:rPr>
                <w:sz w:val="24"/>
                <w:szCs w:val="24"/>
              </w:rPr>
              <w:t xml:space="preserve">He was prepared. </w:t>
            </w:r>
          </w:p>
        </w:tc>
      </w:tr>
      <w:tr w:rsidR="00C65648" w:rsidRPr="008B28E7" w14:paraId="4061879A" w14:textId="77777777" w:rsidTr="0078746B">
        <w:tc>
          <w:tcPr>
            <w:tcW w:w="2718" w:type="dxa"/>
            <w:shd w:val="clear" w:color="auto" w:fill="auto"/>
          </w:tcPr>
          <w:p w14:paraId="2986418B" w14:textId="77777777" w:rsidR="00C65648" w:rsidRDefault="00C65648" w:rsidP="0078746B">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1E8D2E6A" w14:textId="77777777" w:rsidR="00C65648" w:rsidRPr="00C7108B" w:rsidRDefault="00C65648" w:rsidP="0078746B">
            <w:pPr>
              <w:tabs>
                <w:tab w:val="left" w:pos="851"/>
              </w:tabs>
              <w:ind w:hanging="142"/>
              <w:rPr>
                <w:sz w:val="22"/>
                <w:szCs w:val="22"/>
              </w:rPr>
            </w:pPr>
          </w:p>
        </w:tc>
        <w:tc>
          <w:tcPr>
            <w:tcW w:w="7470" w:type="dxa"/>
            <w:shd w:val="clear" w:color="auto" w:fill="auto"/>
          </w:tcPr>
          <w:p w14:paraId="293A65D6" w14:textId="77777777" w:rsidR="00C65648" w:rsidRPr="008B28E7" w:rsidRDefault="00C65648" w:rsidP="0078746B">
            <w:pPr>
              <w:jc w:val="both"/>
              <w:rPr>
                <w:sz w:val="24"/>
                <w:szCs w:val="24"/>
              </w:rPr>
            </w:pPr>
            <w:r>
              <w:rPr>
                <w:sz w:val="24"/>
                <w:szCs w:val="24"/>
              </w:rPr>
              <w:t>Yes, I felt very comfortable</w:t>
            </w:r>
          </w:p>
        </w:tc>
      </w:tr>
      <w:tr w:rsidR="00C65648" w:rsidRPr="008B28E7" w14:paraId="276A9309" w14:textId="77777777" w:rsidTr="0078746B">
        <w:tc>
          <w:tcPr>
            <w:tcW w:w="2718" w:type="dxa"/>
            <w:shd w:val="clear" w:color="auto" w:fill="auto"/>
          </w:tcPr>
          <w:p w14:paraId="789BF602" w14:textId="77777777" w:rsidR="00C65648" w:rsidRDefault="00C65648" w:rsidP="0078746B">
            <w:pPr>
              <w:tabs>
                <w:tab w:val="left" w:pos="-142"/>
                <w:tab w:val="left" w:pos="851"/>
              </w:tabs>
              <w:rPr>
                <w:sz w:val="22"/>
                <w:szCs w:val="22"/>
              </w:rPr>
            </w:pPr>
            <w:r>
              <w:rPr>
                <w:sz w:val="22"/>
                <w:szCs w:val="22"/>
              </w:rPr>
              <w:t>Did the social worker talk to you in a way that you understood?</w:t>
            </w:r>
          </w:p>
          <w:p w14:paraId="1239AD7B" w14:textId="77777777" w:rsidR="00C65648" w:rsidRPr="00706BB5" w:rsidRDefault="00C65648" w:rsidP="0078746B">
            <w:pPr>
              <w:tabs>
                <w:tab w:val="left" w:pos="-142"/>
                <w:tab w:val="left" w:pos="851"/>
              </w:tabs>
              <w:rPr>
                <w:sz w:val="22"/>
                <w:szCs w:val="22"/>
              </w:rPr>
            </w:pPr>
            <w:r w:rsidRPr="3EE31E8D">
              <w:rPr>
                <w:sz w:val="22"/>
                <w:szCs w:val="22"/>
              </w:rPr>
              <w:t>Did the social worker consider your language needs?</w:t>
            </w:r>
          </w:p>
          <w:p w14:paraId="49C0F9CF" w14:textId="77777777" w:rsidR="00C65648" w:rsidRPr="00C7108B" w:rsidRDefault="00C65648" w:rsidP="0078746B">
            <w:pPr>
              <w:tabs>
                <w:tab w:val="left" w:pos="-142"/>
                <w:tab w:val="left" w:pos="851"/>
              </w:tabs>
              <w:rPr>
                <w:sz w:val="22"/>
                <w:szCs w:val="22"/>
              </w:rPr>
            </w:pPr>
          </w:p>
        </w:tc>
        <w:tc>
          <w:tcPr>
            <w:tcW w:w="7470" w:type="dxa"/>
            <w:shd w:val="clear" w:color="auto" w:fill="auto"/>
          </w:tcPr>
          <w:p w14:paraId="0B3C67E6" w14:textId="77777777" w:rsidR="00C65648" w:rsidRPr="008B28E7" w:rsidRDefault="00C65648" w:rsidP="0078746B">
            <w:pPr>
              <w:jc w:val="both"/>
              <w:rPr>
                <w:sz w:val="24"/>
                <w:szCs w:val="24"/>
              </w:rPr>
            </w:pPr>
            <w:r>
              <w:rPr>
                <w:sz w:val="24"/>
                <w:szCs w:val="24"/>
              </w:rPr>
              <w:t>Yes, he was very clear and explained things.</w:t>
            </w:r>
          </w:p>
        </w:tc>
      </w:tr>
    </w:tbl>
    <w:p w14:paraId="3E9787C0" w14:textId="77777777" w:rsidR="00C65648" w:rsidRPr="00676E35" w:rsidRDefault="00C65648" w:rsidP="00C65648">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65648" w:rsidRPr="008B28E7" w14:paraId="360C28D9" w14:textId="77777777" w:rsidTr="0078746B">
        <w:tc>
          <w:tcPr>
            <w:tcW w:w="2718" w:type="dxa"/>
            <w:shd w:val="clear" w:color="auto" w:fill="auto"/>
          </w:tcPr>
          <w:p w14:paraId="563FB587" w14:textId="77777777" w:rsidR="00C65648" w:rsidRDefault="00C65648" w:rsidP="0078746B">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523E1A5" w14:textId="77777777" w:rsidR="00C65648" w:rsidRPr="00C7108B" w:rsidRDefault="00C65648" w:rsidP="0078746B">
            <w:pPr>
              <w:tabs>
                <w:tab w:val="left" w:pos="-142"/>
                <w:tab w:val="left" w:pos="851"/>
              </w:tabs>
              <w:rPr>
                <w:sz w:val="22"/>
                <w:szCs w:val="22"/>
              </w:rPr>
            </w:pPr>
          </w:p>
        </w:tc>
        <w:tc>
          <w:tcPr>
            <w:tcW w:w="7470" w:type="dxa"/>
            <w:shd w:val="clear" w:color="auto" w:fill="auto"/>
          </w:tcPr>
          <w:p w14:paraId="2C945C79" w14:textId="77777777" w:rsidR="00C65648" w:rsidRDefault="00C65648" w:rsidP="0078746B">
            <w:pPr>
              <w:jc w:val="both"/>
              <w:rPr>
                <w:sz w:val="24"/>
                <w:szCs w:val="24"/>
              </w:rPr>
            </w:pPr>
            <w:r>
              <w:rPr>
                <w:sz w:val="24"/>
                <w:szCs w:val="24"/>
              </w:rPr>
              <w:t xml:space="preserve">It has been really helpful and what I </w:t>
            </w:r>
          </w:p>
          <w:p w14:paraId="52AC4627" w14:textId="77777777" w:rsidR="00C65648" w:rsidRPr="008B28E7" w:rsidRDefault="00C65648" w:rsidP="0078746B">
            <w:pPr>
              <w:jc w:val="both"/>
              <w:rPr>
                <w:sz w:val="24"/>
                <w:szCs w:val="24"/>
              </w:rPr>
            </w:pPr>
            <w:proofErr w:type="gramStart"/>
            <w:r>
              <w:rPr>
                <w:sz w:val="24"/>
                <w:szCs w:val="24"/>
              </w:rPr>
              <w:t>wanted</w:t>
            </w:r>
            <w:proofErr w:type="gramEnd"/>
            <w:r>
              <w:rPr>
                <w:sz w:val="24"/>
                <w:szCs w:val="24"/>
              </w:rPr>
              <w:t>. I would be happy for Cai to come again and he answered all my questions</w:t>
            </w:r>
          </w:p>
        </w:tc>
      </w:tr>
      <w:tr w:rsidR="00C65648" w:rsidRPr="008B28E7" w14:paraId="5C3E6390" w14:textId="77777777" w:rsidTr="0078746B">
        <w:tc>
          <w:tcPr>
            <w:tcW w:w="2718" w:type="dxa"/>
            <w:shd w:val="clear" w:color="auto" w:fill="auto"/>
          </w:tcPr>
          <w:p w14:paraId="0B87EF24" w14:textId="77777777" w:rsidR="00C65648" w:rsidRPr="00C7108B" w:rsidRDefault="00C65648" w:rsidP="0078746B">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8EDF78A" w14:textId="77777777" w:rsidR="00C65648" w:rsidRPr="008B28E7" w:rsidRDefault="00C65648" w:rsidP="0078746B">
            <w:pPr>
              <w:jc w:val="both"/>
              <w:rPr>
                <w:sz w:val="24"/>
                <w:szCs w:val="24"/>
              </w:rPr>
            </w:pPr>
            <w:r>
              <w:rPr>
                <w:sz w:val="24"/>
                <w:szCs w:val="24"/>
              </w:rPr>
              <w:t xml:space="preserve">No </w:t>
            </w:r>
          </w:p>
        </w:tc>
      </w:tr>
    </w:tbl>
    <w:p w14:paraId="607E8405" w14:textId="77777777" w:rsidR="00C65648" w:rsidRPr="00134162" w:rsidRDefault="00C65648" w:rsidP="00C65648"/>
    <w:p w14:paraId="709BA58E" w14:textId="77777777" w:rsidR="00C65648" w:rsidRDefault="00C65648" w:rsidP="00C65648">
      <w:pPr>
        <w:spacing w:line="360" w:lineRule="auto"/>
        <w:rPr>
          <w:lang w:val="cy-GB"/>
        </w:rPr>
      </w:pPr>
    </w:p>
    <w:p w14:paraId="55074D83" w14:textId="77777777" w:rsidR="00EB695F" w:rsidRDefault="00EB695F" w:rsidP="00EB695F">
      <w:bookmarkStart w:id="0" w:name="_GoBack"/>
      <w:bookmarkEnd w:id="0"/>
    </w:p>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BC3C90" w14:textId="77777777" w:rsidR="00A3108F" w:rsidRDefault="00A3108F">
      <w:r>
        <w:separator/>
      </w:r>
    </w:p>
  </w:endnote>
  <w:endnote w:type="continuationSeparator" w:id="0">
    <w:p w14:paraId="30A0E01C" w14:textId="77777777" w:rsidR="00A3108F" w:rsidRDefault="00A31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22E64C3" w:rsidR="00A5656A" w:rsidRDefault="00A5656A">
    <w:pPr>
      <w:pStyle w:val="Footer"/>
      <w:jc w:val="right"/>
    </w:pPr>
    <w:r>
      <w:fldChar w:fldCharType="begin"/>
    </w:r>
    <w:r>
      <w:instrText xml:space="preserve"> PAGE   \* MERGEFORMAT </w:instrText>
    </w:r>
    <w:r>
      <w:fldChar w:fldCharType="separate"/>
    </w:r>
    <w:r w:rsidR="00C65648">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1D4F84" w14:textId="77777777" w:rsidR="00A3108F" w:rsidRDefault="00A3108F">
      <w:r>
        <w:separator/>
      </w:r>
    </w:p>
  </w:footnote>
  <w:footnote w:type="continuationSeparator" w:id="0">
    <w:p w14:paraId="6F9FC399" w14:textId="77777777" w:rsidR="00A3108F" w:rsidRDefault="00A310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08F"/>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648"/>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9DAB3F3-F2D5-465C-903E-3032E9FB1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 O'Marah</cp:lastModifiedBy>
  <cp:revision>5</cp:revision>
  <cp:lastPrinted>2020-02-11T19:20:00Z</cp:lastPrinted>
  <dcterms:created xsi:type="dcterms:W3CDTF">2022-09-29T11:34:00Z</dcterms:created>
  <dcterms:modified xsi:type="dcterms:W3CDTF">2024-02-10T10:43:00Z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