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73E84"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Critically evaluate the idea that women face issues of ‘double deviance’ </w:t>
      </w:r>
      <w:r w:rsidRPr="001E3FA9">
        <w:rPr>
          <w:rStyle w:val="eop"/>
          <w:rFonts w:ascii="Arial" w:hAnsi="Arial" w:cs="Arial"/>
        </w:rPr>
        <w:t> </w:t>
      </w:r>
    </w:p>
    <w:p w14:paraId="42761955"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47B6A161"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The following essay aims to critically discuss the idea that women face issues of double deviance. It will analyse real-life case studies in the context of how women are treated within the criminal justice system, compared to men when they commit same-level offences and the experiences of victimisation of women compared to men within the criminal justice system.   </w:t>
      </w:r>
      <w:r w:rsidRPr="001E3FA9">
        <w:rPr>
          <w:rStyle w:val="eop"/>
          <w:rFonts w:ascii="Arial" w:hAnsi="Arial" w:cs="Arial"/>
        </w:rPr>
        <w:t> </w:t>
      </w:r>
    </w:p>
    <w:p w14:paraId="4459D55D"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455B236E"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Double deviance is the idea that women are treated more harshly than men when they commit crimes due to the fact they have deviated from their gender roles and norms (Murphy and Brown, 2000). It could be said that this idea came from gender stereotypes, this is defined as a “generalised view or preconception about characteristics… or roles that are ought to be possessed by women and men” (United Nations, 2022, p.1). Broverman </w:t>
      </w:r>
      <w:r w:rsidRPr="001E3FA9">
        <w:rPr>
          <w:rStyle w:val="normaltextrun"/>
          <w:rFonts w:ascii="Arial" w:hAnsi="Arial" w:cs="Arial"/>
          <w:i/>
          <w:iCs/>
        </w:rPr>
        <w:t>et al.</w:t>
      </w:r>
      <w:r w:rsidRPr="001E3FA9">
        <w:rPr>
          <w:rStyle w:val="normaltextrun"/>
          <w:rFonts w:ascii="Arial" w:hAnsi="Arial" w:cs="Arial"/>
        </w:rPr>
        <w:t xml:space="preserve">, (1972) paper summed up results obtained from a questionnaire regarding sex roles. The results demonstrated that typically, the respondents felt that women are gentler, passive, emotional and indecisive. Contrastingly, men were seen as more aggressive and decisive.  Broverman </w:t>
      </w:r>
      <w:r w:rsidRPr="001E3FA9">
        <w:rPr>
          <w:rStyle w:val="normaltextrun"/>
          <w:rFonts w:ascii="Arial" w:hAnsi="Arial" w:cs="Arial"/>
          <w:i/>
          <w:iCs/>
        </w:rPr>
        <w:t>et al</w:t>
      </w:r>
      <w:r w:rsidRPr="001E3FA9">
        <w:rPr>
          <w:rStyle w:val="normaltextrun"/>
          <w:rFonts w:ascii="Arial" w:hAnsi="Arial" w:cs="Arial"/>
        </w:rPr>
        <w:t xml:space="preserve">., (1972) argued that the results from their questionnaire showed that the characteristics which are viewed as feminine were valued less than characteristics seen as masculine (Hutchings, 2022). Women committing violent crimes like murder have been viewed as transgressive of gender due to women being portrayed as maternal and caring (McGarty </w:t>
      </w:r>
      <w:r w:rsidRPr="001E3FA9">
        <w:rPr>
          <w:rStyle w:val="normaltextrun"/>
          <w:rFonts w:ascii="Arial" w:hAnsi="Arial" w:cs="Arial"/>
          <w:i/>
          <w:iCs/>
        </w:rPr>
        <w:t>et al</w:t>
      </w:r>
      <w:r w:rsidRPr="001E3FA9">
        <w:rPr>
          <w:rStyle w:val="normaltextrun"/>
          <w:rFonts w:ascii="Arial" w:hAnsi="Arial" w:cs="Arial"/>
        </w:rPr>
        <w:t>, 2002).</w:t>
      </w:r>
      <w:r w:rsidRPr="001E3FA9">
        <w:rPr>
          <w:rStyle w:val="eop"/>
          <w:rFonts w:ascii="Arial" w:hAnsi="Arial" w:cs="Arial"/>
        </w:rPr>
        <w:t> </w:t>
      </w:r>
    </w:p>
    <w:p w14:paraId="546B1A36"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2BD96EFF"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From the perspective of the criminal justice system, Lombroso (1880) held the view that women are not as evolved as men, this meant that women were less likely to be </w:t>
      </w:r>
      <w:r w:rsidRPr="001E3FA9">
        <w:rPr>
          <w:rStyle w:val="normaltextrun"/>
          <w:rFonts w:ascii="Arial" w:hAnsi="Arial" w:cs="Arial"/>
        </w:rPr>
        <w:lastRenderedPageBreak/>
        <w:t>‘born criminal’. Lombroso also suggests that prostitution was amongst the most common types of crime committed by women. Newburn (2017, p.3) states that although this view may be seen as “archaic, the lack of investigation into female offending means many of the assumptions of this are still carried through to modern criminology”. This could imply that this view of female criminality is still prominent within today’s society.    This suggests that women suffer from double deviance due to the belief that men can be born criminal, and women simply cannot, implicating that women are viewed differently in court.</w:t>
      </w:r>
      <w:r w:rsidRPr="001E3FA9">
        <w:rPr>
          <w:rStyle w:val="eop"/>
          <w:rFonts w:ascii="Arial" w:hAnsi="Arial" w:cs="Arial"/>
        </w:rPr>
        <w:t> </w:t>
      </w:r>
    </w:p>
    <w:p w14:paraId="4F83FD42"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1597B7E7"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Smart (1976) spoke about the idea of double deviance, explaining that female offenders are typically treated as ‘’double deviant’’ because they broke the law and failed to live up to their ‘role’ and societal standard. Eaton (1986) discovered that female defendants in courts have been known to be seen as the ones responsible for not only their behaviour but that of their family members too. Hill (1864, cited in Whitehead, 2022, para. 4) believes that the community if affected by the conduct of women and are more effected by a ‘bad woman’ than a ‘</w:t>
      </w:r>
      <w:proofErr w:type="spellStart"/>
      <w:r w:rsidRPr="001E3FA9">
        <w:rPr>
          <w:rStyle w:val="normaltextrun"/>
          <w:rFonts w:ascii="Arial" w:hAnsi="Arial" w:cs="Arial"/>
        </w:rPr>
        <w:t>bad</w:t>
      </w:r>
      <w:proofErr w:type="spellEnd"/>
      <w:r w:rsidRPr="001E3FA9">
        <w:rPr>
          <w:rStyle w:val="normaltextrun"/>
          <w:rFonts w:ascii="Arial" w:hAnsi="Arial" w:cs="Arial"/>
        </w:rPr>
        <w:t xml:space="preserve"> man’. A ‘bad woman’ is seen to cause moral injury on society. These attitudes towards female deviance could be seen to reinstate that female deviance is seen as worse and more extreme than that of a male.</w:t>
      </w:r>
      <w:r w:rsidRPr="001E3FA9">
        <w:rPr>
          <w:rStyle w:val="eop"/>
          <w:rFonts w:ascii="Arial" w:hAnsi="Arial" w:cs="Arial"/>
        </w:rPr>
        <w:t> </w:t>
      </w:r>
    </w:p>
    <w:p w14:paraId="7876D41C"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01B4230C"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According to Edwards (1984), female defendants are treated differently in the criminal justice system due to the crime they have committed and how this offence deviates from what is seen as the appropriate female behaviour. Weinberg (2023) found that women are treated differently and judged more harshly for crimes committed because they are expected to be kind and caring. Weinberg (2017) also </w:t>
      </w:r>
      <w:r w:rsidRPr="001E3FA9">
        <w:rPr>
          <w:rStyle w:val="normaltextrun"/>
          <w:rFonts w:ascii="Arial" w:hAnsi="Arial" w:cs="Arial"/>
        </w:rPr>
        <w:lastRenderedPageBreak/>
        <w:t>found that for lower-level offences, men do not seem to be punished in the same way. For example, there are not many men in prison for not having a television license. In 2020 it was reported that 76% of those convicted for television licence evasion in England and Wales were women (</w:t>
      </w:r>
      <w:proofErr w:type="spellStart"/>
      <w:r w:rsidRPr="001E3FA9">
        <w:rPr>
          <w:rStyle w:val="normaltextrun"/>
          <w:rFonts w:ascii="Arial" w:hAnsi="Arial" w:cs="Arial"/>
        </w:rPr>
        <w:t>Threipland</w:t>
      </w:r>
      <w:proofErr w:type="spellEnd"/>
      <w:r w:rsidRPr="001E3FA9">
        <w:rPr>
          <w:rStyle w:val="normaltextrun"/>
          <w:rFonts w:ascii="Arial" w:hAnsi="Arial" w:cs="Arial"/>
        </w:rPr>
        <w:t>, 2022). However, it could be argued that this is due to women not getting a TV license, rather than men being less likely to be convicted.  Broken down, it could be interpreted that women who commit crimes are frowned upon because they should know better, whereas a man committing a crime could be seen as ‘boys being boys’. Smith (2021, p.5) found that many courts will accept ‘boys being boys’ as a defence for their criminality. Smith (2021) also stated that women do not have an equivalent of ‘boys will be boys’ that can be used to excuse their criminal behaviour. This could suggest that women are subject to double deviance and are treated more harshly in court.  </w:t>
      </w:r>
      <w:r w:rsidRPr="001E3FA9">
        <w:rPr>
          <w:rStyle w:val="eop"/>
          <w:rFonts w:ascii="Arial" w:hAnsi="Arial" w:cs="Arial"/>
        </w:rPr>
        <w:t> </w:t>
      </w:r>
    </w:p>
    <w:p w14:paraId="76B133FC"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07244656"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In terms of feminist criminology theories, Heidensohn (2012) said that female criminality was of no point of interest forty years ago, but it is of interest in the current day. It could be said that this is why women struggle with double deviance – by it not being a point of interest it meant that there may not have been much research or care put into female criminality. In contrast, Heidensohn (2012) also explained that there has been a failure by other researchers not looking into the difference in gender and criminality within their research. Feminists' perspective on double deviance is that women are punished twice; for the crime and for not living up to their gender expectations (Mankarious, 2013, p.1).  </w:t>
      </w:r>
      <w:r w:rsidRPr="001E3FA9">
        <w:rPr>
          <w:rStyle w:val="eop"/>
          <w:rFonts w:ascii="Arial" w:hAnsi="Arial" w:cs="Arial"/>
        </w:rPr>
        <w:t> </w:t>
      </w:r>
    </w:p>
    <w:p w14:paraId="15AAF822"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5AFDEE3E"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With regards to victimisation of women, double deviance is seen as a dual fold process whereby women who are victimised may face judgement and criticism by </w:t>
      </w:r>
      <w:r w:rsidRPr="001E3FA9">
        <w:rPr>
          <w:rStyle w:val="normaltextrun"/>
          <w:rFonts w:ascii="Arial" w:hAnsi="Arial" w:cs="Arial"/>
        </w:rPr>
        <w:lastRenderedPageBreak/>
        <w:t>society. The first part of this deviance is when a woman is victimised, there are many ways in which this can happen for example harassment, abuse, violence etc. The second part of deviance happens when society reacts to the victim. Some women will face disbelief or victim-blaming as opposed to support and help. An example could be if a woman was a victim of sexual assault, she potentially wouldn’t have to deal with trauma from the sexual assault but instead cope with trauma from society not believing her. In turn, this can maximise the harm, turning it into a double burden for the victim (Daly, and Chesney-Lind, 1998).</w:t>
      </w:r>
      <w:r w:rsidRPr="001E3FA9">
        <w:rPr>
          <w:rStyle w:val="eop"/>
          <w:rFonts w:ascii="Arial" w:hAnsi="Arial" w:cs="Arial"/>
        </w:rPr>
        <w:t> </w:t>
      </w:r>
    </w:p>
    <w:p w14:paraId="5AA99BB6"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37C77121"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794BDAEC"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6E1A8B10"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The feminist theory of crime sets out that society is patriarchal and men controlling women tends to discourage female deviance (Thompson, 2011). Radical feminism backs up this idea by setting out their belief that the responsibility of the exploitation of women lies within men (Morrel, 2015).  According to Belknap, (2015), liberal feminists argue that to address the needs required by offenders who are women, they will need equal amounts of access to programs that imprisoned men have. Belknap (2015) argues that the issue with this perspective of feminism is that it fails to discuss and consider men and women’s differences in needs and how risk factors vary. Simon </w:t>
      </w:r>
      <w:r w:rsidRPr="001E3FA9">
        <w:rPr>
          <w:rStyle w:val="normaltextrun"/>
          <w:rFonts w:ascii="Arial" w:hAnsi="Arial" w:cs="Arial"/>
          <w:i/>
          <w:iCs/>
        </w:rPr>
        <w:t xml:space="preserve">et al </w:t>
      </w:r>
      <w:r w:rsidRPr="001E3FA9">
        <w:rPr>
          <w:rStyle w:val="normaltextrun"/>
          <w:rFonts w:ascii="Arial" w:hAnsi="Arial" w:cs="Arial"/>
        </w:rPr>
        <w:t xml:space="preserve">(2001) argues that although there is a fight for equality, generally if a woman hits a man, then it is seen by society as more acceptable than a man hitting a woman. However, recent statistics suggest that one in three victims of domestic abuse are men. In 2022, there were 6,218 cases of reported domestic violence by women, 4,599 (74%) of these were successful convictions. In the same </w:t>
      </w:r>
      <w:r w:rsidRPr="001E3FA9">
        <w:rPr>
          <w:rStyle w:val="normaltextrun"/>
          <w:rFonts w:ascii="Arial" w:hAnsi="Arial" w:cs="Arial"/>
        </w:rPr>
        <w:lastRenderedPageBreak/>
        <w:t>year, there were 48,663 reported cases of domestic violence by males, 37,325 of these were successful (77%) (Mankind Initiative, 2023).  </w:t>
      </w:r>
      <w:r w:rsidRPr="001E3FA9">
        <w:rPr>
          <w:rStyle w:val="eop"/>
          <w:rFonts w:ascii="Arial" w:hAnsi="Arial" w:cs="Arial"/>
        </w:rPr>
        <w:t> </w:t>
      </w:r>
    </w:p>
    <w:p w14:paraId="0B55E46B"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79289D3B"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proofErr w:type="spellStart"/>
      <w:r w:rsidRPr="001E3FA9">
        <w:rPr>
          <w:rStyle w:val="normaltextrun"/>
          <w:rFonts w:ascii="Arial" w:hAnsi="Arial" w:cs="Arial"/>
        </w:rPr>
        <w:t>Glicke</w:t>
      </w:r>
      <w:proofErr w:type="spellEnd"/>
      <w:r w:rsidRPr="001E3FA9">
        <w:rPr>
          <w:rStyle w:val="normaltextrun"/>
          <w:rFonts w:ascii="Arial" w:hAnsi="Arial" w:cs="Arial"/>
        </w:rPr>
        <w:t xml:space="preserve"> and Fiske (1999) discuss the idea of ‘chivalry’ which is argued to be a way of justifying traditional, sexist gender roles. This could pose the question of whether women and men would be treated the same for committing same-level crimes. For example, in 2023, Lindsay Clancy murdered her three children by strangling them with exercise bands and attempted to kill herself straight after. It was reported that Clancy was suffering from post-natal depression. Clancy was charged with three counts of strangulation, two counts of murder and three counts of assault and battery with a violent weapon. A medical professional said that society tends to fail when it comes to treating women suffering from postpartum depression (Davison, 2023). </w:t>
      </w:r>
      <w:r w:rsidRPr="001E3FA9">
        <w:rPr>
          <w:rStyle w:val="normaltextrun"/>
          <w:rFonts w:ascii="Arial" w:hAnsi="Arial" w:cs="Arial"/>
          <w:color w:val="000000"/>
        </w:rPr>
        <w:t xml:space="preserve">In contrast, in 2022 William Warrington, </w:t>
      </w:r>
      <w:r w:rsidRPr="001E3FA9">
        <w:rPr>
          <w:rStyle w:val="normaltextrun"/>
          <w:rFonts w:ascii="Arial" w:hAnsi="Arial" w:cs="Arial"/>
        </w:rPr>
        <w:t>deemed as a paranoid schizophrenic, murdered his parents. Warrington was residing at Wotton Lawn Hospital, where he was voluntarily detained after attacking his housemate in 2016. Warrington believed that he was in telepathic communication with Vladimir Putin, and he was ordered to kill his parents. He violently attacked his mother as when she was sleeping, he dragged her body outside, ran her over and then slit her throat. Similarly, his father suffered knife wounds and his throat had been slit also. Warrington pleaded guilty to manslaughter due to diminished responsibility and the judge ordered him to be detained at Broadmoor Psychiatric ward (Caulfield, 2022). </w:t>
      </w:r>
      <w:r w:rsidRPr="001E3FA9">
        <w:rPr>
          <w:rStyle w:val="eop"/>
          <w:rFonts w:ascii="Arial" w:hAnsi="Arial" w:cs="Arial"/>
        </w:rPr>
        <w:t> </w:t>
      </w:r>
    </w:p>
    <w:p w14:paraId="2624E1C3"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6FF5BD18"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Despite the depth of violence used in comparison to Clancy, Warrington faced a more lenient sentence. Clancy was charged with several different and more specific offences whereas Warrington was charged with manslaughter due to diminished </w:t>
      </w:r>
      <w:r w:rsidRPr="001E3FA9">
        <w:rPr>
          <w:rStyle w:val="normaltextrun"/>
          <w:rFonts w:ascii="Arial" w:hAnsi="Arial" w:cs="Arial"/>
        </w:rPr>
        <w:lastRenderedPageBreak/>
        <w:t>responsibility. It could therefore be argued that Clancy was a victim of double deviance because she was given a harsher sentence, even though she was also suffering from mental health issues. However, it could be argued that the reason these two perpetrators were given different sentences had nothing to do with gender because punishment is up to the discretion of the judge (UK Government, 2011). It could be seen that due to the nature of the crime committed by Warrington and because he was already getting help for his schizophrenia, the Judge wanted to continue this support in a different hospital. </w:t>
      </w:r>
      <w:r w:rsidRPr="001E3FA9">
        <w:rPr>
          <w:rStyle w:val="eop"/>
          <w:rFonts w:ascii="Arial" w:hAnsi="Arial" w:cs="Arial"/>
        </w:rPr>
        <w:t> </w:t>
      </w:r>
    </w:p>
    <w:p w14:paraId="416437F5"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3CC37DC2"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xml:space="preserve">An argument against double deviance is that of Pollack (1950, cited in Whitehead, 2022) who believes that women are treated less harshly than men within the criminal justice system due to the theory of chivalry. This theory sets out that women are viewed as defenceless and require protection, by the judges (Herzog and </w:t>
      </w:r>
      <w:proofErr w:type="spellStart"/>
      <w:r w:rsidRPr="001E3FA9">
        <w:rPr>
          <w:rStyle w:val="normaltextrun"/>
          <w:rFonts w:ascii="Arial" w:hAnsi="Arial" w:cs="Arial"/>
        </w:rPr>
        <w:t>Oreg</w:t>
      </w:r>
      <w:proofErr w:type="spellEnd"/>
      <w:r w:rsidRPr="001E3FA9">
        <w:rPr>
          <w:rStyle w:val="normaltextrun"/>
          <w:rFonts w:ascii="Arial" w:hAnsi="Arial" w:cs="Arial"/>
        </w:rPr>
        <w:t>, 2008). Holland and Prohaska (2018) put together a study to focus on sentencing and see whether men or women obtained shorter sentences, they controlled factors that may have changed the sentence. A factor they controlled was gender and race. This allowed them to establish whether gender was the only factor affecting sentencing or if other factors contributed. Their results showed that women were given shorter sentences compared to men, in general. This supports the theory of Chivalry and the several studies which have established the same results (Doerner and Demuth, 2010, Rodriguez et al., 2006). This research suggests that law officials do not believe women are culpable for the crimes they have committed whereas men are.</w:t>
      </w:r>
      <w:r w:rsidRPr="001E3FA9">
        <w:rPr>
          <w:rStyle w:val="eop"/>
          <w:rFonts w:ascii="Arial" w:hAnsi="Arial" w:cs="Arial"/>
        </w:rPr>
        <w:t> </w:t>
      </w:r>
    </w:p>
    <w:p w14:paraId="3B894E27" w14:textId="77777777" w:rsidR="001E3FA9" w:rsidRPr="001E3FA9" w:rsidRDefault="001E3FA9" w:rsidP="001E3FA9">
      <w:pPr>
        <w:pStyle w:val="paragraph"/>
        <w:spacing w:before="0" w:beforeAutospacing="0" w:after="0" w:afterAutospacing="0" w:line="480" w:lineRule="auto"/>
        <w:textAlignment w:val="baseline"/>
        <w:rPr>
          <w:rStyle w:val="normaltextrun"/>
          <w:rFonts w:ascii="Arial" w:hAnsi="Arial" w:cs="Arial"/>
        </w:rPr>
      </w:pPr>
    </w:p>
    <w:p w14:paraId="070F81BF" w14:textId="77777777" w:rsidR="001E3FA9" w:rsidRPr="001E3FA9" w:rsidRDefault="001E3FA9" w:rsidP="001E3FA9">
      <w:pPr>
        <w:pStyle w:val="paragraph"/>
        <w:spacing w:before="0" w:beforeAutospacing="0" w:after="0" w:afterAutospacing="0" w:line="480" w:lineRule="auto"/>
        <w:textAlignment w:val="baseline"/>
        <w:rPr>
          <w:rStyle w:val="normaltextrun"/>
          <w:rFonts w:ascii="Arial" w:hAnsi="Arial" w:cs="Arial"/>
        </w:rPr>
      </w:pPr>
    </w:p>
    <w:p w14:paraId="7C0E0E05" w14:textId="3BEA3F7D"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lastRenderedPageBreak/>
        <w:t> Having said that, to conclude, evidence suggests that women are victims of double deviance.  Gender stereotypes of women being seen as caring, kind and maternal, and men regarded as strong and aggressive is a contributing factor; women face an unfair expectation to live up to their ‘gender roles’ and should they fail to do this and commit a crime, they face the risk of double deviance. On the other hand, some criminal behaviour of men, is often excused through the lens of ‘boys will be boys’, women do not have an equivalent advantage. Double deviance in the context of victimisation expresses the importance of discussing the initial harmful acts as well as the responses given from society and how these can contribute to the injustice of those who have suffered.</w:t>
      </w:r>
      <w:r w:rsidRPr="001E3FA9">
        <w:rPr>
          <w:rStyle w:val="eop"/>
          <w:rFonts w:ascii="Arial" w:hAnsi="Arial" w:cs="Arial"/>
        </w:rPr>
        <w:t> </w:t>
      </w:r>
    </w:p>
    <w:p w14:paraId="423CD0B3"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eop"/>
          <w:rFonts w:ascii="Arial" w:hAnsi="Arial" w:cs="Arial"/>
        </w:rPr>
        <w:t> </w:t>
      </w:r>
    </w:p>
    <w:p w14:paraId="321F38AC"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However, it is important to acknowledge external factors, punishment or reactions to a crime could be due to individual biases. Moreover, punishment for crimes is also due to how a judge perceives the outcomes of a case, it does necessarily mean the involvement of double deviance.  Research has also shown contradictory evidence, where women are treated leniently due to the stereotypical view that women are not culpable of committing certain crimes. </w:t>
      </w:r>
      <w:r w:rsidRPr="001E3FA9">
        <w:rPr>
          <w:rStyle w:val="eop"/>
          <w:rFonts w:ascii="Arial" w:hAnsi="Arial" w:cs="Arial"/>
        </w:rPr>
        <w:t> </w:t>
      </w:r>
    </w:p>
    <w:p w14:paraId="72CDE98F"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color w:val="FF0000"/>
        </w:rPr>
        <w:t> </w:t>
      </w:r>
      <w:r w:rsidRPr="001E3FA9">
        <w:rPr>
          <w:rStyle w:val="eop"/>
          <w:rFonts w:ascii="Arial" w:hAnsi="Arial" w:cs="Arial"/>
          <w:color w:val="FF0000"/>
        </w:rPr>
        <w:t> </w:t>
      </w:r>
    </w:p>
    <w:p w14:paraId="6086134D"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color w:val="FF0000"/>
        </w:rPr>
        <w:t> </w:t>
      </w:r>
      <w:r w:rsidRPr="001E3FA9">
        <w:rPr>
          <w:rStyle w:val="eop"/>
          <w:rFonts w:ascii="Arial" w:hAnsi="Arial" w:cs="Arial"/>
          <w:color w:val="FF0000"/>
        </w:rPr>
        <w:t> </w:t>
      </w:r>
    </w:p>
    <w:p w14:paraId="129F50A9"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color w:val="FF0000"/>
        </w:rPr>
        <w:t> </w:t>
      </w:r>
      <w:r w:rsidRPr="001E3FA9">
        <w:rPr>
          <w:rStyle w:val="eop"/>
          <w:rFonts w:ascii="Arial" w:hAnsi="Arial" w:cs="Arial"/>
          <w:color w:val="FF0000"/>
        </w:rPr>
        <w:t> </w:t>
      </w:r>
    </w:p>
    <w:p w14:paraId="04E61527" w14:textId="77777777" w:rsidR="001E3FA9" w:rsidRPr="001E3FA9" w:rsidRDefault="001E3FA9" w:rsidP="001E3FA9">
      <w:pPr>
        <w:pStyle w:val="paragraph"/>
        <w:spacing w:before="0" w:beforeAutospacing="0" w:after="0" w:afterAutospacing="0" w:line="480" w:lineRule="auto"/>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09C61DA9"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106CA17B"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w:t>
      </w:r>
      <w:r w:rsidRPr="001E3FA9">
        <w:rPr>
          <w:rStyle w:val="eop"/>
          <w:rFonts w:ascii="Arial" w:hAnsi="Arial" w:cs="Arial"/>
        </w:rPr>
        <w:t> </w:t>
      </w:r>
    </w:p>
    <w:p w14:paraId="327BB14B"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References</w:t>
      </w:r>
      <w:r w:rsidRPr="001E3FA9">
        <w:rPr>
          <w:rStyle w:val="eop"/>
          <w:rFonts w:ascii="Arial" w:hAnsi="Arial" w:cs="Arial"/>
        </w:rPr>
        <w:t> </w:t>
      </w:r>
    </w:p>
    <w:p w14:paraId="4E4D5A45"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088CE29C"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lastRenderedPageBreak/>
        <w:t xml:space="preserve">Bray, N. L (2011) </w:t>
      </w:r>
      <w:r w:rsidRPr="001E3FA9">
        <w:rPr>
          <w:rStyle w:val="normaltextrun"/>
          <w:rFonts w:ascii="Arial" w:hAnsi="Arial" w:cs="Arial"/>
          <w:i/>
          <w:iCs/>
        </w:rPr>
        <w:t xml:space="preserve">The Influence of Gender and Sexist Attitudes on Juror Verdicts and </w:t>
      </w:r>
      <w:r w:rsidRPr="001E3FA9">
        <w:rPr>
          <w:rStyle w:val="normaltextrun"/>
          <w:rFonts w:ascii="Arial" w:hAnsi="Arial" w:cs="Arial"/>
        </w:rPr>
        <w:t> </w:t>
      </w:r>
      <w:r w:rsidRPr="001E3FA9">
        <w:rPr>
          <w:rStyle w:val="normaltextrun"/>
          <w:rFonts w:ascii="Arial" w:hAnsi="Arial" w:cs="Arial"/>
          <w:i/>
          <w:iCs/>
        </w:rPr>
        <w:t>Perceptions of Domestic Violence in Heterosexual Relationships</w:t>
      </w:r>
      <w:r w:rsidRPr="001E3FA9">
        <w:rPr>
          <w:rStyle w:val="normaltextrun"/>
          <w:rFonts w:ascii="Arial" w:hAnsi="Arial" w:cs="Arial"/>
        </w:rPr>
        <w:t xml:space="preserve">. Available at: </w:t>
      </w:r>
      <w:hyperlink r:id="rId4" w:tgtFrame="_blank" w:history="1">
        <w:r w:rsidRPr="001E3FA9">
          <w:rPr>
            <w:rStyle w:val="normaltextrun"/>
            <w:rFonts w:ascii="Arial" w:hAnsi="Arial" w:cs="Arial"/>
            <w:color w:val="0000FF"/>
            <w:u w:val="single"/>
          </w:rPr>
          <w:t>[PDF] The influence of gender and sexist attitudes on juror verdicts and perceptions of domestic violence in heterosexual relationships | Semantic Scholar</w:t>
        </w:r>
      </w:hyperlink>
      <w:r w:rsidRPr="001E3FA9">
        <w:rPr>
          <w:rStyle w:val="normaltextrun"/>
          <w:rFonts w:ascii="Arial" w:hAnsi="Arial" w:cs="Arial"/>
        </w:rPr>
        <w:t xml:space="preserve"> (Accessed: 4 November 2023)</w:t>
      </w:r>
      <w:r w:rsidRPr="001E3FA9">
        <w:rPr>
          <w:rStyle w:val="eop"/>
          <w:rFonts w:ascii="Arial" w:hAnsi="Arial" w:cs="Arial"/>
        </w:rPr>
        <w:t> </w:t>
      </w:r>
    </w:p>
    <w:p w14:paraId="1FDE3079"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29F65578"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Crown Prosecution Service (2013)</w:t>
      </w:r>
      <w:r w:rsidRPr="001E3FA9">
        <w:rPr>
          <w:rStyle w:val="normaltextrun"/>
          <w:rFonts w:ascii="Arial" w:hAnsi="Arial" w:cs="Arial"/>
          <w:i/>
          <w:iCs/>
        </w:rPr>
        <w:t xml:space="preserve"> Stalking or Harassment</w:t>
      </w:r>
      <w:r w:rsidRPr="001E3FA9">
        <w:rPr>
          <w:rStyle w:val="normaltextrun"/>
          <w:rFonts w:ascii="Arial" w:hAnsi="Arial" w:cs="Arial"/>
        </w:rPr>
        <w:t xml:space="preserve">. Available at: </w:t>
      </w:r>
      <w:hyperlink r:id="rId5" w:tgtFrame="_blank" w:history="1">
        <w:r w:rsidRPr="001E3FA9">
          <w:rPr>
            <w:rStyle w:val="normaltextrun"/>
            <w:rFonts w:ascii="Arial" w:hAnsi="Arial" w:cs="Arial"/>
            <w:color w:val="0000FF"/>
            <w:u w:val="single"/>
          </w:rPr>
          <w:t>www.cps.gov.uk/legal-guidance/stalking-or-harassment</w:t>
        </w:r>
      </w:hyperlink>
      <w:r w:rsidRPr="001E3FA9">
        <w:rPr>
          <w:rStyle w:val="normaltextrun"/>
          <w:rFonts w:ascii="Arial" w:hAnsi="Arial" w:cs="Arial"/>
          <w:i/>
          <w:iCs/>
        </w:rPr>
        <w:t xml:space="preserve">. </w:t>
      </w:r>
      <w:r w:rsidRPr="001E3FA9">
        <w:rPr>
          <w:rStyle w:val="normaltextrun"/>
          <w:rFonts w:ascii="Arial" w:hAnsi="Arial" w:cs="Arial"/>
        </w:rPr>
        <w:t>(Accessed: 1 November 2023). </w:t>
      </w:r>
      <w:r w:rsidRPr="001E3FA9">
        <w:rPr>
          <w:rStyle w:val="eop"/>
          <w:rFonts w:ascii="Arial" w:hAnsi="Arial" w:cs="Arial"/>
        </w:rPr>
        <w:t> </w:t>
      </w:r>
    </w:p>
    <w:p w14:paraId="6A39A951"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412188A1"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Daly, K., and Chesney-Lind, M. (1998) ‘Feminism and Criminology’, </w:t>
      </w:r>
      <w:hyperlink r:id="rId6" w:tgtFrame="_blank" w:history="1">
        <w:r w:rsidRPr="001E3FA9">
          <w:rPr>
            <w:rStyle w:val="normaltextrun"/>
            <w:rFonts w:ascii="Arial" w:hAnsi="Arial" w:cs="Arial"/>
            <w:i/>
            <w:iCs/>
          </w:rPr>
          <w:t>Justice Quarterly</w:t>
        </w:r>
      </w:hyperlink>
      <w:r w:rsidRPr="001E3FA9">
        <w:rPr>
          <w:rStyle w:val="normaltextrun"/>
          <w:rFonts w:ascii="Arial" w:hAnsi="Arial" w:cs="Arial"/>
          <w:i/>
          <w:iCs/>
        </w:rPr>
        <w:t> 5</w:t>
      </w:r>
      <w:r w:rsidRPr="001E3FA9">
        <w:rPr>
          <w:rStyle w:val="normaltextrun"/>
          <w:rFonts w:ascii="Arial" w:hAnsi="Arial" w:cs="Arial"/>
        </w:rPr>
        <w:t>(4), pp. 497-538. DOI:</w:t>
      </w:r>
      <w:hyperlink r:id="rId7" w:tgtFrame="_blank" w:history="1">
        <w:r w:rsidRPr="001E3FA9">
          <w:rPr>
            <w:rStyle w:val="normaltextrun"/>
            <w:rFonts w:ascii="Arial" w:hAnsi="Arial" w:cs="Arial"/>
            <w:color w:val="0000FF"/>
            <w:u w:val="single"/>
          </w:rPr>
          <w:t>10.1080/07418828800089871</w:t>
        </w:r>
      </w:hyperlink>
      <w:r w:rsidRPr="001E3FA9">
        <w:rPr>
          <w:rStyle w:val="eop"/>
          <w:rFonts w:ascii="Arial" w:hAnsi="Arial" w:cs="Arial"/>
        </w:rPr>
        <w:t> </w:t>
      </w:r>
    </w:p>
    <w:p w14:paraId="3E835A29"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Doerner, J. and Demuth, S., (2010).’ The Independent and Joint Effects of Race/Ethnicity, Gender, and Age on Sentencing Outcomes in U.S. Federal Courts.’ </w:t>
      </w:r>
      <w:r w:rsidRPr="001E3FA9">
        <w:rPr>
          <w:rStyle w:val="normaltextrun"/>
          <w:rFonts w:ascii="Arial" w:hAnsi="Arial" w:cs="Arial"/>
          <w:i/>
          <w:iCs/>
        </w:rPr>
        <w:t>Justice Quarterly</w:t>
      </w:r>
      <w:r w:rsidRPr="001E3FA9">
        <w:rPr>
          <w:rStyle w:val="normaltextrun"/>
          <w:rFonts w:ascii="Arial" w:hAnsi="Arial" w:cs="Arial"/>
        </w:rPr>
        <w:t>, 27(1), pp.1-27</w:t>
      </w:r>
      <w:r w:rsidRPr="001E3FA9">
        <w:rPr>
          <w:rStyle w:val="eop"/>
          <w:rFonts w:ascii="Arial" w:hAnsi="Arial" w:cs="Arial"/>
        </w:rPr>
        <w:t> </w:t>
      </w:r>
    </w:p>
    <w:p w14:paraId="5026B049"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proofErr w:type="spellStart"/>
      <w:r w:rsidRPr="001E3FA9">
        <w:rPr>
          <w:rStyle w:val="normaltextrun"/>
          <w:rFonts w:ascii="Arial" w:hAnsi="Arial" w:cs="Arial"/>
        </w:rPr>
        <w:t>Glicke</w:t>
      </w:r>
      <w:proofErr w:type="spellEnd"/>
      <w:r w:rsidRPr="001E3FA9">
        <w:rPr>
          <w:rStyle w:val="normaltextrun"/>
          <w:rFonts w:ascii="Arial" w:hAnsi="Arial" w:cs="Arial"/>
        </w:rPr>
        <w:t xml:space="preserve">, P and Fiske, S. T (1996) ‘The Ambivalent Sexism Inventory: Differentiating Hostile and Benevolent Sexism’ </w:t>
      </w:r>
      <w:r w:rsidRPr="001E3FA9">
        <w:rPr>
          <w:rStyle w:val="normaltextrun"/>
          <w:rFonts w:ascii="Arial" w:hAnsi="Arial" w:cs="Arial"/>
          <w:i/>
          <w:iCs/>
        </w:rPr>
        <w:t xml:space="preserve">Journal of Personality and Social Psychology, </w:t>
      </w:r>
      <w:r w:rsidRPr="001E3FA9">
        <w:rPr>
          <w:rStyle w:val="normaltextrun"/>
          <w:rFonts w:ascii="Arial" w:hAnsi="Arial" w:cs="Arial"/>
        </w:rPr>
        <w:t>70 (3), pp. 491 – 512 </w:t>
      </w:r>
      <w:r w:rsidRPr="001E3FA9">
        <w:rPr>
          <w:rStyle w:val="eop"/>
          <w:rFonts w:ascii="Arial" w:hAnsi="Arial" w:cs="Arial"/>
        </w:rPr>
        <w:t> </w:t>
      </w:r>
    </w:p>
    <w:p w14:paraId="7745AEBE"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Government Digital Service (2011) </w:t>
      </w:r>
      <w:r w:rsidRPr="001E3FA9">
        <w:rPr>
          <w:rStyle w:val="normaltextrun"/>
          <w:rFonts w:ascii="Arial" w:hAnsi="Arial" w:cs="Arial"/>
          <w:i/>
          <w:iCs/>
        </w:rPr>
        <w:t xml:space="preserve">How Sentences Are Worked Out. </w:t>
      </w:r>
      <w:r w:rsidRPr="001E3FA9">
        <w:rPr>
          <w:rStyle w:val="normaltextrun"/>
          <w:rFonts w:ascii="Arial" w:hAnsi="Arial" w:cs="Arial"/>
        </w:rPr>
        <w:t xml:space="preserve">Available at: </w:t>
      </w:r>
      <w:hyperlink r:id="rId8" w:tgtFrame="_blank" w:history="1">
        <w:r w:rsidRPr="001E3FA9">
          <w:rPr>
            <w:rStyle w:val="normaltextrun"/>
            <w:rFonts w:ascii="Arial" w:hAnsi="Arial" w:cs="Arial"/>
            <w:color w:val="0000FF"/>
            <w:u w:val="single"/>
          </w:rPr>
          <w:t>www.gov.uk/how-sentences-are-worked-out</w:t>
        </w:r>
      </w:hyperlink>
      <w:r w:rsidRPr="001E3FA9">
        <w:rPr>
          <w:rStyle w:val="normaltextrun"/>
          <w:rFonts w:ascii="Arial" w:hAnsi="Arial" w:cs="Arial"/>
        </w:rPr>
        <w:t xml:space="preserve"> (Accessed: 3 November 2023)</w:t>
      </w:r>
      <w:r w:rsidRPr="001E3FA9">
        <w:rPr>
          <w:rStyle w:val="eop"/>
          <w:rFonts w:ascii="Arial" w:hAnsi="Arial" w:cs="Arial"/>
        </w:rPr>
        <w:t> </w:t>
      </w:r>
    </w:p>
    <w:p w14:paraId="474DA124"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082BAE22"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Hancock-Bruce, M (2022) ‘Son Admits Stabbing His Parents to Death.” </w:t>
      </w:r>
      <w:r w:rsidRPr="001E3FA9">
        <w:rPr>
          <w:rStyle w:val="normaltextrun"/>
          <w:rFonts w:ascii="Arial" w:hAnsi="Arial" w:cs="Arial"/>
          <w:i/>
          <w:iCs/>
        </w:rPr>
        <w:t>Cotswold Journal, 15th November.</w:t>
      </w:r>
      <w:r w:rsidRPr="001E3FA9">
        <w:rPr>
          <w:rStyle w:val="normaltextrun"/>
          <w:rFonts w:ascii="Arial" w:hAnsi="Arial" w:cs="Arial"/>
        </w:rPr>
        <w:t xml:space="preserve"> Available at:  </w:t>
      </w:r>
      <w:hyperlink r:id="rId9" w:tgtFrame="_blank" w:history="1">
        <w:r w:rsidRPr="001E3FA9">
          <w:rPr>
            <w:rStyle w:val="normaltextrun"/>
            <w:rFonts w:ascii="Arial" w:hAnsi="Arial" w:cs="Arial"/>
            <w:color w:val="0000FF"/>
            <w:u w:val="single"/>
          </w:rPr>
          <w:t>www.cotswoldjournal.co.uk/news/23125864.william-warrington-admits-killing-parents/</w:t>
        </w:r>
      </w:hyperlink>
      <w:r w:rsidRPr="001E3FA9">
        <w:rPr>
          <w:rStyle w:val="normaltextrun"/>
          <w:rFonts w:ascii="Arial" w:hAnsi="Arial" w:cs="Arial"/>
        </w:rPr>
        <w:t xml:space="preserve"> (Accessed: 1 Nov 2023)</w:t>
      </w:r>
      <w:r w:rsidRPr="001E3FA9">
        <w:rPr>
          <w:rStyle w:val="eop"/>
          <w:rFonts w:ascii="Arial" w:hAnsi="Arial" w:cs="Arial"/>
        </w:rPr>
        <w:t> </w:t>
      </w:r>
    </w:p>
    <w:p w14:paraId="0EC40FD8"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lastRenderedPageBreak/>
        <w:t> </w:t>
      </w:r>
    </w:p>
    <w:p w14:paraId="12A07B82"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Heidensohn, F. (2012) 'The Future of Feminist Criminology', </w:t>
      </w:r>
      <w:r w:rsidRPr="001E3FA9">
        <w:rPr>
          <w:rStyle w:val="normaltextrun"/>
          <w:rFonts w:ascii="Arial" w:hAnsi="Arial" w:cs="Arial"/>
          <w:i/>
          <w:iCs/>
        </w:rPr>
        <w:t>Crime, Media and Culture</w:t>
      </w:r>
      <w:r w:rsidRPr="001E3FA9">
        <w:rPr>
          <w:rStyle w:val="normaltextrun"/>
          <w:rFonts w:ascii="Arial" w:hAnsi="Arial" w:cs="Arial"/>
        </w:rPr>
        <w:t>, 8(2), pp.123-134. </w:t>
      </w:r>
      <w:r w:rsidRPr="001E3FA9">
        <w:rPr>
          <w:rStyle w:val="eop"/>
          <w:rFonts w:ascii="Arial" w:hAnsi="Arial" w:cs="Arial"/>
        </w:rPr>
        <w:t> </w:t>
      </w:r>
    </w:p>
    <w:p w14:paraId="31AED9E2"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1BE97AA9"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Herzog, S. and </w:t>
      </w:r>
      <w:proofErr w:type="spellStart"/>
      <w:r w:rsidRPr="001E3FA9">
        <w:rPr>
          <w:rStyle w:val="normaltextrun"/>
          <w:rFonts w:ascii="Arial" w:hAnsi="Arial" w:cs="Arial"/>
        </w:rPr>
        <w:t>Oreg</w:t>
      </w:r>
      <w:proofErr w:type="spellEnd"/>
      <w:r w:rsidRPr="001E3FA9">
        <w:rPr>
          <w:rStyle w:val="normaltextrun"/>
          <w:rFonts w:ascii="Arial" w:hAnsi="Arial" w:cs="Arial"/>
        </w:rPr>
        <w:t xml:space="preserve">, S., (2008). ‘Chivalry and the Moderating Effect of Ambivalent Sexism: Individual Differences in Crime Seriousness Judgments.’ </w:t>
      </w:r>
      <w:r w:rsidRPr="001E3FA9">
        <w:rPr>
          <w:rStyle w:val="normaltextrun"/>
          <w:rFonts w:ascii="Arial" w:hAnsi="Arial" w:cs="Arial"/>
          <w:i/>
          <w:iCs/>
        </w:rPr>
        <w:t>Law &amp; Society Review</w:t>
      </w:r>
      <w:r w:rsidRPr="001E3FA9">
        <w:rPr>
          <w:rStyle w:val="normaltextrun"/>
          <w:rFonts w:ascii="Arial" w:hAnsi="Arial" w:cs="Arial"/>
        </w:rPr>
        <w:t>, 42(1), pp.45-74</w:t>
      </w:r>
      <w:r w:rsidRPr="001E3FA9">
        <w:rPr>
          <w:rStyle w:val="eop"/>
          <w:rFonts w:ascii="Arial" w:hAnsi="Arial" w:cs="Arial"/>
        </w:rPr>
        <w:t> </w:t>
      </w:r>
    </w:p>
    <w:p w14:paraId="67136AC7"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6EF435C6"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Holland, M. and Prohaska, A., (2018). ‘Gender Effects Across Place.’ </w:t>
      </w:r>
      <w:r w:rsidRPr="001E3FA9">
        <w:rPr>
          <w:rStyle w:val="normaltextrun"/>
          <w:rFonts w:ascii="Arial" w:hAnsi="Arial" w:cs="Arial"/>
          <w:i/>
          <w:iCs/>
        </w:rPr>
        <w:t>Race and Justice</w:t>
      </w:r>
      <w:r w:rsidRPr="001E3FA9">
        <w:rPr>
          <w:rStyle w:val="normaltextrun"/>
          <w:rFonts w:ascii="Arial" w:hAnsi="Arial" w:cs="Arial"/>
        </w:rPr>
        <w:t xml:space="preserve">, 11(1). </w:t>
      </w:r>
      <w:hyperlink r:id="rId10" w:tgtFrame="_blank" w:history="1">
        <w:r w:rsidRPr="001E3FA9">
          <w:rPr>
            <w:rStyle w:val="normaltextrun"/>
            <w:rFonts w:ascii="Arial" w:hAnsi="Arial" w:cs="Arial"/>
            <w:color w:val="0000FF"/>
            <w:u w:val="single"/>
          </w:rPr>
          <w:t>https://doi.org/10.1177/215336871876749</w:t>
        </w:r>
      </w:hyperlink>
      <w:r w:rsidRPr="001E3FA9">
        <w:rPr>
          <w:rStyle w:val="eop"/>
          <w:rFonts w:ascii="Arial" w:hAnsi="Arial" w:cs="Arial"/>
        </w:rPr>
        <w:t> </w:t>
      </w:r>
    </w:p>
    <w:p w14:paraId="29BFD2D5"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3F08106B"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Hutchings, P. B (2015) </w:t>
      </w:r>
      <w:r w:rsidRPr="001E3FA9">
        <w:rPr>
          <w:rStyle w:val="normaltextrun"/>
          <w:rFonts w:ascii="Arial" w:hAnsi="Arial" w:cs="Arial"/>
          <w:i/>
          <w:iCs/>
        </w:rPr>
        <w:t>Gender: How Stubborn Are the Stereotypes?</w:t>
      </w:r>
      <w:r w:rsidRPr="001E3FA9">
        <w:rPr>
          <w:rStyle w:val="normaltextrun"/>
          <w:rFonts w:ascii="Arial" w:hAnsi="Arial" w:cs="Arial"/>
        </w:rPr>
        <w:t xml:space="preserve"> </w:t>
      </w:r>
      <w:r w:rsidRPr="001E3FA9">
        <w:rPr>
          <w:rStyle w:val="normaltextrun"/>
          <w:rFonts w:ascii="Arial" w:hAnsi="Arial" w:cs="Arial"/>
          <w:lang w:val="fr-FR"/>
        </w:rPr>
        <w:t>Available at: </w:t>
      </w:r>
      <w:r w:rsidR="00000000">
        <w:fldChar w:fldCharType="begin"/>
      </w:r>
      <w:r w:rsidR="00000000" w:rsidRPr="00B12FD3">
        <w:rPr>
          <w:lang w:val="fr-FR"/>
        </w:rPr>
        <w:instrText>HYPERLINK "http://www.bps.org.uk/psychologist/gender-how-stubborn-are-stereotypes" \t "_blank"</w:instrText>
      </w:r>
      <w:r w:rsidR="00000000">
        <w:fldChar w:fldCharType="separate"/>
      </w:r>
      <w:r w:rsidRPr="001E3FA9">
        <w:rPr>
          <w:rStyle w:val="normaltextrun"/>
          <w:rFonts w:ascii="Arial" w:hAnsi="Arial" w:cs="Arial"/>
          <w:color w:val="0563C1"/>
          <w:u w:val="single"/>
          <w:lang w:val="fr-FR"/>
        </w:rPr>
        <w:t>www.bps.org.uk/psychologist/gender-how-stubborn-are-stereotypes</w:t>
      </w:r>
      <w:r w:rsidR="00000000">
        <w:rPr>
          <w:rStyle w:val="normaltextrun"/>
          <w:rFonts w:ascii="Arial" w:hAnsi="Arial" w:cs="Arial"/>
          <w:color w:val="0563C1"/>
          <w:u w:val="single"/>
          <w:lang w:val="fr-FR"/>
        </w:rPr>
        <w:fldChar w:fldCharType="end"/>
      </w:r>
      <w:r w:rsidRPr="001E3FA9">
        <w:rPr>
          <w:rStyle w:val="normaltextrun"/>
          <w:rFonts w:ascii="Arial" w:hAnsi="Arial" w:cs="Arial"/>
          <w:lang w:val="fr-FR"/>
        </w:rPr>
        <w:t xml:space="preserve">. </w:t>
      </w:r>
      <w:r w:rsidRPr="001E3FA9">
        <w:rPr>
          <w:rStyle w:val="normaltextrun"/>
          <w:rFonts w:ascii="Arial" w:hAnsi="Arial" w:cs="Arial"/>
        </w:rPr>
        <w:t>(Accessed: 2 November 2023)</w:t>
      </w:r>
      <w:r w:rsidRPr="001E3FA9">
        <w:rPr>
          <w:rStyle w:val="eop"/>
          <w:rFonts w:ascii="Arial" w:hAnsi="Arial" w:cs="Arial"/>
        </w:rPr>
        <w:t> </w:t>
      </w:r>
    </w:p>
    <w:p w14:paraId="336AA6F3"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1D937618"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i/>
          <w:iCs/>
        </w:rPr>
        <w:t>Justice versus Conscience</w:t>
      </w:r>
      <w:r w:rsidRPr="001E3FA9">
        <w:rPr>
          <w:rStyle w:val="normaltextrun"/>
          <w:rFonts w:ascii="Arial" w:hAnsi="Arial" w:cs="Arial"/>
        </w:rPr>
        <w:t xml:space="preserve"> (2023) </w:t>
      </w:r>
      <w:r w:rsidRPr="001E3FA9">
        <w:rPr>
          <w:rStyle w:val="normaltextrun"/>
          <w:rFonts w:ascii="Arial" w:hAnsi="Arial" w:cs="Arial"/>
          <w:i/>
          <w:iCs/>
        </w:rPr>
        <w:t>Boys Will Be Boys.</w:t>
      </w:r>
      <w:r w:rsidRPr="001E3FA9">
        <w:rPr>
          <w:rStyle w:val="normaltextrun"/>
          <w:rFonts w:ascii="Arial" w:hAnsi="Arial" w:cs="Arial"/>
        </w:rPr>
        <w:t xml:space="preserve"> Available at: englishdocs.eu/boys-will-be-boys/ (Accessed: 3 November 2023).</w:t>
      </w:r>
      <w:r w:rsidRPr="001E3FA9">
        <w:rPr>
          <w:rStyle w:val="eop"/>
          <w:rFonts w:ascii="Arial" w:hAnsi="Arial" w:cs="Arial"/>
        </w:rPr>
        <w:t> </w:t>
      </w:r>
    </w:p>
    <w:p w14:paraId="3D264AF0"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0115B953"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Loesch, C. (2023) ‘MA Mom Researched Ways to Kill before 3 Children’s Deaths: Court Docs’.</w:t>
      </w:r>
      <w:r w:rsidRPr="001E3FA9">
        <w:rPr>
          <w:rStyle w:val="normaltextrun"/>
          <w:rFonts w:ascii="Arial" w:hAnsi="Arial" w:cs="Arial"/>
          <w:i/>
          <w:iCs/>
        </w:rPr>
        <w:t xml:space="preserve"> Patch, </w:t>
      </w:r>
      <w:r w:rsidRPr="001E3FA9">
        <w:rPr>
          <w:rStyle w:val="normaltextrun"/>
          <w:rFonts w:ascii="Arial" w:hAnsi="Arial" w:cs="Arial"/>
        </w:rPr>
        <w:t>25</w:t>
      </w:r>
      <w:r w:rsidRPr="001E3FA9">
        <w:rPr>
          <w:rStyle w:val="normaltextrun"/>
          <w:rFonts w:ascii="Arial" w:hAnsi="Arial" w:cs="Arial"/>
          <w:vertAlign w:val="superscript"/>
        </w:rPr>
        <w:t>th</w:t>
      </w:r>
      <w:r w:rsidRPr="001E3FA9">
        <w:rPr>
          <w:rStyle w:val="normaltextrun"/>
          <w:rFonts w:ascii="Arial" w:hAnsi="Arial" w:cs="Arial"/>
        </w:rPr>
        <w:t xml:space="preserve"> October</w:t>
      </w:r>
      <w:r w:rsidRPr="001E3FA9">
        <w:rPr>
          <w:rStyle w:val="normaltextrun"/>
          <w:rFonts w:ascii="Arial" w:hAnsi="Arial" w:cs="Arial"/>
          <w:i/>
          <w:iCs/>
        </w:rPr>
        <w:t xml:space="preserve">  </w:t>
      </w:r>
      <w:r w:rsidRPr="001E3FA9">
        <w:rPr>
          <w:rStyle w:val="normaltextrun"/>
          <w:rFonts w:ascii="Arial" w:hAnsi="Arial" w:cs="Arial"/>
        </w:rPr>
        <w:t>Available at: patch.com/massachusetts/across-ma/ma-mom-researched-ways-kill-3-childrens-deaths-court-docs. (Accessed: 30 October 2023)</w:t>
      </w:r>
      <w:r w:rsidRPr="001E3FA9">
        <w:rPr>
          <w:rStyle w:val="eop"/>
          <w:rFonts w:ascii="Arial" w:hAnsi="Arial" w:cs="Arial"/>
        </w:rPr>
        <w:t> </w:t>
      </w:r>
    </w:p>
    <w:p w14:paraId="39735A5A"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195E0731"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47468F3C"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78F1BF9E"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lastRenderedPageBreak/>
        <w:t>Mankin Initiative (2023)</w:t>
      </w:r>
      <w:r w:rsidRPr="001E3FA9">
        <w:rPr>
          <w:rStyle w:val="normaltextrun"/>
          <w:rFonts w:ascii="Arial" w:hAnsi="Arial" w:cs="Arial"/>
          <w:i/>
          <w:iCs/>
        </w:rPr>
        <w:t xml:space="preserve"> Statistics on Male Victims of Domestic Abuse, Mankind</w:t>
      </w:r>
      <w:r w:rsidRPr="001E3FA9">
        <w:rPr>
          <w:rStyle w:val="normaltextrun"/>
          <w:rFonts w:ascii="Arial" w:hAnsi="Arial" w:cs="Arial"/>
        </w:rPr>
        <w:t>, (2023) Available at: mankind.org.uk/statistics/statistics-on-male-victims-of-domestic-abuse/ (Accessed: 3 November 2023)</w:t>
      </w:r>
      <w:r w:rsidRPr="001E3FA9">
        <w:rPr>
          <w:rStyle w:val="eop"/>
          <w:rFonts w:ascii="Arial" w:hAnsi="Arial" w:cs="Arial"/>
        </w:rPr>
        <w:t> </w:t>
      </w:r>
    </w:p>
    <w:p w14:paraId="6D5113E5"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5A753000"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Mare, T., and Caulfield, P (2022), </w:t>
      </w:r>
      <w:r w:rsidRPr="001E3FA9">
        <w:rPr>
          <w:rStyle w:val="normaltextrun"/>
          <w:rFonts w:ascii="Arial" w:hAnsi="Arial" w:cs="Arial"/>
          <w:i/>
          <w:iCs/>
        </w:rPr>
        <w:t>‘</w:t>
      </w:r>
      <w:r w:rsidRPr="001E3FA9">
        <w:rPr>
          <w:rStyle w:val="normaltextrun"/>
          <w:rFonts w:ascii="Arial" w:hAnsi="Arial" w:cs="Arial"/>
        </w:rPr>
        <w:t xml:space="preserve">Man Admits Killing Parents in Gloucestershire Homes.’ </w:t>
      </w:r>
      <w:r w:rsidRPr="001E3FA9">
        <w:rPr>
          <w:rStyle w:val="normaltextrun"/>
          <w:rFonts w:ascii="Arial" w:hAnsi="Arial" w:cs="Arial"/>
          <w:i/>
          <w:iCs/>
        </w:rPr>
        <w:t>BBC News</w:t>
      </w:r>
      <w:r w:rsidRPr="001E3FA9">
        <w:rPr>
          <w:rStyle w:val="normaltextrun"/>
          <w:rFonts w:ascii="Arial" w:hAnsi="Arial" w:cs="Arial"/>
        </w:rPr>
        <w:t>, 15</w:t>
      </w:r>
      <w:r w:rsidRPr="001E3FA9">
        <w:rPr>
          <w:rStyle w:val="normaltextrun"/>
          <w:rFonts w:ascii="Arial" w:hAnsi="Arial" w:cs="Arial"/>
          <w:vertAlign w:val="superscript"/>
        </w:rPr>
        <w:t>th</w:t>
      </w:r>
      <w:r w:rsidRPr="001E3FA9">
        <w:rPr>
          <w:rStyle w:val="normaltextrun"/>
          <w:rFonts w:ascii="Arial" w:hAnsi="Arial" w:cs="Arial"/>
        </w:rPr>
        <w:t xml:space="preserve"> Nov 2022. Available at: </w:t>
      </w:r>
      <w:hyperlink r:id="rId11" w:tgtFrame="_blank" w:history="1">
        <w:r w:rsidRPr="001E3FA9">
          <w:rPr>
            <w:rStyle w:val="normaltextrun"/>
            <w:rFonts w:ascii="Arial" w:hAnsi="Arial" w:cs="Arial"/>
            <w:color w:val="0000FF"/>
            <w:u w:val="single"/>
          </w:rPr>
          <w:t>www.bbc.co.uk/news/uk-england-gloucestershire-63625662</w:t>
        </w:r>
      </w:hyperlink>
      <w:r w:rsidRPr="001E3FA9">
        <w:rPr>
          <w:rStyle w:val="normaltextrun"/>
          <w:rFonts w:ascii="Arial" w:hAnsi="Arial" w:cs="Arial"/>
        </w:rPr>
        <w:t>. (Accessed: 1 November 2023)</w:t>
      </w:r>
      <w:r w:rsidRPr="001E3FA9">
        <w:rPr>
          <w:rStyle w:val="eop"/>
          <w:rFonts w:ascii="Arial" w:hAnsi="Arial" w:cs="Arial"/>
        </w:rPr>
        <w:t> </w:t>
      </w:r>
    </w:p>
    <w:p w14:paraId="5CBF5AEC"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340FF14B"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McGarty, C., </w:t>
      </w:r>
      <w:proofErr w:type="spellStart"/>
      <w:r w:rsidRPr="001E3FA9">
        <w:rPr>
          <w:rStyle w:val="normaltextrun"/>
          <w:rFonts w:ascii="Arial" w:hAnsi="Arial" w:cs="Arial"/>
        </w:rPr>
        <w:t>Yzerbyt</w:t>
      </w:r>
      <w:proofErr w:type="spellEnd"/>
      <w:r w:rsidRPr="001E3FA9">
        <w:rPr>
          <w:rStyle w:val="normaltextrun"/>
          <w:rFonts w:ascii="Arial" w:hAnsi="Arial" w:cs="Arial"/>
        </w:rPr>
        <w:t xml:space="preserve">, V. Y,. and Spears, R. (2002) Cambridge University Press, </w:t>
      </w:r>
      <w:r w:rsidRPr="001E3FA9">
        <w:rPr>
          <w:rStyle w:val="normaltextrun"/>
          <w:rFonts w:ascii="Arial" w:hAnsi="Arial" w:cs="Arial"/>
          <w:i/>
          <w:iCs/>
        </w:rPr>
        <w:t xml:space="preserve">Stereotypes as explanations </w:t>
      </w:r>
      <w:r w:rsidRPr="001E3FA9">
        <w:rPr>
          <w:rStyle w:val="normaltextrun"/>
          <w:rFonts w:ascii="Arial" w:hAnsi="Arial" w:cs="Arial"/>
        </w:rPr>
        <w:t>Available at: https://www.cambridge.org/core/books/stereotypes-as-explanations/DA26FCBE4DD792DB5FFC745D116D002A (Accessed: 30 October 2023)</w:t>
      </w:r>
      <w:r w:rsidRPr="001E3FA9">
        <w:rPr>
          <w:rStyle w:val="eop"/>
          <w:rFonts w:ascii="Arial" w:hAnsi="Arial" w:cs="Arial"/>
        </w:rPr>
        <w:t> </w:t>
      </w:r>
    </w:p>
    <w:p w14:paraId="62A890C0"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77C61307"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Ministry of Justice. </w:t>
      </w:r>
      <w:r w:rsidRPr="001E3FA9">
        <w:rPr>
          <w:rStyle w:val="normaltextrun"/>
          <w:rFonts w:ascii="Arial" w:hAnsi="Arial" w:cs="Arial"/>
          <w:i/>
          <w:iCs/>
        </w:rPr>
        <w:t>Statistics on Women and the Criminal Justice System 2021</w:t>
      </w:r>
      <w:r w:rsidRPr="001E3FA9">
        <w:rPr>
          <w:rStyle w:val="normaltextrun"/>
          <w:rFonts w:ascii="Arial" w:hAnsi="Arial" w:cs="Arial"/>
        </w:rPr>
        <w:t xml:space="preserve">. Available at: </w:t>
      </w:r>
      <w:hyperlink r:id="rId12" w:tgtFrame="_blank" w:history="1">
        <w:r w:rsidRPr="001E3FA9">
          <w:rPr>
            <w:rStyle w:val="normaltextrun"/>
            <w:rFonts w:ascii="Arial" w:hAnsi="Arial" w:cs="Arial"/>
            <w:color w:val="0000FF"/>
            <w:u w:val="single"/>
          </w:rPr>
          <w:t>Women and the Criminal Justice System 2021 - GOV.UK (www.gov.uk)</w:t>
        </w:r>
      </w:hyperlink>
      <w:r w:rsidRPr="001E3FA9">
        <w:rPr>
          <w:rStyle w:val="normaltextrun"/>
          <w:rFonts w:ascii="Arial" w:hAnsi="Arial" w:cs="Arial"/>
        </w:rPr>
        <w:t xml:space="preserve"> (Accessed: 1 November 2023)</w:t>
      </w:r>
      <w:r w:rsidRPr="001E3FA9">
        <w:rPr>
          <w:rStyle w:val="eop"/>
          <w:rFonts w:ascii="Arial" w:hAnsi="Arial" w:cs="Arial"/>
        </w:rPr>
        <w:t> </w:t>
      </w:r>
    </w:p>
    <w:p w14:paraId="04D4E85C"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76E2CBCA"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Newburn, T. (2017) </w:t>
      </w:r>
      <w:r w:rsidRPr="001E3FA9">
        <w:rPr>
          <w:rStyle w:val="normaltextrun"/>
          <w:rFonts w:ascii="Arial" w:hAnsi="Arial" w:cs="Arial"/>
          <w:i/>
          <w:iCs/>
        </w:rPr>
        <w:t>Criminology</w:t>
      </w:r>
      <w:r w:rsidRPr="001E3FA9">
        <w:rPr>
          <w:rStyle w:val="normaltextrun"/>
          <w:rFonts w:ascii="Arial" w:hAnsi="Arial" w:cs="Arial"/>
        </w:rPr>
        <w:t xml:space="preserve">. 3rd </w:t>
      </w:r>
      <w:proofErr w:type="spellStart"/>
      <w:r w:rsidRPr="001E3FA9">
        <w:rPr>
          <w:rStyle w:val="normaltextrun"/>
          <w:rFonts w:ascii="Arial" w:hAnsi="Arial" w:cs="Arial"/>
        </w:rPr>
        <w:t>edn</w:t>
      </w:r>
      <w:proofErr w:type="spellEnd"/>
      <w:r w:rsidRPr="001E3FA9">
        <w:rPr>
          <w:rStyle w:val="normaltextrun"/>
          <w:rFonts w:ascii="Arial" w:hAnsi="Arial" w:cs="Arial"/>
        </w:rPr>
        <w:t>. Cambridge: Routledge </w:t>
      </w:r>
      <w:r w:rsidRPr="001E3FA9">
        <w:rPr>
          <w:rStyle w:val="eop"/>
          <w:rFonts w:ascii="Arial" w:hAnsi="Arial" w:cs="Arial"/>
        </w:rPr>
        <w:t> </w:t>
      </w:r>
    </w:p>
    <w:p w14:paraId="75B0F153"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2027018E"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Office for National Statistics (2023) </w:t>
      </w:r>
      <w:r w:rsidRPr="001E3FA9">
        <w:rPr>
          <w:rStyle w:val="normaltextrun"/>
          <w:rFonts w:ascii="Arial" w:hAnsi="Arial" w:cs="Arial"/>
          <w:i/>
          <w:iCs/>
        </w:rPr>
        <w:t>Sexual Offences in England and Wales Overview - Office for National Statistics. Available</w:t>
      </w:r>
      <w:r w:rsidRPr="001E3FA9">
        <w:rPr>
          <w:rStyle w:val="normaltextrun"/>
          <w:rFonts w:ascii="Arial" w:hAnsi="Arial" w:cs="Arial"/>
        </w:rPr>
        <w:t xml:space="preserve"> at:www.ons.gov.uk/peoplepopulationandcommunity/crimeandjustice/bulletins/sexualoffencesinenglandandwalesoverview/march2022#:~:text=March%202022%20article (Accessed: 1 November 2023)</w:t>
      </w:r>
      <w:r w:rsidRPr="001E3FA9">
        <w:rPr>
          <w:rStyle w:val="eop"/>
          <w:rFonts w:ascii="Arial" w:hAnsi="Arial" w:cs="Arial"/>
        </w:rPr>
        <w:t> </w:t>
      </w:r>
    </w:p>
    <w:p w14:paraId="13735691"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lastRenderedPageBreak/>
        <w:t> </w:t>
      </w:r>
    </w:p>
    <w:p w14:paraId="4ACCB212"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29D83BA0"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Ornella, A (2022). ‘</w:t>
      </w:r>
      <w:r w:rsidRPr="001E3FA9">
        <w:rPr>
          <w:rStyle w:val="normaltextrun"/>
          <w:rFonts w:ascii="Arial" w:hAnsi="Arial" w:cs="Arial"/>
          <w:i/>
          <w:iCs/>
        </w:rPr>
        <w:t xml:space="preserve">Gender Differences and Sentencing: A Critical Literature Review. Available at: </w:t>
      </w:r>
      <w:hyperlink r:id="rId13" w:tgtFrame="_blank" w:history="1">
        <w:r w:rsidRPr="001E3FA9">
          <w:rPr>
            <w:rStyle w:val="normaltextrun"/>
            <w:rFonts w:ascii="Arial" w:hAnsi="Arial" w:cs="Arial"/>
            <w:color w:val="0000FF"/>
            <w:u w:val="single"/>
          </w:rPr>
          <w:t>Gender Differences and Sentencing: A Critical Literature Review | Criminology, Sociology and Policing at Hull</w:t>
        </w:r>
      </w:hyperlink>
      <w:r w:rsidRPr="001E3FA9">
        <w:rPr>
          <w:rStyle w:val="normaltextrun"/>
          <w:rFonts w:ascii="Arial" w:hAnsi="Arial" w:cs="Arial"/>
          <w:i/>
          <w:iCs/>
        </w:rPr>
        <w:t xml:space="preserve"> </w:t>
      </w:r>
      <w:r w:rsidRPr="001E3FA9">
        <w:rPr>
          <w:rStyle w:val="normaltextrun"/>
          <w:rFonts w:ascii="Arial" w:hAnsi="Arial" w:cs="Arial"/>
        </w:rPr>
        <w:t>(Accessed: 2 November 2023)</w:t>
      </w:r>
      <w:r w:rsidRPr="001E3FA9">
        <w:rPr>
          <w:rStyle w:val="eop"/>
          <w:rFonts w:ascii="Arial" w:hAnsi="Arial" w:cs="Arial"/>
        </w:rPr>
        <w:t> </w:t>
      </w:r>
    </w:p>
    <w:p w14:paraId="67742FDB"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56B301B0"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2C549EDF"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lang w:val="it-IT"/>
        </w:rPr>
        <w:t xml:space="preserve">Rutter, Natalie, and Una Barr. </w:t>
      </w:r>
      <w:r w:rsidRPr="001E3FA9">
        <w:rPr>
          <w:rStyle w:val="normaltextrun"/>
          <w:rFonts w:ascii="Arial" w:hAnsi="Arial" w:cs="Arial"/>
        </w:rPr>
        <w:t xml:space="preserve">‘Being a “Good Woman”: Stigma, Relationships and Desistance.’ </w:t>
      </w:r>
      <w:r w:rsidRPr="001E3FA9">
        <w:rPr>
          <w:rStyle w:val="normaltextrun"/>
          <w:rFonts w:ascii="Arial" w:hAnsi="Arial" w:cs="Arial"/>
          <w:i/>
          <w:iCs/>
        </w:rPr>
        <w:t>Probation Journal</w:t>
      </w:r>
      <w:r w:rsidRPr="001E3FA9">
        <w:rPr>
          <w:rStyle w:val="normaltextrun"/>
          <w:rFonts w:ascii="Arial" w:hAnsi="Arial" w:cs="Arial"/>
        </w:rPr>
        <w:t xml:space="preserve">, 68.  </w:t>
      </w:r>
      <w:hyperlink r:id="rId14" w:tgtFrame="_blank" w:history="1">
        <w:r w:rsidRPr="001E3FA9">
          <w:rPr>
            <w:rStyle w:val="normaltextrun"/>
            <w:rFonts w:ascii="Arial" w:hAnsi="Arial" w:cs="Arial"/>
            <w:color w:val="0000FF"/>
            <w:u w:val="single"/>
          </w:rPr>
          <w:t>https://doi.org/10.1177/02645505211010336</w:t>
        </w:r>
      </w:hyperlink>
      <w:r w:rsidRPr="001E3FA9">
        <w:rPr>
          <w:rStyle w:val="eop"/>
          <w:rFonts w:ascii="Arial" w:hAnsi="Arial" w:cs="Arial"/>
        </w:rPr>
        <w:t> </w:t>
      </w:r>
    </w:p>
    <w:p w14:paraId="455F93FF"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7EBD864F"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Stevenson, R., Kusz, J., Lyons, T., and Fabian, S (2023). </w:t>
      </w:r>
      <w:r w:rsidRPr="001E3FA9">
        <w:rPr>
          <w:rStyle w:val="normaltextrun"/>
          <w:rFonts w:ascii="Arial" w:hAnsi="Arial" w:cs="Arial"/>
          <w:i/>
          <w:iCs/>
        </w:rPr>
        <w:t>Introduction to Criminology.</w:t>
      </w:r>
      <w:r w:rsidRPr="001E3FA9">
        <w:rPr>
          <w:rStyle w:val="normaltextrun"/>
          <w:rFonts w:ascii="Arial" w:hAnsi="Arial" w:cs="Arial"/>
        </w:rPr>
        <w:t xml:space="preserve"> Canada: Kwantlen Polytechnic University</w:t>
      </w:r>
      <w:r w:rsidRPr="001E3FA9">
        <w:rPr>
          <w:rStyle w:val="eop"/>
          <w:rFonts w:ascii="Arial" w:hAnsi="Arial" w:cs="Arial"/>
        </w:rPr>
        <w:t> </w:t>
      </w:r>
    </w:p>
    <w:p w14:paraId="47D67B63"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0A485405"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Thompson, C, H. (2011) </w:t>
      </w:r>
      <w:r w:rsidRPr="001E3FA9">
        <w:rPr>
          <w:rStyle w:val="normaltextrun"/>
          <w:rFonts w:ascii="Arial" w:hAnsi="Arial" w:cs="Arial"/>
          <w:i/>
          <w:iCs/>
        </w:rPr>
        <w:t xml:space="preserve">Feminist Perspectives of Crime. </w:t>
      </w:r>
      <w:r w:rsidRPr="001E3FA9">
        <w:rPr>
          <w:rStyle w:val="normaltextrun"/>
          <w:rFonts w:ascii="Arial" w:hAnsi="Arial" w:cs="Arial"/>
        </w:rPr>
        <w:t>Available at: sociologytwynham.com/2011/04/20/feminist-perspectives-of-crime/.(Accessed: 5 November 2023)</w:t>
      </w:r>
      <w:r w:rsidRPr="001E3FA9">
        <w:rPr>
          <w:rStyle w:val="eop"/>
          <w:rFonts w:ascii="Arial" w:hAnsi="Arial" w:cs="Arial"/>
        </w:rPr>
        <w:t> </w:t>
      </w:r>
    </w:p>
    <w:p w14:paraId="13CBE922"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10BB825D"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0484E86E"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United Nations (2022) </w:t>
      </w:r>
      <w:r w:rsidRPr="001E3FA9">
        <w:rPr>
          <w:rStyle w:val="normaltextrun"/>
          <w:rFonts w:ascii="Arial" w:hAnsi="Arial" w:cs="Arial"/>
          <w:i/>
          <w:iCs/>
        </w:rPr>
        <w:t>Gender Stereotyping</w:t>
      </w:r>
      <w:r w:rsidRPr="001E3FA9">
        <w:rPr>
          <w:rStyle w:val="normaltextrun"/>
          <w:rFonts w:ascii="Arial" w:hAnsi="Arial" w:cs="Arial"/>
        </w:rPr>
        <w:t xml:space="preserve"> </w:t>
      </w:r>
      <w:r w:rsidRPr="001E3FA9">
        <w:rPr>
          <w:rStyle w:val="normaltextrun"/>
          <w:rFonts w:ascii="Arial" w:hAnsi="Arial" w:cs="Arial"/>
          <w:i/>
          <w:iCs/>
        </w:rPr>
        <w:t>OHCHR</w:t>
      </w:r>
      <w:r w:rsidRPr="001E3FA9">
        <w:rPr>
          <w:rStyle w:val="normaltextrun"/>
          <w:rFonts w:ascii="Arial" w:hAnsi="Arial" w:cs="Arial"/>
        </w:rPr>
        <w:t xml:space="preserve">, 2022. </w:t>
      </w:r>
      <w:r w:rsidRPr="001E3FA9">
        <w:rPr>
          <w:rStyle w:val="normaltextrun"/>
          <w:rFonts w:ascii="Arial" w:hAnsi="Arial" w:cs="Arial"/>
          <w:lang w:val="fr-FR"/>
        </w:rPr>
        <w:t xml:space="preserve">Available at: www.ohchr.org/en/women/gender-stereotyping. </w:t>
      </w:r>
      <w:r w:rsidRPr="001E3FA9">
        <w:rPr>
          <w:rStyle w:val="normaltextrun"/>
          <w:rFonts w:ascii="Arial" w:hAnsi="Arial" w:cs="Arial"/>
        </w:rPr>
        <w:t>(Accessed: 1 November 2023)</w:t>
      </w:r>
      <w:r w:rsidRPr="001E3FA9">
        <w:rPr>
          <w:rStyle w:val="eop"/>
          <w:rFonts w:ascii="Arial" w:hAnsi="Arial" w:cs="Arial"/>
        </w:rPr>
        <w:t> </w:t>
      </w:r>
    </w:p>
    <w:p w14:paraId="79D571BD"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0C795F31"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Weinberg, C (2020) </w:t>
      </w:r>
      <w:r w:rsidRPr="001E3FA9">
        <w:rPr>
          <w:rStyle w:val="normaltextrun"/>
          <w:rFonts w:ascii="Arial" w:hAnsi="Arial" w:cs="Arial"/>
          <w:i/>
          <w:iCs/>
        </w:rPr>
        <w:t xml:space="preserve">Patriarchy on Trial: Double Standards in the Criminal Justice System-Revolving Door.  </w:t>
      </w:r>
      <w:r w:rsidRPr="001E3FA9">
        <w:rPr>
          <w:rStyle w:val="normaltextrun"/>
          <w:rFonts w:ascii="Arial" w:hAnsi="Arial" w:cs="Arial"/>
        </w:rPr>
        <w:t>Available at: revolving-doors.org.uk/women-criminal-</w:t>
      </w:r>
      <w:r w:rsidRPr="001E3FA9">
        <w:rPr>
          <w:rStyle w:val="normaltextrun"/>
          <w:rFonts w:ascii="Arial" w:hAnsi="Arial" w:cs="Arial"/>
        </w:rPr>
        <w:lastRenderedPageBreak/>
        <w:t>justice doublestandards/#:~:text=In%20criminal%20justice%20terms%2C%20this. (Accessed: 3 November 2023)</w:t>
      </w:r>
      <w:r w:rsidRPr="001E3FA9">
        <w:rPr>
          <w:rStyle w:val="eop"/>
          <w:rFonts w:ascii="Arial" w:hAnsi="Arial" w:cs="Arial"/>
        </w:rPr>
        <w:t> </w:t>
      </w:r>
    </w:p>
    <w:p w14:paraId="27459446"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3356011F"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Women’s Aid (No date)</w:t>
      </w:r>
      <w:r w:rsidRPr="001E3FA9">
        <w:rPr>
          <w:rStyle w:val="normaltextrun"/>
          <w:rFonts w:ascii="Arial" w:hAnsi="Arial" w:cs="Arial"/>
          <w:i/>
          <w:iCs/>
        </w:rPr>
        <w:t xml:space="preserve"> Domestic Abuse Is a Gendered Crime</w:t>
      </w:r>
      <w:r w:rsidRPr="001E3FA9">
        <w:rPr>
          <w:rStyle w:val="normaltextrun"/>
          <w:rFonts w:ascii="Arial" w:hAnsi="Arial" w:cs="Arial"/>
        </w:rPr>
        <w:t>. Available at:</w:t>
      </w:r>
      <w:r w:rsidRPr="001E3FA9">
        <w:rPr>
          <w:rStyle w:val="normaltextrun"/>
          <w:rFonts w:ascii="Arial" w:hAnsi="Arial" w:cs="Arial"/>
          <w:color w:val="0563C1"/>
          <w:u w:val="single"/>
        </w:rPr>
        <w:t xml:space="preserve"> </w:t>
      </w:r>
      <w:hyperlink r:id="rId15" w:anchor=":~:text=Women%20experience%20higher%20rates%20of" w:tgtFrame="_blank" w:history="1">
        <w:r w:rsidRPr="001E3FA9">
          <w:rPr>
            <w:rStyle w:val="normaltextrun"/>
            <w:rFonts w:ascii="Arial" w:hAnsi="Arial" w:cs="Arial"/>
            <w:color w:val="0000FF"/>
            <w:u w:val="single"/>
          </w:rPr>
          <w:t>www.womensaid.org.uk/informationsupport/what-is-domestic-abuse/domestic-abuse-is-a-gendered-crime/#:~:text=Women%20experience%20higher%20rates%20of</w:t>
        </w:r>
      </w:hyperlink>
      <w:r w:rsidRPr="001E3FA9">
        <w:rPr>
          <w:rStyle w:val="normaltextrun"/>
          <w:rFonts w:ascii="Arial" w:hAnsi="Arial" w:cs="Arial"/>
          <w:color w:val="000000"/>
        </w:rPr>
        <w:t xml:space="preserve"> </w:t>
      </w:r>
      <w:r w:rsidRPr="001E3FA9">
        <w:rPr>
          <w:rStyle w:val="normaltextrun"/>
          <w:rFonts w:ascii="Arial" w:hAnsi="Arial" w:cs="Arial"/>
        </w:rPr>
        <w:t>(Accessed: 1 Nov 2023)</w:t>
      </w:r>
      <w:r w:rsidRPr="001E3FA9">
        <w:rPr>
          <w:rStyle w:val="eop"/>
          <w:rFonts w:ascii="Arial" w:hAnsi="Arial" w:cs="Arial"/>
        </w:rPr>
        <w:t> </w:t>
      </w:r>
    </w:p>
    <w:p w14:paraId="0575C4E0"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120E8B36"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normaltextrun"/>
          <w:rFonts w:ascii="Arial" w:hAnsi="Arial" w:cs="Arial"/>
        </w:rPr>
        <w:t xml:space="preserve">Whitehead, S. (2022). </w:t>
      </w:r>
      <w:r w:rsidRPr="001E3FA9">
        <w:rPr>
          <w:rStyle w:val="normaltextrun"/>
          <w:rFonts w:ascii="Arial" w:hAnsi="Arial" w:cs="Arial"/>
          <w:i/>
          <w:iCs/>
        </w:rPr>
        <w:t>Double Deviant: Criminalisation of and Attitudes Towards Female ‘Sin’ in Nineteenth Century Britain</w:t>
      </w:r>
      <w:r w:rsidRPr="001E3FA9">
        <w:rPr>
          <w:rStyle w:val="normaltextrun"/>
          <w:rFonts w:ascii="Arial" w:hAnsi="Arial" w:cs="Arial"/>
        </w:rPr>
        <w:t xml:space="preserve">. Available at: </w:t>
      </w:r>
      <w:hyperlink r:id="rId16" w:tgtFrame="_blank" w:history="1">
        <w:r w:rsidRPr="001E3FA9">
          <w:rPr>
            <w:rStyle w:val="normaltextrun"/>
            <w:rFonts w:ascii="Arial" w:hAnsi="Arial" w:cs="Arial"/>
            <w:u w:val="single"/>
          </w:rPr>
          <w:t>Double Deviant: Criminalisation of and Attitudes Towards Female ‘Sin’ in Nineteenth Century Britain  – Retrospect Journal</w:t>
        </w:r>
      </w:hyperlink>
      <w:r w:rsidRPr="001E3FA9">
        <w:rPr>
          <w:rStyle w:val="normaltextrun"/>
          <w:rFonts w:ascii="Arial" w:hAnsi="Arial" w:cs="Arial"/>
        </w:rPr>
        <w:t xml:space="preserve"> (Accessed: 6 November 2023)</w:t>
      </w:r>
      <w:r w:rsidRPr="001E3FA9">
        <w:rPr>
          <w:rStyle w:val="eop"/>
          <w:rFonts w:ascii="Arial" w:hAnsi="Arial" w:cs="Arial"/>
        </w:rPr>
        <w:t> </w:t>
      </w:r>
    </w:p>
    <w:p w14:paraId="52FF552E" w14:textId="77777777" w:rsidR="001E3FA9" w:rsidRPr="001E3FA9" w:rsidRDefault="001E3FA9" w:rsidP="001E3FA9">
      <w:pPr>
        <w:pStyle w:val="paragraph"/>
        <w:spacing w:before="0" w:beforeAutospacing="0" w:after="0" w:afterAutospacing="0" w:line="480" w:lineRule="auto"/>
        <w:ind w:left="720" w:hanging="720"/>
        <w:textAlignment w:val="baseline"/>
        <w:rPr>
          <w:rFonts w:ascii="Arial" w:hAnsi="Arial" w:cs="Arial"/>
        </w:rPr>
      </w:pPr>
      <w:r w:rsidRPr="001E3FA9">
        <w:rPr>
          <w:rStyle w:val="eop"/>
          <w:rFonts w:ascii="Arial" w:hAnsi="Arial" w:cs="Arial"/>
        </w:rPr>
        <w:t> </w:t>
      </w:r>
    </w:p>
    <w:p w14:paraId="34CCC678" w14:textId="5D243BE3" w:rsidR="001E3FA9" w:rsidRPr="001E3FA9" w:rsidRDefault="001E3FA9" w:rsidP="001E3FA9">
      <w:pPr>
        <w:spacing w:line="480" w:lineRule="auto"/>
        <w:rPr>
          <w:rFonts w:ascii="Arial" w:hAnsi="Arial" w:cs="Arial"/>
          <w:sz w:val="24"/>
          <w:szCs w:val="24"/>
        </w:rPr>
      </w:pPr>
    </w:p>
    <w:sectPr w:rsidR="001E3FA9" w:rsidRPr="001E3F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0BA"/>
    <w:rsid w:val="001E3FA9"/>
    <w:rsid w:val="00344781"/>
    <w:rsid w:val="003A30BA"/>
    <w:rsid w:val="00565CED"/>
    <w:rsid w:val="00B12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4300A"/>
  <w15:chartTrackingRefBased/>
  <w15:docId w15:val="{EBC8E06C-2A11-4000-9D33-52DAE458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E3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E3FA9"/>
  </w:style>
  <w:style w:type="character" w:customStyle="1" w:styleId="eop">
    <w:name w:val="eop"/>
    <w:basedOn w:val="DefaultParagraphFont"/>
    <w:rsid w:val="001E3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345386">
      <w:bodyDiv w:val="1"/>
      <w:marLeft w:val="0"/>
      <w:marRight w:val="0"/>
      <w:marTop w:val="0"/>
      <w:marBottom w:val="0"/>
      <w:divBdr>
        <w:top w:val="none" w:sz="0" w:space="0" w:color="auto"/>
        <w:left w:val="none" w:sz="0" w:space="0" w:color="auto"/>
        <w:bottom w:val="none" w:sz="0" w:space="0" w:color="auto"/>
        <w:right w:val="none" w:sz="0" w:space="0" w:color="auto"/>
      </w:divBdr>
      <w:divsChild>
        <w:div w:id="1064449228">
          <w:marLeft w:val="0"/>
          <w:marRight w:val="0"/>
          <w:marTop w:val="0"/>
          <w:marBottom w:val="0"/>
          <w:divBdr>
            <w:top w:val="none" w:sz="0" w:space="0" w:color="auto"/>
            <w:left w:val="none" w:sz="0" w:space="0" w:color="auto"/>
            <w:bottom w:val="none" w:sz="0" w:space="0" w:color="auto"/>
            <w:right w:val="none" w:sz="0" w:space="0" w:color="auto"/>
          </w:divBdr>
        </w:div>
        <w:div w:id="236790964">
          <w:marLeft w:val="0"/>
          <w:marRight w:val="0"/>
          <w:marTop w:val="0"/>
          <w:marBottom w:val="0"/>
          <w:divBdr>
            <w:top w:val="none" w:sz="0" w:space="0" w:color="auto"/>
            <w:left w:val="none" w:sz="0" w:space="0" w:color="auto"/>
            <w:bottom w:val="none" w:sz="0" w:space="0" w:color="auto"/>
            <w:right w:val="none" w:sz="0" w:space="0" w:color="auto"/>
          </w:divBdr>
        </w:div>
        <w:div w:id="465589303">
          <w:marLeft w:val="0"/>
          <w:marRight w:val="0"/>
          <w:marTop w:val="0"/>
          <w:marBottom w:val="0"/>
          <w:divBdr>
            <w:top w:val="none" w:sz="0" w:space="0" w:color="auto"/>
            <w:left w:val="none" w:sz="0" w:space="0" w:color="auto"/>
            <w:bottom w:val="none" w:sz="0" w:space="0" w:color="auto"/>
            <w:right w:val="none" w:sz="0" w:space="0" w:color="auto"/>
          </w:divBdr>
        </w:div>
        <w:div w:id="1871798121">
          <w:marLeft w:val="0"/>
          <w:marRight w:val="0"/>
          <w:marTop w:val="0"/>
          <w:marBottom w:val="0"/>
          <w:divBdr>
            <w:top w:val="none" w:sz="0" w:space="0" w:color="auto"/>
            <w:left w:val="none" w:sz="0" w:space="0" w:color="auto"/>
            <w:bottom w:val="none" w:sz="0" w:space="0" w:color="auto"/>
            <w:right w:val="none" w:sz="0" w:space="0" w:color="auto"/>
          </w:divBdr>
        </w:div>
        <w:div w:id="1387603471">
          <w:marLeft w:val="0"/>
          <w:marRight w:val="0"/>
          <w:marTop w:val="0"/>
          <w:marBottom w:val="0"/>
          <w:divBdr>
            <w:top w:val="none" w:sz="0" w:space="0" w:color="auto"/>
            <w:left w:val="none" w:sz="0" w:space="0" w:color="auto"/>
            <w:bottom w:val="none" w:sz="0" w:space="0" w:color="auto"/>
            <w:right w:val="none" w:sz="0" w:space="0" w:color="auto"/>
          </w:divBdr>
        </w:div>
        <w:div w:id="582765442">
          <w:marLeft w:val="0"/>
          <w:marRight w:val="0"/>
          <w:marTop w:val="0"/>
          <w:marBottom w:val="0"/>
          <w:divBdr>
            <w:top w:val="none" w:sz="0" w:space="0" w:color="auto"/>
            <w:left w:val="none" w:sz="0" w:space="0" w:color="auto"/>
            <w:bottom w:val="none" w:sz="0" w:space="0" w:color="auto"/>
            <w:right w:val="none" w:sz="0" w:space="0" w:color="auto"/>
          </w:divBdr>
        </w:div>
        <w:div w:id="1453284644">
          <w:marLeft w:val="0"/>
          <w:marRight w:val="0"/>
          <w:marTop w:val="0"/>
          <w:marBottom w:val="0"/>
          <w:divBdr>
            <w:top w:val="none" w:sz="0" w:space="0" w:color="auto"/>
            <w:left w:val="none" w:sz="0" w:space="0" w:color="auto"/>
            <w:bottom w:val="none" w:sz="0" w:space="0" w:color="auto"/>
            <w:right w:val="none" w:sz="0" w:space="0" w:color="auto"/>
          </w:divBdr>
        </w:div>
        <w:div w:id="1353072768">
          <w:marLeft w:val="0"/>
          <w:marRight w:val="0"/>
          <w:marTop w:val="0"/>
          <w:marBottom w:val="0"/>
          <w:divBdr>
            <w:top w:val="none" w:sz="0" w:space="0" w:color="auto"/>
            <w:left w:val="none" w:sz="0" w:space="0" w:color="auto"/>
            <w:bottom w:val="none" w:sz="0" w:space="0" w:color="auto"/>
            <w:right w:val="none" w:sz="0" w:space="0" w:color="auto"/>
          </w:divBdr>
        </w:div>
        <w:div w:id="115757445">
          <w:marLeft w:val="0"/>
          <w:marRight w:val="0"/>
          <w:marTop w:val="0"/>
          <w:marBottom w:val="0"/>
          <w:divBdr>
            <w:top w:val="none" w:sz="0" w:space="0" w:color="auto"/>
            <w:left w:val="none" w:sz="0" w:space="0" w:color="auto"/>
            <w:bottom w:val="none" w:sz="0" w:space="0" w:color="auto"/>
            <w:right w:val="none" w:sz="0" w:space="0" w:color="auto"/>
          </w:divBdr>
        </w:div>
        <w:div w:id="1858882109">
          <w:marLeft w:val="0"/>
          <w:marRight w:val="0"/>
          <w:marTop w:val="0"/>
          <w:marBottom w:val="0"/>
          <w:divBdr>
            <w:top w:val="none" w:sz="0" w:space="0" w:color="auto"/>
            <w:left w:val="none" w:sz="0" w:space="0" w:color="auto"/>
            <w:bottom w:val="none" w:sz="0" w:space="0" w:color="auto"/>
            <w:right w:val="none" w:sz="0" w:space="0" w:color="auto"/>
          </w:divBdr>
        </w:div>
        <w:div w:id="289213643">
          <w:marLeft w:val="0"/>
          <w:marRight w:val="0"/>
          <w:marTop w:val="0"/>
          <w:marBottom w:val="0"/>
          <w:divBdr>
            <w:top w:val="none" w:sz="0" w:space="0" w:color="auto"/>
            <w:left w:val="none" w:sz="0" w:space="0" w:color="auto"/>
            <w:bottom w:val="none" w:sz="0" w:space="0" w:color="auto"/>
            <w:right w:val="none" w:sz="0" w:space="0" w:color="auto"/>
          </w:divBdr>
        </w:div>
        <w:div w:id="1169566836">
          <w:marLeft w:val="0"/>
          <w:marRight w:val="0"/>
          <w:marTop w:val="0"/>
          <w:marBottom w:val="0"/>
          <w:divBdr>
            <w:top w:val="none" w:sz="0" w:space="0" w:color="auto"/>
            <w:left w:val="none" w:sz="0" w:space="0" w:color="auto"/>
            <w:bottom w:val="none" w:sz="0" w:space="0" w:color="auto"/>
            <w:right w:val="none" w:sz="0" w:space="0" w:color="auto"/>
          </w:divBdr>
        </w:div>
        <w:div w:id="2034266247">
          <w:marLeft w:val="0"/>
          <w:marRight w:val="0"/>
          <w:marTop w:val="0"/>
          <w:marBottom w:val="0"/>
          <w:divBdr>
            <w:top w:val="none" w:sz="0" w:space="0" w:color="auto"/>
            <w:left w:val="none" w:sz="0" w:space="0" w:color="auto"/>
            <w:bottom w:val="none" w:sz="0" w:space="0" w:color="auto"/>
            <w:right w:val="none" w:sz="0" w:space="0" w:color="auto"/>
          </w:divBdr>
        </w:div>
        <w:div w:id="377902015">
          <w:marLeft w:val="0"/>
          <w:marRight w:val="0"/>
          <w:marTop w:val="0"/>
          <w:marBottom w:val="0"/>
          <w:divBdr>
            <w:top w:val="none" w:sz="0" w:space="0" w:color="auto"/>
            <w:left w:val="none" w:sz="0" w:space="0" w:color="auto"/>
            <w:bottom w:val="none" w:sz="0" w:space="0" w:color="auto"/>
            <w:right w:val="none" w:sz="0" w:space="0" w:color="auto"/>
          </w:divBdr>
        </w:div>
        <w:div w:id="1548762112">
          <w:marLeft w:val="0"/>
          <w:marRight w:val="0"/>
          <w:marTop w:val="0"/>
          <w:marBottom w:val="0"/>
          <w:divBdr>
            <w:top w:val="none" w:sz="0" w:space="0" w:color="auto"/>
            <w:left w:val="none" w:sz="0" w:space="0" w:color="auto"/>
            <w:bottom w:val="none" w:sz="0" w:space="0" w:color="auto"/>
            <w:right w:val="none" w:sz="0" w:space="0" w:color="auto"/>
          </w:divBdr>
        </w:div>
        <w:div w:id="1876457655">
          <w:marLeft w:val="0"/>
          <w:marRight w:val="0"/>
          <w:marTop w:val="0"/>
          <w:marBottom w:val="0"/>
          <w:divBdr>
            <w:top w:val="none" w:sz="0" w:space="0" w:color="auto"/>
            <w:left w:val="none" w:sz="0" w:space="0" w:color="auto"/>
            <w:bottom w:val="none" w:sz="0" w:space="0" w:color="auto"/>
            <w:right w:val="none" w:sz="0" w:space="0" w:color="auto"/>
          </w:divBdr>
        </w:div>
        <w:div w:id="1033533586">
          <w:marLeft w:val="0"/>
          <w:marRight w:val="0"/>
          <w:marTop w:val="0"/>
          <w:marBottom w:val="0"/>
          <w:divBdr>
            <w:top w:val="none" w:sz="0" w:space="0" w:color="auto"/>
            <w:left w:val="none" w:sz="0" w:space="0" w:color="auto"/>
            <w:bottom w:val="none" w:sz="0" w:space="0" w:color="auto"/>
            <w:right w:val="none" w:sz="0" w:space="0" w:color="auto"/>
          </w:divBdr>
        </w:div>
        <w:div w:id="617378431">
          <w:marLeft w:val="0"/>
          <w:marRight w:val="0"/>
          <w:marTop w:val="0"/>
          <w:marBottom w:val="0"/>
          <w:divBdr>
            <w:top w:val="none" w:sz="0" w:space="0" w:color="auto"/>
            <w:left w:val="none" w:sz="0" w:space="0" w:color="auto"/>
            <w:bottom w:val="none" w:sz="0" w:space="0" w:color="auto"/>
            <w:right w:val="none" w:sz="0" w:space="0" w:color="auto"/>
          </w:divBdr>
        </w:div>
        <w:div w:id="502355519">
          <w:marLeft w:val="0"/>
          <w:marRight w:val="0"/>
          <w:marTop w:val="0"/>
          <w:marBottom w:val="0"/>
          <w:divBdr>
            <w:top w:val="none" w:sz="0" w:space="0" w:color="auto"/>
            <w:left w:val="none" w:sz="0" w:space="0" w:color="auto"/>
            <w:bottom w:val="none" w:sz="0" w:space="0" w:color="auto"/>
            <w:right w:val="none" w:sz="0" w:space="0" w:color="auto"/>
          </w:divBdr>
        </w:div>
        <w:div w:id="1572275161">
          <w:marLeft w:val="0"/>
          <w:marRight w:val="0"/>
          <w:marTop w:val="0"/>
          <w:marBottom w:val="0"/>
          <w:divBdr>
            <w:top w:val="none" w:sz="0" w:space="0" w:color="auto"/>
            <w:left w:val="none" w:sz="0" w:space="0" w:color="auto"/>
            <w:bottom w:val="none" w:sz="0" w:space="0" w:color="auto"/>
            <w:right w:val="none" w:sz="0" w:space="0" w:color="auto"/>
          </w:divBdr>
        </w:div>
        <w:div w:id="737246264">
          <w:marLeft w:val="0"/>
          <w:marRight w:val="0"/>
          <w:marTop w:val="0"/>
          <w:marBottom w:val="0"/>
          <w:divBdr>
            <w:top w:val="none" w:sz="0" w:space="0" w:color="auto"/>
            <w:left w:val="none" w:sz="0" w:space="0" w:color="auto"/>
            <w:bottom w:val="none" w:sz="0" w:space="0" w:color="auto"/>
            <w:right w:val="none" w:sz="0" w:space="0" w:color="auto"/>
          </w:divBdr>
        </w:div>
        <w:div w:id="418523912">
          <w:marLeft w:val="0"/>
          <w:marRight w:val="0"/>
          <w:marTop w:val="0"/>
          <w:marBottom w:val="0"/>
          <w:divBdr>
            <w:top w:val="none" w:sz="0" w:space="0" w:color="auto"/>
            <w:left w:val="none" w:sz="0" w:space="0" w:color="auto"/>
            <w:bottom w:val="none" w:sz="0" w:space="0" w:color="auto"/>
            <w:right w:val="none" w:sz="0" w:space="0" w:color="auto"/>
          </w:divBdr>
        </w:div>
        <w:div w:id="1736539702">
          <w:marLeft w:val="0"/>
          <w:marRight w:val="0"/>
          <w:marTop w:val="0"/>
          <w:marBottom w:val="0"/>
          <w:divBdr>
            <w:top w:val="none" w:sz="0" w:space="0" w:color="auto"/>
            <w:left w:val="none" w:sz="0" w:space="0" w:color="auto"/>
            <w:bottom w:val="none" w:sz="0" w:space="0" w:color="auto"/>
            <w:right w:val="none" w:sz="0" w:space="0" w:color="auto"/>
          </w:divBdr>
        </w:div>
        <w:div w:id="288363274">
          <w:marLeft w:val="0"/>
          <w:marRight w:val="0"/>
          <w:marTop w:val="0"/>
          <w:marBottom w:val="0"/>
          <w:divBdr>
            <w:top w:val="none" w:sz="0" w:space="0" w:color="auto"/>
            <w:left w:val="none" w:sz="0" w:space="0" w:color="auto"/>
            <w:bottom w:val="none" w:sz="0" w:space="0" w:color="auto"/>
            <w:right w:val="none" w:sz="0" w:space="0" w:color="auto"/>
          </w:divBdr>
        </w:div>
        <w:div w:id="1703165930">
          <w:marLeft w:val="0"/>
          <w:marRight w:val="0"/>
          <w:marTop w:val="0"/>
          <w:marBottom w:val="0"/>
          <w:divBdr>
            <w:top w:val="none" w:sz="0" w:space="0" w:color="auto"/>
            <w:left w:val="none" w:sz="0" w:space="0" w:color="auto"/>
            <w:bottom w:val="none" w:sz="0" w:space="0" w:color="auto"/>
            <w:right w:val="none" w:sz="0" w:space="0" w:color="auto"/>
          </w:divBdr>
        </w:div>
        <w:div w:id="519394360">
          <w:marLeft w:val="0"/>
          <w:marRight w:val="0"/>
          <w:marTop w:val="0"/>
          <w:marBottom w:val="0"/>
          <w:divBdr>
            <w:top w:val="none" w:sz="0" w:space="0" w:color="auto"/>
            <w:left w:val="none" w:sz="0" w:space="0" w:color="auto"/>
            <w:bottom w:val="none" w:sz="0" w:space="0" w:color="auto"/>
            <w:right w:val="none" w:sz="0" w:space="0" w:color="auto"/>
          </w:divBdr>
        </w:div>
        <w:div w:id="5332512">
          <w:marLeft w:val="0"/>
          <w:marRight w:val="0"/>
          <w:marTop w:val="0"/>
          <w:marBottom w:val="0"/>
          <w:divBdr>
            <w:top w:val="none" w:sz="0" w:space="0" w:color="auto"/>
            <w:left w:val="none" w:sz="0" w:space="0" w:color="auto"/>
            <w:bottom w:val="none" w:sz="0" w:space="0" w:color="auto"/>
            <w:right w:val="none" w:sz="0" w:space="0" w:color="auto"/>
          </w:divBdr>
        </w:div>
        <w:div w:id="468910307">
          <w:marLeft w:val="0"/>
          <w:marRight w:val="0"/>
          <w:marTop w:val="0"/>
          <w:marBottom w:val="0"/>
          <w:divBdr>
            <w:top w:val="none" w:sz="0" w:space="0" w:color="auto"/>
            <w:left w:val="none" w:sz="0" w:space="0" w:color="auto"/>
            <w:bottom w:val="none" w:sz="0" w:space="0" w:color="auto"/>
            <w:right w:val="none" w:sz="0" w:space="0" w:color="auto"/>
          </w:divBdr>
        </w:div>
        <w:div w:id="462887105">
          <w:marLeft w:val="0"/>
          <w:marRight w:val="0"/>
          <w:marTop w:val="0"/>
          <w:marBottom w:val="0"/>
          <w:divBdr>
            <w:top w:val="none" w:sz="0" w:space="0" w:color="auto"/>
            <w:left w:val="none" w:sz="0" w:space="0" w:color="auto"/>
            <w:bottom w:val="none" w:sz="0" w:space="0" w:color="auto"/>
            <w:right w:val="none" w:sz="0" w:space="0" w:color="auto"/>
          </w:divBdr>
        </w:div>
        <w:div w:id="570701667">
          <w:marLeft w:val="0"/>
          <w:marRight w:val="0"/>
          <w:marTop w:val="0"/>
          <w:marBottom w:val="0"/>
          <w:divBdr>
            <w:top w:val="none" w:sz="0" w:space="0" w:color="auto"/>
            <w:left w:val="none" w:sz="0" w:space="0" w:color="auto"/>
            <w:bottom w:val="none" w:sz="0" w:space="0" w:color="auto"/>
            <w:right w:val="none" w:sz="0" w:space="0" w:color="auto"/>
          </w:divBdr>
        </w:div>
        <w:div w:id="1707946520">
          <w:marLeft w:val="0"/>
          <w:marRight w:val="0"/>
          <w:marTop w:val="0"/>
          <w:marBottom w:val="0"/>
          <w:divBdr>
            <w:top w:val="none" w:sz="0" w:space="0" w:color="auto"/>
            <w:left w:val="none" w:sz="0" w:space="0" w:color="auto"/>
            <w:bottom w:val="none" w:sz="0" w:space="0" w:color="auto"/>
            <w:right w:val="none" w:sz="0" w:space="0" w:color="auto"/>
          </w:divBdr>
        </w:div>
        <w:div w:id="1289049051">
          <w:marLeft w:val="0"/>
          <w:marRight w:val="0"/>
          <w:marTop w:val="0"/>
          <w:marBottom w:val="0"/>
          <w:divBdr>
            <w:top w:val="none" w:sz="0" w:space="0" w:color="auto"/>
            <w:left w:val="none" w:sz="0" w:space="0" w:color="auto"/>
            <w:bottom w:val="none" w:sz="0" w:space="0" w:color="auto"/>
            <w:right w:val="none" w:sz="0" w:space="0" w:color="auto"/>
          </w:divBdr>
        </w:div>
        <w:div w:id="203375826">
          <w:marLeft w:val="0"/>
          <w:marRight w:val="0"/>
          <w:marTop w:val="0"/>
          <w:marBottom w:val="0"/>
          <w:divBdr>
            <w:top w:val="none" w:sz="0" w:space="0" w:color="auto"/>
            <w:left w:val="none" w:sz="0" w:space="0" w:color="auto"/>
            <w:bottom w:val="none" w:sz="0" w:space="0" w:color="auto"/>
            <w:right w:val="none" w:sz="0" w:space="0" w:color="auto"/>
          </w:divBdr>
        </w:div>
        <w:div w:id="1051004199">
          <w:marLeft w:val="0"/>
          <w:marRight w:val="0"/>
          <w:marTop w:val="0"/>
          <w:marBottom w:val="0"/>
          <w:divBdr>
            <w:top w:val="none" w:sz="0" w:space="0" w:color="auto"/>
            <w:left w:val="none" w:sz="0" w:space="0" w:color="auto"/>
            <w:bottom w:val="none" w:sz="0" w:space="0" w:color="auto"/>
            <w:right w:val="none" w:sz="0" w:space="0" w:color="auto"/>
          </w:divBdr>
        </w:div>
        <w:div w:id="369692243">
          <w:marLeft w:val="0"/>
          <w:marRight w:val="0"/>
          <w:marTop w:val="0"/>
          <w:marBottom w:val="0"/>
          <w:divBdr>
            <w:top w:val="none" w:sz="0" w:space="0" w:color="auto"/>
            <w:left w:val="none" w:sz="0" w:space="0" w:color="auto"/>
            <w:bottom w:val="none" w:sz="0" w:space="0" w:color="auto"/>
            <w:right w:val="none" w:sz="0" w:space="0" w:color="auto"/>
          </w:divBdr>
        </w:div>
        <w:div w:id="576591297">
          <w:marLeft w:val="0"/>
          <w:marRight w:val="0"/>
          <w:marTop w:val="0"/>
          <w:marBottom w:val="0"/>
          <w:divBdr>
            <w:top w:val="none" w:sz="0" w:space="0" w:color="auto"/>
            <w:left w:val="none" w:sz="0" w:space="0" w:color="auto"/>
            <w:bottom w:val="none" w:sz="0" w:space="0" w:color="auto"/>
            <w:right w:val="none" w:sz="0" w:space="0" w:color="auto"/>
          </w:divBdr>
        </w:div>
        <w:div w:id="217859821">
          <w:marLeft w:val="0"/>
          <w:marRight w:val="0"/>
          <w:marTop w:val="0"/>
          <w:marBottom w:val="0"/>
          <w:divBdr>
            <w:top w:val="none" w:sz="0" w:space="0" w:color="auto"/>
            <w:left w:val="none" w:sz="0" w:space="0" w:color="auto"/>
            <w:bottom w:val="none" w:sz="0" w:space="0" w:color="auto"/>
            <w:right w:val="none" w:sz="0" w:space="0" w:color="auto"/>
          </w:divBdr>
        </w:div>
        <w:div w:id="81341355">
          <w:marLeft w:val="0"/>
          <w:marRight w:val="0"/>
          <w:marTop w:val="0"/>
          <w:marBottom w:val="0"/>
          <w:divBdr>
            <w:top w:val="none" w:sz="0" w:space="0" w:color="auto"/>
            <w:left w:val="none" w:sz="0" w:space="0" w:color="auto"/>
            <w:bottom w:val="none" w:sz="0" w:space="0" w:color="auto"/>
            <w:right w:val="none" w:sz="0" w:space="0" w:color="auto"/>
          </w:divBdr>
        </w:div>
        <w:div w:id="1694765612">
          <w:marLeft w:val="0"/>
          <w:marRight w:val="0"/>
          <w:marTop w:val="0"/>
          <w:marBottom w:val="0"/>
          <w:divBdr>
            <w:top w:val="none" w:sz="0" w:space="0" w:color="auto"/>
            <w:left w:val="none" w:sz="0" w:space="0" w:color="auto"/>
            <w:bottom w:val="none" w:sz="0" w:space="0" w:color="auto"/>
            <w:right w:val="none" w:sz="0" w:space="0" w:color="auto"/>
          </w:divBdr>
        </w:div>
        <w:div w:id="1017660408">
          <w:marLeft w:val="0"/>
          <w:marRight w:val="0"/>
          <w:marTop w:val="0"/>
          <w:marBottom w:val="0"/>
          <w:divBdr>
            <w:top w:val="none" w:sz="0" w:space="0" w:color="auto"/>
            <w:left w:val="none" w:sz="0" w:space="0" w:color="auto"/>
            <w:bottom w:val="none" w:sz="0" w:space="0" w:color="auto"/>
            <w:right w:val="none" w:sz="0" w:space="0" w:color="auto"/>
          </w:divBdr>
        </w:div>
        <w:div w:id="716665842">
          <w:marLeft w:val="0"/>
          <w:marRight w:val="0"/>
          <w:marTop w:val="0"/>
          <w:marBottom w:val="0"/>
          <w:divBdr>
            <w:top w:val="none" w:sz="0" w:space="0" w:color="auto"/>
            <w:left w:val="none" w:sz="0" w:space="0" w:color="auto"/>
            <w:bottom w:val="none" w:sz="0" w:space="0" w:color="auto"/>
            <w:right w:val="none" w:sz="0" w:space="0" w:color="auto"/>
          </w:divBdr>
        </w:div>
        <w:div w:id="631863338">
          <w:marLeft w:val="0"/>
          <w:marRight w:val="0"/>
          <w:marTop w:val="0"/>
          <w:marBottom w:val="0"/>
          <w:divBdr>
            <w:top w:val="none" w:sz="0" w:space="0" w:color="auto"/>
            <w:left w:val="none" w:sz="0" w:space="0" w:color="auto"/>
            <w:bottom w:val="none" w:sz="0" w:space="0" w:color="auto"/>
            <w:right w:val="none" w:sz="0" w:space="0" w:color="auto"/>
          </w:divBdr>
        </w:div>
        <w:div w:id="54401786">
          <w:marLeft w:val="0"/>
          <w:marRight w:val="0"/>
          <w:marTop w:val="0"/>
          <w:marBottom w:val="0"/>
          <w:divBdr>
            <w:top w:val="none" w:sz="0" w:space="0" w:color="auto"/>
            <w:left w:val="none" w:sz="0" w:space="0" w:color="auto"/>
            <w:bottom w:val="none" w:sz="0" w:space="0" w:color="auto"/>
            <w:right w:val="none" w:sz="0" w:space="0" w:color="auto"/>
          </w:divBdr>
        </w:div>
        <w:div w:id="1851095664">
          <w:marLeft w:val="0"/>
          <w:marRight w:val="0"/>
          <w:marTop w:val="0"/>
          <w:marBottom w:val="0"/>
          <w:divBdr>
            <w:top w:val="none" w:sz="0" w:space="0" w:color="auto"/>
            <w:left w:val="none" w:sz="0" w:space="0" w:color="auto"/>
            <w:bottom w:val="none" w:sz="0" w:space="0" w:color="auto"/>
            <w:right w:val="none" w:sz="0" w:space="0" w:color="auto"/>
          </w:divBdr>
        </w:div>
        <w:div w:id="1199781268">
          <w:marLeft w:val="0"/>
          <w:marRight w:val="0"/>
          <w:marTop w:val="0"/>
          <w:marBottom w:val="0"/>
          <w:divBdr>
            <w:top w:val="none" w:sz="0" w:space="0" w:color="auto"/>
            <w:left w:val="none" w:sz="0" w:space="0" w:color="auto"/>
            <w:bottom w:val="none" w:sz="0" w:space="0" w:color="auto"/>
            <w:right w:val="none" w:sz="0" w:space="0" w:color="auto"/>
          </w:divBdr>
        </w:div>
        <w:div w:id="15231789">
          <w:marLeft w:val="0"/>
          <w:marRight w:val="0"/>
          <w:marTop w:val="0"/>
          <w:marBottom w:val="0"/>
          <w:divBdr>
            <w:top w:val="none" w:sz="0" w:space="0" w:color="auto"/>
            <w:left w:val="none" w:sz="0" w:space="0" w:color="auto"/>
            <w:bottom w:val="none" w:sz="0" w:space="0" w:color="auto"/>
            <w:right w:val="none" w:sz="0" w:space="0" w:color="auto"/>
          </w:divBdr>
        </w:div>
        <w:div w:id="1396853236">
          <w:marLeft w:val="0"/>
          <w:marRight w:val="0"/>
          <w:marTop w:val="0"/>
          <w:marBottom w:val="0"/>
          <w:divBdr>
            <w:top w:val="none" w:sz="0" w:space="0" w:color="auto"/>
            <w:left w:val="none" w:sz="0" w:space="0" w:color="auto"/>
            <w:bottom w:val="none" w:sz="0" w:space="0" w:color="auto"/>
            <w:right w:val="none" w:sz="0" w:space="0" w:color="auto"/>
          </w:divBdr>
        </w:div>
        <w:div w:id="1121148076">
          <w:marLeft w:val="0"/>
          <w:marRight w:val="0"/>
          <w:marTop w:val="0"/>
          <w:marBottom w:val="0"/>
          <w:divBdr>
            <w:top w:val="none" w:sz="0" w:space="0" w:color="auto"/>
            <w:left w:val="none" w:sz="0" w:space="0" w:color="auto"/>
            <w:bottom w:val="none" w:sz="0" w:space="0" w:color="auto"/>
            <w:right w:val="none" w:sz="0" w:space="0" w:color="auto"/>
          </w:divBdr>
        </w:div>
        <w:div w:id="1670404969">
          <w:marLeft w:val="0"/>
          <w:marRight w:val="0"/>
          <w:marTop w:val="0"/>
          <w:marBottom w:val="0"/>
          <w:divBdr>
            <w:top w:val="none" w:sz="0" w:space="0" w:color="auto"/>
            <w:left w:val="none" w:sz="0" w:space="0" w:color="auto"/>
            <w:bottom w:val="none" w:sz="0" w:space="0" w:color="auto"/>
            <w:right w:val="none" w:sz="0" w:space="0" w:color="auto"/>
          </w:divBdr>
        </w:div>
        <w:div w:id="1691105081">
          <w:marLeft w:val="0"/>
          <w:marRight w:val="0"/>
          <w:marTop w:val="0"/>
          <w:marBottom w:val="0"/>
          <w:divBdr>
            <w:top w:val="none" w:sz="0" w:space="0" w:color="auto"/>
            <w:left w:val="none" w:sz="0" w:space="0" w:color="auto"/>
            <w:bottom w:val="none" w:sz="0" w:space="0" w:color="auto"/>
            <w:right w:val="none" w:sz="0" w:space="0" w:color="auto"/>
          </w:divBdr>
        </w:div>
        <w:div w:id="203292715">
          <w:marLeft w:val="0"/>
          <w:marRight w:val="0"/>
          <w:marTop w:val="0"/>
          <w:marBottom w:val="0"/>
          <w:divBdr>
            <w:top w:val="none" w:sz="0" w:space="0" w:color="auto"/>
            <w:left w:val="none" w:sz="0" w:space="0" w:color="auto"/>
            <w:bottom w:val="none" w:sz="0" w:space="0" w:color="auto"/>
            <w:right w:val="none" w:sz="0" w:space="0" w:color="auto"/>
          </w:divBdr>
        </w:div>
        <w:div w:id="1997955219">
          <w:marLeft w:val="0"/>
          <w:marRight w:val="0"/>
          <w:marTop w:val="0"/>
          <w:marBottom w:val="0"/>
          <w:divBdr>
            <w:top w:val="none" w:sz="0" w:space="0" w:color="auto"/>
            <w:left w:val="none" w:sz="0" w:space="0" w:color="auto"/>
            <w:bottom w:val="none" w:sz="0" w:space="0" w:color="auto"/>
            <w:right w:val="none" w:sz="0" w:space="0" w:color="auto"/>
          </w:divBdr>
        </w:div>
        <w:div w:id="378750977">
          <w:marLeft w:val="0"/>
          <w:marRight w:val="0"/>
          <w:marTop w:val="0"/>
          <w:marBottom w:val="0"/>
          <w:divBdr>
            <w:top w:val="none" w:sz="0" w:space="0" w:color="auto"/>
            <w:left w:val="none" w:sz="0" w:space="0" w:color="auto"/>
            <w:bottom w:val="none" w:sz="0" w:space="0" w:color="auto"/>
            <w:right w:val="none" w:sz="0" w:space="0" w:color="auto"/>
          </w:divBdr>
        </w:div>
        <w:div w:id="1595748371">
          <w:marLeft w:val="0"/>
          <w:marRight w:val="0"/>
          <w:marTop w:val="0"/>
          <w:marBottom w:val="0"/>
          <w:divBdr>
            <w:top w:val="none" w:sz="0" w:space="0" w:color="auto"/>
            <w:left w:val="none" w:sz="0" w:space="0" w:color="auto"/>
            <w:bottom w:val="none" w:sz="0" w:space="0" w:color="auto"/>
            <w:right w:val="none" w:sz="0" w:space="0" w:color="auto"/>
          </w:divBdr>
        </w:div>
        <w:div w:id="1500583979">
          <w:marLeft w:val="0"/>
          <w:marRight w:val="0"/>
          <w:marTop w:val="0"/>
          <w:marBottom w:val="0"/>
          <w:divBdr>
            <w:top w:val="none" w:sz="0" w:space="0" w:color="auto"/>
            <w:left w:val="none" w:sz="0" w:space="0" w:color="auto"/>
            <w:bottom w:val="none" w:sz="0" w:space="0" w:color="auto"/>
            <w:right w:val="none" w:sz="0" w:space="0" w:color="auto"/>
          </w:divBdr>
        </w:div>
        <w:div w:id="958294399">
          <w:marLeft w:val="0"/>
          <w:marRight w:val="0"/>
          <w:marTop w:val="0"/>
          <w:marBottom w:val="0"/>
          <w:divBdr>
            <w:top w:val="none" w:sz="0" w:space="0" w:color="auto"/>
            <w:left w:val="none" w:sz="0" w:space="0" w:color="auto"/>
            <w:bottom w:val="none" w:sz="0" w:space="0" w:color="auto"/>
            <w:right w:val="none" w:sz="0" w:space="0" w:color="auto"/>
          </w:divBdr>
        </w:div>
        <w:div w:id="1637487001">
          <w:marLeft w:val="0"/>
          <w:marRight w:val="0"/>
          <w:marTop w:val="0"/>
          <w:marBottom w:val="0"/>
          <w:divBdr>
            <w:top w:val="none" w:sz="0" w:space="0" w:color="auto"/>
            <w:left w:val="none" w:sz="0" w:space="0" w:color="auto"/>
            <w:bottom w:val="none" w:sz="0" w:space="0" w:color="auto"/>
            <w:right w:val="none" w:sz="0" w:space="0" w:color="auto"/>
          </w:divBdr>
        </w:div>
        <w:div w:id="961306488">
          <w:marLeft w:val="0"/>
          <w:marRight w:val="0"/>
          <w:marTop w:val="0"/>
          <w:marBottom w:val="0"/>
          <w:divBdr>
            <w:top w:val="none" w:sz="0" w:space="0" w:color="auto"/>
            <w:left w:val="none" w:sz="0" w:space="0" w:color="auto"/>
            <w:bottom w:val="none" w:sz="0" w:space="0" w:color="auto"/>
            <w:right w:val="none" w:sz="0" w:space="0" w:color="auto"/>
          </w:divBdr>
        </w:div>
        <w:div w:id="371227654">
          <w:marLeft w:val="0"/>
          <w:marRight w:val="0"/>
          <w:marTop w:val="0"/>
          <w:marBottom w:val="0"/>
          <w:divBdr>
            <w:top w:val="none" w:sz="0" w:space="0" w:color="auto"/>
            <w:left w:val="none" w:sz="0" w:space="0" w:color="auto"/>
            <w:bottom w:val="none" w:sz="0" w:space="0" w:color="auto"/>
            <w:right w:val="none" w:sz="0" w:space="0" w:color="auto"/>
          </w:divBdr>
        </w:div>
        <w:div w:id="662242829">
          <w:marLeft w:val="0"/>
          <w:marRight w:val="0"/>
          <w:marTop w:val="0"/>
          <w:marBottom w:val="0"/>
          <w:divBdr>
            <w:top w:val="none" w:sz="0" w:space="0" w:color="auto"/>
            <w:left w:val="none" w:sz="0" w:space="0" w:color="auto"/>
            <w:bottom w:val="none" w:sz="0" w:space="0" w:color="auto"/>
            <w:right w:val="none" w:sz="0" w:space="0" w:color="auto"/>
          </w:divBdr>
        </w:div>
        <w:div w:id="858005238">
          <w:marLeft w:val="0"/>
          <w:marRight w:val="0"/>
          <w:marTop w:val="0"/>
          <w:marBottom w:val="0"/>
          <w:divBdr>
            <w:top w:val="none" w:sz="0" w:space="0" w:color="auto"/>
            <w:left w:val="none" w:sz="0" w:space="0" w:color="auto"/>
            <w:bottom w:val="none" w:sz="0" w:space="0" w:color="auto"/>
            <w:right w:val="none" w:sz="0" w:space="0" w:color="auto"/>
          </w:divBdr>
        </w:div>
        <w:div w:id="1497308242">
          <w:marLeft w:val="0"/>
          <w:marRight w:val="0"/>
          <w:marTop w:val="0"/>
          <w:marBottom w:val="0"/>
          <w:divBdr>
            <w:top w:val="none" w:sz="0" w:space="0" w:color="auto"/>
            <w:left w:val="none" w:sz="0" w:space="0" w:color="auto"/>
            <w:bottom w:val="none" w:sz="0" w:space="0" w:color="auto"/>
            <w:right w:val="none" w:sz="0" w:space="0" w:color="auto"/>
          </w:divBdr>
        </w:div>
        <w:div w:id="143544467">
          <w:marLeft w:val="0"/>
          <w:marRight w:val="0"/>
          <w:marTop w:val="0"/>
          <w:marBottom w:val="0"/>
          <w:divBdr>
            <w:top w:val="none" w:sz="0" w:space="0" w:color="auto"/>
            <w:left w:val="none" w:sz="0" w:space="0" w:color="auto"/>
            <w:bottom w:val="none" w:sz="0" w:space="0" w:color="auto"/>
            <w:right w:val="none" w:sz="0" w:space="0" w:color="auto"/>
          </w:divBdr>
        </w:div>
        <w:div w:id="1204749253">
          <w:marLeft w:val="0"/>
          <w:marRight w:val="0"/>
          <w:marTop w:val="0"/>
          <w:marBottom w:val="0"/>
          <w:divBdr>
            <w:top w:val="none" w:sz="0" w:space="0" w:color="auto"/>
            <w:left w:val="none" w:sz="0" w:space="0" w:color="auto"/>
            <w:bottom w:val="none" w:sz="0" w:space="0" w:color="auto"/>
            <w:right w:val="none" w:sz="0" w:space="0" w:color="auto"/>
          </w:divBdr>
        </w:div>
        <w:div w:id="687483672">
          <w:marLeft w:val="0"/>
          <w:marRight w:val="0"/>
          <w:marTop w:val="0"/>
          <w:marBottom w:val="0"/>
          <w:divBdr>
            <w:top w:val="none" w:sz="0" w:space="0" w:color="auto"/>
            <w:left w:val="none" w:sz="0" w:space="0" w:color="auto"/>
            <w:bottom w:val="none" w:sz="0" w:space="0" w:color="auto"/>
            <w:right w:val="none" w:sz="0" w:space="0" w:color="auto"/>
          </w:divBdr>
        </w:div>
        <w:div w:id="1223521015">
          <w:marLeft w:val="0"/>
          <w:marRight w:val="0"/>
          <w:marTop w:val="0"/>
          <w:marBottom w:val="0"/>
          <w:divBdr>
            <w:top w:val="none" w:sz="0" w:space="0" w:color="auto"/>
            <w:left w:val="none" w:sz="0" w:space="0" w:color="auto"/>
            <w:bottom w:val="none" w:sz="0" w:space="0" w:color="auto"/>
            <w:right w:val="none" w:sz="0" w:space="0" w:color="auto"/>
          </w:divBdr>
        </w:div>
        <w:div w:id="645858757">
          <w:marLeft w:val="0"/>
          <w:marRight w:val="0"/>
          <w:marTop w:val="0"/>
          <w:marBottom w:val="0"/>
          <w:divBdr>
            <w:top w:val="none" w:sz="0" w:space="0" w:color="auto"/>
            <w:left w:val="none" w:sz="0" w:space="0" w:color="auto"/>
            <w:bottom w:val="none" w:sz="0" w:space="0" w:color="auto"/>
            <w:right w:val="none" w:sz="0" w:space="0" w:color="auto"/>
          </w:divBdr>
        </w:div>
        <w:div w:id="1530022120">
          <w:marLeft w:val="0"/>
          <w:marRight w:val="0"/>
          <w:marTop w:val="0"/>
          <w:marBottom w:val="0"/>
          <w:divBdr>
            <w:top w:val="none" w:sz="0" w:space="0" w:color="auto"/>
            <w:left w:val="none" w:sz="0" w:space="0" w:color="auto"/>
            <w:bottom w:val="none" w:sz="0" w:space="0" w:color="auto"/>
            <w:right w:val="none" w:sz="0" w:space="0" w:color="auto"/>
          </w:divBdr>
        </w:div>
        <w:div w:id="431979695">
          <w:marLeft w:val="0"/>
          <w:marRight w:val="0"/>
          <w:marTop w:val="0"/>
          <w:marBottom w:val="0"/>
          <w:divBdr>
            <w:top w:val="none" w:sz="0" w:space="0" w:color="auto"/>
            <w:left w:val="none" w:sz="0" w:space="0" w:color="auto"/>
            <w:bottom w:val="none" w:sz="0" w:space="0" w:color="auto"/>
            <w:right w:val="none" w:sz="0" w:space="0" w:color="auto"/>
          </w:divBdr>
        </w:div>
        <w:div w:id="1692027137">
          <w:marLeft w:val="0"/>
          <w:marRight w:val="0"/>
          <w:marTop w:val="0"/>
          <w:marBottom w:val="0"/>
          <w:divBdr>
            <w:top w:val="none" w:sz="0" w:space="0" w:color="auto"/>
            <w:left w:val="none" w:sz="0" w:space="0" w:color="auto"/>
            <w:bottom w:val="none" w:sz="0" w:space="0" w:color="auto"/>
            <w:right w:val="none" w:sz="0" w:space="0" w:color="auto"/>
          </w:divBdr>
        </w:div>
        <w:div w:id="929000080">
          <w:marLeft w:val="0"/>
          <w:marRight w:val="0"/>
          <w:marTop w:val="0"/>
          <w:marBottom w:val="0"/>
          <w:divBdr>
            <w:top w:val="none" w:sz="0" w:space="0" w:color="auto"/>
            <w:left w:val="none" w:sz="0" w:space="0" w:color="auto"/>
            <w:bottom w:val="none" w:sz="0" w:space="0" w:color="auto"/>
            <w:right w:val="none" w:sz="0" w:space="0" w:color="auto"/>
          </w:divBdr>
        </w:div>
        <w:div w:id="1128082191">
          <w:marLeft w:val="0"/>
          <w:marRight w:val="0"/>
          <w:marTop w:val="0"/>
          <w:marBottom w:val="0"/>
          <w:divBdr>
            <w:top w:val="none" w:sz="0" w:space="0" w:color="auto"/>
            <w:left w:val="none" w:sz="0" w:space="0" w:color="auto"/>
            <w:bottom w:val="none" w:sz="0" w:space="0" w:color="auto"/>
            <w:right w:val="none" w:sz="0" w:space="0" w:color="auto"/>
          </w:divBdr>
        </w:div>
        <w:div w:id="1649282174">
          <w:marLeft w:val="0"/>
          <w:marRight w:val="0"/>
          <w:marTop w:val="0"/>
          <w:marBottom w:val="0"/>
          <w:divBdr>
            <w:top w:val="none" w:sz="0" w:space="0" w:color="auto"/>
            <w:left w:val="none" w:sz="0" w:space="0" w:color="auto"/>
            <w:bottom w:val="none" w:sz="0" w:space="0" w:color="auto"/>
            <w:right w:val="none" w:sz="0" w:space="0" w:color="auto"/>
          </w:divBdr>
        </w:div>
        <w:div w:id="1128939098">
          <w:marLeft w:val="0"/>
          <w:marRight w:val="0"/>
          <w:marTop w:val="0"/>
          <w:marBottom w:val="0"/>
          <w:divBdr>
            <w:top w:val="none" w:sz="0" w:space="0" w:color="auto"/>
            <w:left w:val="none" w:sz="0" w:space="0" w:color="auto"/>
            <w:bottom w:val="none" w:sz="0" w:space="0" w:color="auto"/>
            <w:right w:val="none" w:sz="0" w:space="0" w:color="auto"/>
          </w:divBdr>
        </w:div>
        <w:div w:id="496925925">
          <w:marLeft w:val="0"/>
          <w:marRight w:val="0"/>
          <w:marTop w:val="0"/>
          <w:marBottom w:val="0"/>
          <w:divBdr>
            <w:top w:val="none" w:sz="0" w:space="0" w:color="auto"/>
            <w:left w:val="none" w:sz="0" w:space="0" w:color="auto"/>
            <w:bottom w:val="none" w:sz="0" w:space="0" w:color="auto"/>
            <w:right w:val="none" w:sz="0" w:space="0" w:color="auto"/>
          </w:divBdr>
        </w:div>
        <w:div w:id="346685858">
          <w:marLeft w:val="0"/>
          <w:marRight w:val="0"/>
          <w:marTop w:val="0"/>
          <w:marBottom w:val="0"/>
          <w:divBdr>
            <w:top w:val="none" w:sz="0" w:space="0" w:color="auto"/>
            <w:left w:val="none" w:sz="0" w:space="0" w:color="auto"/>
            <w:bottom w:val="none" w:sz="0" w:space="0" w:color="auto"/>
            <w:right w:val="none" w:sz="0" w:space="0" w:color="auto"/>
          </w:divBdr>
        </w:div>
        <w:div w:id="610817343">
          <w:marLeft w:val="0"/>
          <w:marRight w:val="0"/>
          <w:marTop w:val="0"/>
          <w:marBottom w:val="0"/>
          <w:divBdr>
            <w:top w:val="none" w:sz="0" w:space="0" w:color="auto"/>
            <w:left w:val="none" w:sz="0" w:space="0" w:color="auto"/>
            <w:bottom w:val="none" w:sz="0" w:space="0" w:color="auto"/>
            <w:right w:val="none" w:sz="0" w:space="0" w:color="auto"/>
          </w:divBdr>
        </w:div>
        <w:div w:id="1779787098">
          <w:marLeft w:val="0"/>
          <w:marRight w:val="0"/>
          <w:marTop w:val="0"/>
          <w:marBottom w:val="0"/>
          <w:divBdr>
            <w:top w:val="none" w:sz="0" w:space="0" w:color="auto"/>
            <w:left w:val="none" w:sz="0" w:space="0" w:color="auto"/>
            <w:bottom w:val="none" w:sz="0" w:space="0" w:color="auto"/>
            <w:right w:val="none" w:sz="0" w:space="0" w:color="auto"/>
          </w:divBdr>
        </w:div>
        <w:div w:id="1505435098">
          <w:marLeft w:val="0"/>
          <w:marRight w:val="0"/>
          <w:marTop w:val="0"/>
          <w:marBottom w:val="0"/>
          <w:divBdr>
            <w:top w:val="none" w:sz="0" w:space="0" w:color="auto"/>
            <w:left w:val="none" w:sz="0" w:space="0" w:color="auto"/>
            <w:bottom w:val="none" w:sz="0" w:space="0" w:color="auto"/>
            <w:right w:val="none" w:sz="0" w:space="0" w:color="auto"/>
          </w:divBdr>
        </w:div>
        <w:div w:id="970134245">
          <w:marLeft w:val="0"/>
          <w:marRight w:val="0"/>
          <w:marTop w:val="0"/>
          <w:marBottom w:val="0"/>
          <w:divBdr>
            <w:top w:val="none" w:sz="0" w:space="0" w:color="auto"/>
            <w:left w:val="none" w:sz="0" w:space="0" w:color="auto"/>
            <w:bottom w:val="none" w:sz="0" w:space="0" w:color="auto"/>
            <w:right w:val="none" w:sz="0" w:space="0" w:color="auto"/>
          </w:divBdr>
        </w:div>
        <w:div w:id="1560896678">
          <w:marLeft w:val="0"/>
          <w:marRight w:val="0"/>
          <w:marTop w:val="0"/>
          <w:marBottom w:val="0"/>
          <w:divBdr>
            <w:top w:val="none" w:sz="0" w:space="0" w:color="auto"/>
            <w:left w:val="none" w:sz="0" w:space="0" w:color="auto"/>
            <w:bottom w:val="none" w:sz="0" w:space="0" w:color="auto"/>
            <w:right w:val="none" w:sz="0" w:space="0" w:color="auto"/>
          </w:divBdr>
        </w:div>
        <w:div w:id="1615282582">
          <w:marLeft w:val="0"/>
          <w:marRight w:val="0"/>
          <w:marTop w:val="0"/>
          <w:marBottom w:val="0"/>
          <w:divBdr>
            <w:top w:val="none" w:sz="0" w:space="0" w:color="auto"/>
            <w:left w:val="none" w:sz="0" w:space="0" w:color="auto"/>
            <w:bottom w:val="none" w:sz="0" w:space="0" w:color="auto"/>
            <w:right w:val="none" w:sz="0" w:space="0" w:color="auto"/>
          </w:divBdr>
        </w:div>
        <w:div w:id="550727203">
          <w:marLeft w:val="0"/>
          <w:marRight w:val="0"/>
          <w:marTop w:val="0"/>
          <w:marBottom w:val="0"/>
          <w:divBdr>
            <w:top w:val="none" w:sz="0" w:space="0" w:color="auto"/>
            <w:left w:val="none" w:sz="0" w:space="0" w:color="auto"/>
            <w:bottom w:val="none" w:sz="0" w:space="0" w:color="auto"/>
            <w:right w:val="none" w:sz="0" w:space="0" w:color="auto"/>
          </w:divBdr>
        </w:div>
        <w:div w:id="1375731745">
          <w:marLeft w:val="0"/>
          <w:marRight w:val="0"/>
          <w:marTop w:val="0"/>
          <w:marBottom w:val="0"/>
          <w:divBdr>
            <w:top w:val="none" w:sz="0" w:space="0" w:color="auto"/>
            <w:left w:val="none" w:sz="0" w:space="0" w:color="auto"/>
            <w:bottom w:val="none" w:sz="0" w:space="0" w:color="auto"/>
            <w:right w:val="none" w:sz="0" w:space="0" w:color="auto"/>
          </w:divBdr>
        </w:div>
        <w:div w:id="1803495784">
          <w:marLeft w:val="0"/>
          <w:marRight w:val="0"/>
          <w:marTop w:val="0"/>
          <w:marBottom w:val="0"/>
          <w:divBdr>
            <w:top w:val="none" w:sz="0" w:space="0" w:color="auto"/>
            <w:left w:val="none" w:sz="0" w:space="0" w:color="auto"/>
            <w:bottom w:val="none" w:sz="0" w:space="0" w:color="auto"/>
            <w:right w:val="none" w:sz="0" w:space="0" w:color="auto"/>
          </w:divBdr>
        </w:div>
        <w:div w:id="427506681">
          <w:marLeft w:val="0"/>
          <w:marRight w:val="0"/>
          <w:marTop w:val="0"/>
          <w:marBottom w:val="0"/>
          <w:divBdr>
            <w:top w:val="none" w:sz="0" w:space="0" w:color="auto"/>
            <w:left w:val="none" w:sz="0" w:space="0" w:color="auto"/>
            <w:bottom w:val="none" w:sz="0" w:space="0" w:color="auto"/>
            <w:right w:val="none" w:sz="0" w:space="0" w:color="auto"/>
          </w:divBdr>
        </w:div>
        <w:div w:id="1497721925">
          <w:marLeft w:val="0"/>
          <w:marRight w:val="0"/>
          <w:marTop w:val="0"/>
          <w:marBottom w:val="0"/>
          <w:divBdr>
            <w:top w:val="none" w:sz="0" w:space="0" w:color="auto"/>
            <w:left w:val="none" w:sz="0" w:space="0" w:color="auto"/>
            <w:bottom w:val="none" w:sz="0" w:space="0" w:color="auto"/>
            <w:right w:val="none" w:sz="0" w:space="0" w:color="auto"/>
          </w:divBdr>
        </w:div>
        <w:div w:id="1148129221">
          <w:marLeft w:val="0"/>
          <w:marRight w:val="0"/>
          <w:marTop w:val="0"/>
          <w:marBottom w:val="0"/>
          <w:divBdr>
            <w:top w:val="none" w:sz="0" w:space="0" w:color="auto"/>
            <w:left w:val="none" w:sz="0" w:space="0" w:color="auto"/>
            <w:bottom w:val="none" w:sz="0" w:space="0" w:color="auto"/>
            <w:right w:val="none" w:sz="0" w:space="0" w:color="auto"/>
          </w:divBdr>
        </w:div>
        <w:div w:id="254750685">
          <w:marLeft w:val="0"/>
          <w:marRight w:val="0"/>
          <w:marTop w:val="0"/>
          <w:marBottom w:val="0"/>
          <w:divBdr>
            <w:top w:val="none" w:sz="0" w:space="0" w:color="auto"/>
            <w:left w:val="none" w:sz="0" w:space="0" w:color="auto"/>
            <w:bottom w:val="none" w:sz="0" w:space="0" w:color="auto"/>
            <w:right w:val="none" w:sz="0" w:space="0" w:color="auto"/>
          </w:divBdr>
        </w:div>
        <w:div w:id="1261064524">
          <w:marLeft w:val="0"/>
          <w:marRight w:val="0"/>
          <w:marTop w:val="0"/>
          <w:marBottom w:val="0"/>
          <w:divBdr>
            <w:top w:val="none" w:sz="0" w:space="0" w:color="auto"/>
            <w:left w:val="none" w:sz="0" w:space="0" w:color="auto"/>
            <w:bottom w:val="none" w:sz="0" w:space="0" w:color="auto"/>
            <w:right w:val="none" w:sz="0" w:space="0" w:color="auto"/>
          </w:divBdr>
        </w:div>
        <w:div w:id="17435041">
          <w:marLeft w:val="0"/>
          <w:marRight w:val="0"/>
          <w:marTop w:val="0"/>
          <w:marBottom w:val="0"/>
          <w:divBdr>
            <w:top w:val="none" w:sz="0" w:space="0" w:color="auto"/>
            <w:left w:val="none" w:sz="0" w:space="0" w:color="auto"/>
            <w:bottom w:val="none" w:sz="0" w:space="0" w:color="auto"/>
            <w:right w:val="none" w:sz="0" w:space="0" w:color="auto"/>
          </w:divBdr>
        </w:div>
        <w:div w:id="1711226744">
          <w:marLeft w:val="0"/>
          <w:marRight w:val="0"/>
          <w:marTop w:val="0"/>
          <w:marBottom w:val="0"/>
          <w:divBdr>
            <w:top w:val="none" w:sz="0" w:space="0" w:color="auto"/>
            <w:left w:val="none" w:sz="0" w:space="0" w:color="auto"/>
            <w:bottom w:val="none" w:sz="0" w:space="0" w:color="auto"/>
            <w:right w:val="none" w:sz="0" w:space="0" w:color="auto"/>
          </w:divBdr>
        </w:div>
        <w:div w:id="1838962451">
          <w:marLeft w:val="0"/>
          <w:marRight w:val="0"/>
          <w:marTop w:val="0"/>
          <w:marBottom w:val="0"/>
          <w:divBdr>
            <w:top w:val="none" w:sz="0" w:space="0" w:color="auto"/>
            <w:left w:val="none" w:sz="0" w:space="0" w:color="auto"/>
            <w:bottom w:val="none" w:sz="0" w:space="0" w:color="auto"/>
            <w:right w:val="none" w:sz="0" w:space="0" w:color="auto"/>
          </w:divBdr>
        </w:div>
        <w:div w:id="440221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how-sentences-are-worked-out" TargetMode="External"/><Relationship Id="rId13" Type="http://schemas.openxmlformats.org/officeDocument/2006/relationships/hyperlink" Target="https://crimsoc.hull.ac.uk/2020/06/18/gender-differences-and-sentenc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x.doi.org/10.1080/07418828800089871" TargetMode="External"/><Relationship Id="rId12" Type="http://schemas.openxmlformats.org/officeDocument/2006/relationships/hyperlink" Target="https://www.gov.uk/government/statistics/women-and-the-criminal-justice-system-2021/women-and-the-criminal-justice-system-202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retrospectjournal.com/2022/04/03/double-deviant-the-criminalisation-of-and-attitudes-towards-female-sin-in-nineteenth-century-britain/" TargetMode="External"/><Relationship Id="rId1" Type="http://schemas.openxmlformats.org/officeDocument/2006/relationships/styles" Target="styles.xml"/><Relationship Id="rId6" Type="http://schemas.openxmlformats.org/officeDocument/2006/relationships/hyperlink" Target="https://www.researchgate.net/journal/Justice-Quarterly-1745-9109?_tp=eyJjb250ZXh0Ijp7ImZpcnN0UGFnZSI6InB1YmxpY2F0aW9uIiwicGFnZSI6InB1YmxpY2F0aW9uIn19" TargetMode="External"/><Relationship Id="rId11" Type="http://schemas.openxmlformats.org/officeDocument/2006/relationships/hyperlink" Target="https://ukc-word-edit.officeapps.live.com/we/www.bbc.co.uk/news/uk-england-gloucestershire-63625662" TargetMode="External"/><Relationship Id="rId5" Type="http://schemas.openxmlformats.org/officeDocument/2006/relationships/hyperlink" Target="http://www.cps.gov.uk/legal-guidance/stalking-or-harassment" TargetMode="External"/><Relationship Id="rId15" Type="http://schemas.openxmlformats.org/officeDocument/2006/relationships/hyperlink" Target="http://www.womensaid.org.uk/informationsupport/what-is-domestic-abuse/domestic-abuse-is-a-gendered-crime/" TargetMode="External"/><Relationship Id="rId10" Type="http://schemas.openxmlformats.org/officeDocument/2006/relationships/hyperlink" Target="https://doi.org/10.1177/2153368718767495" TargetMode="External"/><Relationship Id="rId4" Type="http://schemas.openxmlformats.org/officeDocument/2006/relationships/hyperlink" Target="https://www.semanticscholar.org/paper/The-influence-of-gender-and-sexist-attitudes-on-and-Bray/46e0881331f10bbb60a9a92c725070251ba78058" TargetMode="External"/><Relationship Id="rId9" Type="http://schemas.openxmlformats.org/officeDocument/2006/relationships/hyperlink" Target="http://www.cotswoldjournal.co.uk/news/23125864.william-warrington-admits-killing-parents/" TargetMode="External"/><Relationship Id="rId14" Type="http://schemas.openxmlformats.org/officeDocument/2006/relationships/hyperlink" Target="https://doi.org/10.1177/026455052110103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2797</Words>
  <Characters>15944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Halls</dc:creator>
  <cp:keywords/>
  <dc:description/>
  <cp:lastModifiedBy>Charlotte Halls</cp:lastModifiedBy>
  <cp:revision>2</cp:revision>
  <dcterms:created xsi:type="dcterms:W3CDTF">2023-11-09T09:42:00Z</dcterms:created>
  <dcterms:modified xsi:type="dcterms:W3CDTF">2023-11-09T10:03:00Z</dcterms:modified>
</cp:coreProperties>
</file>