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83E0" w14:textId="65410928" w:rsidR="000D2429" w:rsidRDefault="000D2429" w:rsidP="007F133D">
      <w:pPr>
        <w:jc w:val="center"/>
        <w:rPr>
          <w:rFonts w:ascii="Calibri" w:hAnsi="Calibri" w:cs="Calibri"/>
          <w:b/>
          <w:bCs/>
        </w:rPr>
      </w:pPr>
      <w:r>
        <w:rPr>
          <w:rFonts w:ascii="Calibri" w:hAnsi="Calibri" w:cs="Calibri"/>
          <w:b/>
          <w:bCs/>
        </w:rPr>
        <w:t xml:space="preserve">Examine the </w:t>
      </w:r>
      <w:r w:rsidR="007F133D">
        <w:rPr>
          <w:rFonts w:ascii="Calibri" w:hAnsi="Calibri" w:cs="Calibri"/>
          <w:b/>
          <w:bCs/>
        </w:rPr>
        <w:t>concept of dishonesty and the role it plays in relation to offences of theft in the UK.</w:t>
      </w:r>
    </w:p>
    <w:p w14:paraId="46C09810" w14:textId="77777777" w:rsidR="00AA1DF7" w:rsidRDefault="00AA1DF7" w:rsidP="00AA1DF7">
      <w:pPr>
        <w:rPr>
          <w:rFonts w:ascii="Calibri" w:hAnsi="Calibri" w:cs="Calibri"/>
          <w:b/>
          <w:bCs/>
        </w:rPr>
      </w:pPr>
    </w:p>
    <w:p w14:paraId="58F177CD" w14:textId="15656A3D" w:rsidR="00AA1DF7" w:rsidRDefault="00470BEF" w:rsidP="008C2F6E">
      <w:pPr>
        <w:pStyle w:val="NoSpacing"/>
        <w:spacing w:line="276" w:lineRule="auto"/>
        <w:rPr>
          <w:rFonts w:ascii="Calibri" w:hAnsi="Calibri" w:cs="Calibri"/>
        </w:rPr>
      </w:pPr>
      <w:r w:rsidRPr="008C2F6E">
        <w:rPr>
          <w:rFonts w:ascii="Calibri" w:hAnsi="Calibri" w:cs="Calibri"/>
        </w:rPr>
        <w:t>According to Noble Solicitors (2018), it is necessary to provide evidence of dishonest behaviour for someone to be judged guilty of theft. The Theft Act 196</w:t>
      </w:r>
      <w:r w:rsidR="007775F3" w:rsidRPr="008C2F6E">
        <w:rPr>
          <w:rFonts w:ascii="Calibri" w:hAnsi="Calibri" w:cs="Calibri"/>
        </w:rPr>
        <w:t xml:space="preserve">8 lists </w:t>
      </w:r>
      <w:r w:rsidR="00B01E1C" w:rsidRPr="008C2F6E">
        <w:rPr>
          <w:rFonts w:ascii="Calibri" w:hAnsi="Calibri" w:cs="Calibri"/>
        </w:rPr>
        <w:t xml:space="preserve">two </w:t>
      </w:r>
      <w:r w:rsidR="007775F3" w:rsidRPr="008C2F6E">
        <w:rPr>
          <w:rFonts w:ascii="Calibri" w:hAnsi="Calibri" w:cs="Calibri"/>
        </w:rPr>
        <w:t>situations in which someone is not considered dishonest</w:t>
      </w:r>
      <w:r w:rsidR="00752720" w:rsidRPr="008C2F6E">
        <w:rPr>
          <w:rFonts w:ascii="Calibri" w:hAnsi="Calibri" w:cs="Calibri"/>
        </w:rPr>
        <w:t>, regardless of the lack of an official definition of dishonesty</w:t>
      </w:r>
      <w:r w:rsidR="00B01E1C" w:rsidRPr="008C2F6E">
        <w:rPr>
          <w:rFonts w:ascii="Calibri" w:hAnsi="Calibri" w:cs="Calibri"/>
        </w:rPr>
        <w:t>. The first situation</w:t>
      </w:r>
      <w:r w:rsidR="004E175C" w:rsidRPr="008C2F6E">
        <w:rPr>
          <w:rFonts w:ascii="Calibri" w:hAnsi="Calibri" w:cs="Calibri"/>
        </w:rPr>
        <w:t xml:space="preserve"> is</w:t>
      </w:r>
      <w:r w:rsidR="00D501C0" w:rsidRPr="008C2F6E">
        <w:rPr>
          <w:rFonts w:ascii="Calibri" w:hAnsi="Calibri" w:cs="Calibri"/>
        </w:rPr>
        <w:t xml:space="preserve"> </w:t>
      </w:r>
      <w:r w:rsidR="00F17287" w:rsidRPr="008C2F6E">
        <w:rPr>
          <w:rFonts w:ascii="Calibri" w:hAnsi="Calibri" w:cs="Calibri"/>
        </w:rPr>
        <w:t xml:space="preserve">when someone appropriates property, they do it with the understanding </w:t>
      </w:r>
      <w:r w:rsidR="00CA1D8F" w:rsidRPr="008C2F6E">
        <w:rPr>
          <w:rFonts w:ascii="Calibri" w:hAnsi="Calibri" w:cs="Calibri"/>
        </w:rPr>
        <w:t>that they would have the other person’s consent if they were both aware of the circumstances and the appro</w:t>
      </w:r>
      <w:r w:rsidR="00F83671" w:rsidRPr="008C2F6E">
        <w:rPr>
          <w:rFonts w:ascii="Calibri" w:hAnsi="Calibri" w:cs="Calibri"/>
        </w:rPr>
        <w:t xml:space="preserve">priation; this occurs when someone assumes they have the legal authority </w:t>
      </w:r>
      <w:r w:rsidR="000144D1" w:rsidRPr="008C2F6E">
        <w:rPr>
          <w:rFonts w:ascii="Calibri" w:hAnsi="Calibri" w:cs="Calibri"/>
        </w:rPr>
        <w:t>to take property away from others</w:t>
      </w:r>
      <w:r w:rsidR="00B01E1C" w:rsidRPr="008C2F6E">
        <w:rPr>
          <w:rFonts w:ascii="Calibri" w:hAnsi="Calibri" w:cs="Calibri"/>
        </w:rPr>
        <w:t xml:space="preserve">. </w:t>
      </w:r>
      <w:r w:rsidR="004E175C" w:rsidRPr="008C2F6E">
        <w:rPr>
          <w:rFonts w:ascii="Calibri" w:hAnsi="Calibri" w:cs="Calibri"/>
        </w:rPr>
        <w:t>The second situation is the act of stealing property occurs when someone assumes they cannot find the rightful owner by using reasonable procedures</w:t>
      </w:r>
      <w:r w:rsidR="00CF5B33" w:rsidRPr="008C2F6E">
        <w:rPr>
          <w:rFonts w:ascii="Calibri" w:hAnsi="Calibri" w:cs="Calibri"/>
        </w:rPr>
        <w:t xml:space="preserve">. As a result, this assignment </w:t>
      </w:r>
      <w:r w:rsidR="009A35E4" w:rsidRPr="008C2F6E">
        <w:rPr>
          <w:rFonts w:ascii="Calibri" w:hAnsi="Calibri" w:cs="Calibri"/>
        </w:rPr>
        <w:t xml:space="preserve">examines the concept of dishonesty in relation to offences of </w:t>
      </w:r>
      <w:r w:rsidR="008B67C1" w:rsidRPr="008C2F6E">
        <w:rPr>
          <w:rFonts w:ascii="Calibri" w:hAnsi="Calibri" w:cs="Calibri"/>
        </w:rPr>
        <w:t xml:space="preserve">theft in the UK, including </w:t>
      </w:r>
      <w:r w:rsidR="001F2969" w:rsidRPr="008C2F6E">
        <w:rPr>
          <w:rFonts w:ascii="Calibri" w:hAnsi="Calibri" w:cs="Calibri"/>
        </w:rPr>
        <w:t xml:space="preserve">brief explanations on the common law test of dishonesty </w:t>
      </w:r>
      <w:r w:rsidR="00616BD7" w:rsidRPr="008C2F6E">
        <w:rPr>
          <w:rFonts w:ascii="Calibri" w:hAnsi="Calibri" w:cs="Calibri"/>
        </w:rPr>
        <w:t>as established in R v Ghosh (19</w:t>
      </w:r>
      <w:r w:rsidR="004A7FC2" w:rsidRPr="008C2F6E">
        <w:rPr>
          <w:rFonts w:ascii="Calibri" w:hAnsi="Calibri" w:cs="Calibri"/>
        </w:rPr>
        <w:t xml:space="preserve">82) and the subsequent clarification provided </w:t>
      </w:r>
      <w:r w:rsidR="008A16E8" w:rsidRPr="008C2F6E">
        <w:rPr>
          <w:rFonts w:ascii="Calibri" w:hAnsi="Calibri" w:cs="Calibri"/>
        </w:rPr>
        <w:t>by the Supreme Court in Ivey v Genting Casinos UK Ltd (2017).</w:t>
      </w:r>
      <w:r w:rsidR="00CF5B33" w:rsidRPr="008C2F6E">
        <w:rPr>
          <w:rFonts w:ascii="Calibri" w:hAnsi="Calibri" w:cs="Calibri"/>
        </w:rPr>
        <w:t xml:space="preserve"> </w:t>
      </w:r>
    </w:p>
    <w:p w14:paraId="5D47BDB5" w14:textId="77777777" w:rsidR="00952C77" w:rsidRDefault="00952C77" w:rsidP="008C2F6E">
      <w:pPr>
        <w:pStyle w:val="NoSpacing"/>
        <w:spacing w:line="276" w:lineRule="auto"/>
        <w:rPr>
          <w:rFonts w:ascii="Calibri" w:hAnsi="Calibri" w:cs="Calibri"/>
        </w:rPr>
      </w:pPr>
    </w:p>
    <w:p w14:paraId="20BA5907" w14:textId="65FFB0F8" w:rsidR="00952C77" w:rsidRDefault="00952C77" w:rsidP="008C2F6E">
      <w:pPr>
        <w:pStyle w:val="NoSpacing"/>
        <w:spacing w:line="276" w:lineRule="auto"/>
        <w:rPr>
          <w:rFonts w:ascii="Calibri" w:hAnsi="Calibri" w:cs="Calibri"/>
        </w:rPr>
      </w:pPr>
      <w:r>
        <w:rPr>
          <w:rFonts w:ascii="Calibri" w:hAnsi="Calibri" w:cs="Calibri"/>
        </w:rPr>
        <w:t xml:space="preserve">When it comes to </w:t>
      </w:r>
      <w:r w:rsidR="00E30772">
        <w:rPr>
          <w:rFonts w:ascii="Calibri" w:hAnsi="Calibri" w:cs="Calibri"/>
        </w:rPr>
        <w:t>theft charges in the UK, dishonesty is an essential component</w:t>
      </w:r>
      <w:r w:rsidR="006A1B7C">
        <w:rPr>
          <w:rFonts w:ascii="Calibri" w:hAnsi="Calibri" w:cs="Calibri"/>
        </w:rPr>
        <w:t>. According to LexisNexis (2024), the Theft Act 1968</w:t>
      </w:r>
      <w:r w:rsidR="00DD7EF3">
        <w:rPr>
          <w:rFonts w:ascii="Calibri" w:hAnsi="Calibri" w:cs="Calibri"/>
        </w:rPr>
        <w:t xml:space="preserve"> determines whether a person’s action</w:t>
      </w:r>
      <w:r w:rsidR="007A4A50">
        <w:rPr>
          <w:rFonts w:ascii="Calibri" w:hAnsi="Calibri" w:cs="Calibri"/>
        </w:rPr>
        <w:t>s qualify as dishonest</w:t>
      </w:r>
      <w:r w:rsidR="000E028C">
        <w:rPr>
          <w:rFonts w:ascii="Calibri" w:hAnsi="Calibri" w:cs="Calibri"/>
        </w:rPr>
        <w:t xml:space="preserve">y is crucial to </w:t>
      </w:r>
      <w:r w:rsidR="00434675">
        <w:rPr>
          <w:rFonts w:ascii="Calibri" w:hAnsi="Calibri" w:cs="Calibri"/>
        </w:rPr>
        <w:t>determining their criminal liability</w:t>
      </w:r>
      <w:r w:rsidR="00B71DBB">
        <w:rPr>
          <w:rFonts w:ascii="Calibri" w:hAnsi="Calibri" w:cs="Calibri"/>
        </w:rPr>
        <w:t xml:space="preserve"> for stealing. The common law test used to determine dishonesty</w:t>
      </w:r>
      <w:r w:rsidR="000F630E">
        <w:rPr>
          <w:rFonts w:ascii="Calibri" w:hAnsi="Calibri" w:cs="Calibri"/>
        </w:rPr>
        <w:t xml:space="preserve"> in theft cases has experienced substantial alterations because of the evolution of the idea of dishonesty through judicial interpretation over time.</w:t>
      </w:r>
      <w:r w:rsidR="00680DD6">
        <w:rPr>
          <w:rFonts w:ascii="Calibri" w:hAnsi="Calibri" w:cs="Calibri"/>
        </w:rPr>
        <w:t xml:space="preserve"> According to Legislation.gov.uk (2011),</w:t>
      </w:r>
      <w:r w:rsidR="000F630E">
        <w:rPr>
          <w:rFonts w:ascii="Calibri" w:hAnsi="Calibri" w:cs="Calibri"/>
        </w:rPr>
        <w:t xml:space="preserve"> </w:t>
      </w:r>
      <w:r w:rsidR="00AC31ED">
        <w:rPr>
          <w:rFonts w:ascii="Calibri" w:hAnsi="Calibri" w:cs="Calibri"/>
        </w:rPr>
        <w:t xml:space="preserve">Section 1 of the Theft Act 1968 defines theft as the deliberate taking of another person’s property with the goal of </w:t>
      </w:r>
      <w:r w:rsidR="000F059B">
        <w:rPr>
          <w:rFonts w:ascii="Calibri" w:hAnsi="Calibri" w:cs="Calibri"/>
        </w:rPr>
        <w:t xml:space="preserve">permanently removing the rightful owner of it. The existence or lack of dishonesty is a crucial </w:t>
      </w:r>
      <w:r w:rsidR="00097914">
        <w:rPr>
          <w:rFonts w:ascii="Calibri" w:hAnsi="Calibri" w:cs="Calibri"/>
        </w:rPr>
        <w:t xml:space="preserve">component of theft, and it establishes whether the defendant’s actions qualify as theft. </w:t>
      </w:r>
      <w:r w:rsidR="009A23F7">
        <w:rPr>
          <w:rFonts w:ascii="Calibri" w:hAnsi="Calibri" w:cs="Calibri"/>
        </w:rPr>
        <w:t xml:space="preserve">The definition of dishonesty </w:t>
      </w:r>
      <w:r w:rsidR="0004595A">
        <w:rPr>
          <w:rFonts w:ascii="Calibri" w:hAnsi="Calibri" w:cs="Calibri"/>
        </w:rPr>
        <w:t>is clarified in Section 2 of the Theft Act 1968</w:t>
      </w:r>
      <w:r w:rsidR="00FE5226">
        <w:rPr>
          <w:rFonts w:ascii="Calibri" w:hAnsi="Calibri" w:cs="Calibri"/>
        </w:rPr>
        <w:t>. It states that an individual’s misuse of property is considered dishonest if their actions fall short of the typical expectations of a reasonable and honest person.</w:t>
      </w:r>
      <w:r w:rsidR="00821083">
        <w:rPr>
          <w:rFonts w:ascii="Calibri" w:hAnsi="Calibri" w:cs="Calibri"/>
        </w:rPr>
        <w:t xml:space="preserve"> Under section 7 of the Theft Act 1968</w:t>
      </w:r>
      <w:r w:rsidR="002C705B">
        <w:rPr>
          <w:rFonts w:ascii="Calibri" w:hAnsi="Calibri" w:cs="Calibri"/>
        </w:rPr>
        <w:t>, a theft offence carries a maximum prison sentence of seven years</w:t>
      </w:r>
      <w:r w:rsidR="00A36897">
        <w:rPr>
          <w:rFonts w:ascii="Calibri" w:hAnsi="Calibri" w:cs="Calibri"/>
        </w:rPr>
        <w:t xml:space="preserve"> </w:t>
      </w:r>
      <w:r w:rsidR="00A36897" w:rsidRPr="00A36897">
        <w:rPr>
          <w:rFonts w:ascii="Calibri" w:hAnsi="Calibri" w:cs="Calibri"/>
          <w:i/>
          <w:iCs/>
        </w:rPr>
        <w:t>Laver. N. (2024)</w:t>
      </w:r>
      <w:r w:rsidR="00A36897">
        <w:rPr>
          <w:rFonts w:ascii="Calibri" w:hAnsi="Calibri" w:cs="Calibri"/>
        </w:rPr>
        <w:t>.</w:t>
      </w:r>
    </w:p>
    <w:p w14:paraId="6741AEBB" w14:textId="77777777" w:rsidR="00B02788" w:rsidRDefault="00B02788" w:rsidP="008C2F6E">
      <w:pPr>
        <w:pStyle w:val="NoSpacing"/>
        <w:spacing w:line="276" w:lineRule="auto"/>
        <w:rPr>
          <w:rFonts w:ascii="Calibri" w:hAnsi="Calibri" w:cs="Calibri"/>
        </w:rPr>
      </w:pPr>
    </w:p>
    <w:p w14:paraId="706F2D32" w14:textId="2985AA06" w:rsidR="00B02788" w:rsidRDefault="00B02788" w:rsidP="008C2F6E">
      <w:pPr>
        <w:pStyle w:val="NoSpacing"/>
        <w:spacing w:line="276" w:lineRule="auto"/>
        <w:rPr>
          <w:rFonts w:ascii="Calibri" w:hAnsi="Calibri" w:cs="Calibri"/>
        </w:rPr>
      </w:pPr>
      <w:r>
        <w:rPr>
          <w:rFonts w:ascii="Calibri" w:hAnsi="Calibri" w:cs="Calibri"/>
        </w:rPr>
        <w:t xml:space="preserve">According to </w:t>
      </w:r>
      <w:r w:rsidR="008170C8">
        <w:rPr>
          <w:rFonts w:ascii="Calibri" w:hAnsi="Calibri" w:cs="Calibri"/>
        </w:rPr>
        <w:t>UOLLB (2023), in certain legal situations, there are two different appr</w:t>
      </w:r>
      <w:r w:rsidR="00433C15">
        <w:rPr>
          <w:rFonts w:ascii="Calibri" w:hAnsi="Calibri" w:cs="Calibri"/>
        </w:rPr>
        <w:t>oaches for assessing someone’s mental state or the</w:t>
      </w:r>
      <w:r w:rsidR="00933DD7">
        <w:rPr>
          <w:rFonts w:ascii="Calibri" w:hAnsi="Calibri" w:cs="Calibri"/>
        </w:rPr>
        <w:t xml:space="preserve"> rationality of their actions, </w:t>
      </w:r>
      <w:r w:rsidR="000A75D7">
        <w:rPr>
          <w:rFonts w:ascii="Calibri" w:hAnsi="Calibri" w:cs="Calibri"/>
        </w:rPr>
        <w:t>the subjective test and the objective test.</w:t>
      </w:r>
      <w:r w:rsidR="000F7EB4">
        <w:rPr>
          <w:rFonts w:ascii="Calibri" w:hAnsi="Calibri" w:cs="Calibri"/>
        </w:rPr>
        <w:t xml:space="preserve"> </w:t>
      </w:r>
      <w:r w:rsidR="00307501">
        <w:rPr>
          <w:rFonts w:ascii="Calibri" w:hAnsi="Calibri" w:cs="Calibri"/>
        </w:rPr>
        <w:t xml:space="preserve">The subjective test analyses an individual’s intention, knowledge, belief, and state of mind during a certain action or incidence. Regardless of whether </w:t>
      </w:r>
      <w:r w:rsidR="0089676E">
        <w:rPr>
          <w:rFonts w:ascii="Calibri" w:hAnsi="Calibri" w:cs="Calibri"/>
        </w:rPr>
        <w:t>someone’s belief, intention, or knowledge</w:t>
      </w:r>
      <w:r w:rsidR="00256353">
        <w:rPr>
          <w:rFonts w:ascii="Calibri" w:hAnsi="Calibri" w:cs="Calibri"/>
        </w:rPr>
        <w:t xml:space="preserve"> is reasonable or rational in the eyes of objectivity, what matters </w:t>
      </w:r>
      <w:r w:rsidR="00B4436F">
        <w:rPr>
          <w:rFonts w:ascii="Calibri" w:hAnsi="Calibri" w:cs="Calibri"/>
        </w:rPr>
        <w:t xml:space="preserve">is what the person genuinely knew, believed, or </w:t>
      </w:r>
      <w:r w:rsidR="00FE1AB9">
        <w:rPr>
          <w:rFonts w:ascii="Calibri" w:hAnsi="Calibri" w:cs="Calibri"/>
        </w:rPr>
        <w:t>meant</w:t>
      </w:r>
      <w:r w:rsidR="00B4436F">
        <w:rPr>
          <w:rFonts w:ascii="Calibri" w:hAnsi="Calibri" w:cs="Calibri"/>
        </w:rPr>
        <w:t>.</w:t>
      </w:r>
      <w:r w:rsidR="002E674C">
        <w:rPr>
          <w:rFonts w:ascii="Calibri" w:hAnsi="Calibri" w:cs="Calibri"/>
        </w:rPr>
        <w:t xml:space="preserve"> </w:t>
      </w:r>
      <w:r w:rsidR="00C5679B">
        <w:rPr>
          <w:rFonts w:ascii="Calibri" w:hAnsi="Calibri" w:cs="Calibri"/>
        </w:rPr>
        <w:t xml:space="preserve">UOLLB (2023) stated that </w:t>
      </w:r>
      <w:r w:rsidR="00F0384A">
        <w:rPr>
          <w:rFonts w:ascii="Calibri" w:hAnsi="Calibri" w:cs="Calibri"/>
        </w:rPr>
        <w:t>when a word in a contract is unclear and has multiple meanings, the subjective test in con</w:t>
      </w:r>
      <w:r w:rsidR="00116EE1">
        <w:rPr>
          <w:rFonts w:ascii="Calibri" w:hAnsi="Calibri" w:cs="Calibri"/>
        </w:rPr>
        <w:t>tract law may be used to assess whether a party has an honest desire to be bound by it</w:t>
      </w:r>
      <w:r w:rsidR="00524419">
        <w:rPr>
          <w:rFonts w:ascii="Calibri" w:hAnsi="Calibri" w:cs="Calibri"/>
        </w:rPr>
        <w:t>. For example, two parties are drafting a contract</w:t>
      </w:r>
      <w:r w:rsidR="00F95EC8">
        <w:rPr>
          <w:rFonts w:ascii="Calibri" w:hAnsi="Calibri" w:cs="Calibri"/>
        </w:rPr>
        <w:t xml:space="preserve">, and due to the uncertainty in the wording, one party thinks </w:t>
      </w:r>
      <w:r w:rsidR="00685B41">
        <w:rPr>
          <w:rFonts w:ascii="Calibri" w:hAnsi="Calibri" w:cs="Calibri"/>
        </w:rPr>
        <w:t xml:space="preserve">a </w:t>
      </w:r>
      <w:r w:rsidR="007F5FC8">
        <w:rPr>
          <w:rFonts w:ascii="Calibri" w:hAnsi="Calibri" w:cs="Calibri"/>
        </w:rPr>
        <w:t>particular section</w:t>
      </w:r>
      <w:r w:rsidR="0066485B">
        <w:rPr>
          <w:rFonts w:ascii="Calibri" w:hAnsi="Calibri" w:cs="Calibri"/>
        </w:rPr>
        <w:t xml:space="preserve"> means one thing whole the other party thinks it means something different</w:t>
      </w:r>
      <w:r w:rsidR="00721F8F">
        <w:rPr>
          <w:rFonts w:ascii="Calibri" w:hAnsi="Calibri" w:cs="Calibri"/>
        </w:rPr>
        <w:t xml:space="preserve">. Whether the parties </w:t>
      </w:r>
      <w:r w:rsidR="007F5FC8">
        <w:rPr>
          <w:rFonts w:ascii="Calibri" w:hAnsi="Calibri" w:cs="Calibri"/>
        </w:rPr>
        <w:t>believed</w:t>
      </w:r>
      <w:r w:rsidR="00721F8F">
        <w:rPr>
          <w:rFonts w:ascii="Calibri" w:hAnsi="Calibri" w:cs="Calibri"/>
        </w:rPr>
        <w:t xml:space="preserve"> </w:t>
      </w:r>
      <w:r w:rsidR="000D196C">
        <w:rPr>
          <w:rFonts w:ascii="Calibri" w:hAnsi="Calibri" w:cs="Calibri"/>
        </w:rPr>
        <w:t xml:space="preserve">the term differently would be taken. Into </w:t>
      </w:r>
      <w:r w:rsidR="000D196C">
        <w:rPr>
          <w:rFonts w:ascii="Calibri" w:hAnsi="Calibri" w:cs="Calibri"/>
        </w:rPr>
        <w:lastRenderedPageBreak/>
        <w:t>account by the subjective test</w:t>
      </w:r>
      <w:r w:rsidR="00FE722A">
        <w:rPr>
          <w:rFonts w:ascii="Calibri" w:hAnsi="Calibri" w:cs="Calibri"/>
        </w:rPr>
        <w:t>. Even though his interpretation was not objectively reasona</w:t>
      </w:r>
      <w:r w:rsidR="00BE7C8B">
        <w:rPr>
          <w:rFonts w:ascii="Calibri" w:hAnsi="Calibri" w:cs="Calibri"/>
        </w:rPr>
        <w:t>ble</w:t>
      </w:r>
      <w:r w:rsidR="008659D3">
        <w:rPr>
          <w:rFonts w:ascii="Calibri" w:hAnsi="Calibri" w:cs="Calibri"/>
        </w:rPr>
        <w:t xml:space="preserve">, it might still influence the legality of the contract if one </w:t>
      </w:r>
      <w:r w:rsidR="00610F52">
        <w:rPr>
          <w:rFonts w:ascii="Calibri" w:hAnsi="Calibri" w:cs="Calibri"/>
        </w:rPr>
        <w:t>party really thought that it meant something different from the other part</w:t>
      </w:r>
      <w:r w:rsidR="00CB06AE">
        <w:rPr>
          <w:rFonts w:ascii="Calibri" w:hAnsi="Calibri" w:cs="Calibri"/>
        </w:rPr>
        <w:t>y’s understanding.</w:t>
      </w:r>
      <w:r w:rsidR="0010187C">
        <w:rPr>
          <w:rFonts w:ascii="Calibri" w:hAnsi="Calibri" w:cs="Calibri"/>
        </w:rPr>
        <w:t xml:space="preserve"> </w:t>
      </w:r>
      <w:r w:rsidR="00136DA8">
        <w:rPr>
          <w:rFonts w:ascii="Calibri" w:hAnsi="Calibri" w:cs="Calibri"/>
        </w:rPr>
        <w:t>Since the subject</w:t>
      </w:r>
      <w:r w:rsidR="00047D52">
        <w:rPr>
          <w:rFonts w:ascii="Calibri" w:hAnsi="Calibri" w:cs="Calibri"/>
        </w:rPr>
        <w:t>ive test is an evaluation from the subject’s point of view, it can be more forgiving and forgiving towards him</w:t>
      </w:r>
      <w:r w:rsidR="0078557B">
        <w:rPr>
          <w:rFonts w:ascii="Calibri" w:hAnsi="Calibri" w:cs="Calibri"/>
        </w:rPr>
        <w:t>, while other individuals might not have acted in the same way, he may have acted on a true but false be</w:t>
      </w:r>
      <w:r w:rsidR="00D16247">
        <w:rPr>
          <w:rFonts w:ascii="Calibri" w:hAnsi="Calibri" w:cs="Calibri"/>
        </w:rPr>
        <w:t>lief or emotion.</w:t>
      </w:r>
    </w:p>
    <w:p w14:paraId="172AA520" w14:textId="77777777" w:rsidR="00D16247" w:rsidRDefault="00D16247" w:rsidP="008C2F6E">
      <w:pPr>
        <w:pStyle w:val="NoSpacing"/>
        <w:spacing w:line="276" w:lineRule="auto"/>
        <w:rPr>
          <w:rFonts w:ascii="Calibri" w:hAnsi="Calibri" w:cs="Calibri"/>
        </w:rPr>
      </w:pPr>
    </w:p>
    <w:p w14:paraId="53655697" w14:textId="32AD5B7F" w:rsidR="00D16247" w:rsidRDefault="00D16247" w:rsidP="008C2F6E">
      <w:pPr>
        <w:pStyle w:val="NoSpacing"/>
        <w:spacing w:line="276" w:lineRule="auto"/>
        <w:rPr>
          <w:rFonts w:ascii="Calibri" w:hAnsi="Calibri" w:cs="Calibri"/>
        </w:rPr>
      </w:pPr>
      <w:r>
        <w:rPr>
          <w:rFonts w:ascii="Calibri" w:hAnsi="Calibri" w:cs="Calibri"/>
        </w:rPr>
        <w:t xml:space="preserve">On the other hand, according to UOLLB (2023), </w:t>
      </w:r>
      <w:r w:rsidR="009A6D3D">
        <w:rPr>
          <w:rFonts w:ascii="Calibri" w:hAnsi="Calibri" w:cs="Calibri"/>
        </w:rPr>
        <w:t>the objective test evaluated an individual’s actions by considering what a reasonable person in the same situation would have done, believed, or</w:t>
      </w:r>
      <w:r w:rsidR="0057612A">
        <w:rPr>
          <w:rFonts w:ascii="Calibri" w:hAnsi="Calibri" w:cs="Calibri"/>
        </w:rPr>
        <w:t xml:space="preserve"> known. It ignores the individual’s true beliefs and intention.</w:t>
      </w:r>
      <w:r w:rsidR="008234BC">
        <w:rPr>
          <w:rFonts w:ascii="Calibri" w:hAnsi="Calibri" w:cs="Calibri"/>
        </w:rPr>
        <w:t xml:space="preserve"> The objective </w:t>
      </w:r>
      <w:r w:rsidR="00B966B3">
        <w:rPr>
          <w:rFonts w:ascii="Calibri" w:hAnsi="Calibri" w:cs="Calibri"/>
        </w:rPr>
        <w:t xml:space="preserve">test is often used in tort law to determine carelessness. For example, a motorist causes a car crash by failing to stop at a red light. The questions for the court to decide is </w:t>
      </w:r>
      <w:r w:rsidR="00703005">
        <w:rPr>
          <w:rFonts w:ascii="Calibri" w:hAnsi="Calibri" w:cs="Calibri"/>
        </w:rPr>
        <w:t>whether</w:t>
      </w:r>
      <w:r w:rsidR="00B966B3">
        <w:rPr>
          <w:rFonts w:ascii="Calibri" w:hAnsi="Calibri" w:cs="Calibri"/>
        </w:rPr>
        <w:t xml:space="preserve"> </w:t>
      </w:r>
      <w:r w:rsidR="00703005">
        <w:rPr>
          <w:rFonts w:ascii="Calibri" w:hAnsi="Calibri" w:cs="Calibri"/>
        </w:rPr>
        <w:t xml:space="preserve">a </w:t>
      </w:r>
      <w:r w:rsidR="00B966B3">
        <w:rPr>
          <w:rFonts w:ascii="Calibri" w:hAnsi="Calibri" w:cs="Calibri"/>
        </w:rPr>
        <w:t xml:space="preserve">reasonable person would have stopped at the red light in the same situation. If this is the case, a driver </w:t>
      </w:r>
      <w:r w:rsidR="00703005">
        <w:rPr>
          <w:rFonts w:ascii="Calibri" w:hAnsi="Calibri" w:cs="Calibri"/>
        </w:rPr>
        <w:t>can be deemed careless even though he has a good cause to drive.</w:t>
      </w:r>
      <w:r w:rsidR="0007342D">
        <w:rPr>
          <w:rFonts w:ascii="Calibri" w:hAnsi="Calibri" w:cs="Calibri"/>
        </w:rPr>
        <w:t xml:space="preserve"> An objective test considers a reasonable person’s point of view and does not consider the belief, emotion, or knowledge of the subject. By paying attention on how a reasonable person would have acted or though in the specific situation, it seeks to offer consistency and predictability in the process of coming up with legal decision </w:t>
      </w:r>
      <w:r w:rsidR="0007342D" w:rsidRPr="0007342D">
        <w:rPr>
          <w:rFonts w:ascii="Calibri" w:hAnsi="Calibri" w:cs="Calibri"/>
          <w:i/>
          <w:iCs/>
        </w:rPr>
        <w:t>(UOLLB</w:t>
      </w:r>
      <w:r w:rsidR="00E315AF" w:rsidRPr="0007342D">
        <w:rPr>
          <w:rFonts w:ascii="Calibri" w:hAnsi="Calibri" w:cs="Calibri"/>
          <w:i/>
          <w:iCs/>
        </w:rPr>
        <w:t>)</w:t>
      </w:r>
      <w:r w:rsidR="00E315AF">
        <w:rPr>
          <w:rFonts w:ascii="Calibri" w:hAnsi="Calibri" w:cs="Calibri"/>
          <w:i/>
          <w:iCs/>
        </w:rPr>
        <w:t xml:space="preserve">, </w:t>
      </w:r>
      <w:r w:rsidR="00E315AF" w:rsidRPr="0007342D">
        <w:rPr>
          <w:rFonts w:ascii="Calibri" w:hAnsi="Calibri" w:cs="Calibri"/>
          <w:i/>
          <w:iCs/>
        </w:rPr>
        <w:t>(</w:t>
      </w:r>
      <w:r w:rsidR="0007342D" w:rsidRPr="0007342D">
        <w:rPr>
          <w:rFonts w:ascii="Calibri" w:hAnsi="Calibri" w:cs="Calibri"/>
          <w:i/>
          <w:iCs/>
        </w:rPr>
        <w:t>2023)</w:t>
      </w:r>
      <w:r w:rsidR="0007342D">
        <w:rPr>
          <w:rFonts w:ascii="Calibri" w:hAnsi="Calibri" w:cs="Calibri"/>
        </w:rPr>
        <w:t>.</w:t>
      </w:r>
    </w:p>
    <w:p w14:paraId="4D0F3F72" w14:textId="77777777" w:rsidR="00B166F8" w:rsidRDefault="00B166F8" w:rsidP="008C2F6E">
      <w:pPr>
        <w:pStyle w:val="NoSpacing"/>
        <w:spacing w:line="276" w:lineRule="auto"/>
        <w:rPr>
          <w:rFonts w:ascii="Calibri" w:hAnsi="Calibri" w:cs="Calibri"/>
        </w:rPr>
      </w:pPr>
    </w:p>
    <w:p w14:paraId="070439D8" w14:textId="0820D59B" w:rsidR="00D96BE0" w:rsidRDefault="005B70FC" w:rsidP="008C2F6E">
      <w:pPr>
        <w:pStyle w:val="NoSpacing"/>
        <w:spacing w:line="276" w:lineRule="auto"/>
        <w:rPr>
          <w:rFonts w:ascii="Calibri" w:hAnsi="Calibri" w:cs="Calibri"/>
        </w:rPr>
      </w:pPr>
      <w:r>
        <w:rPr>
          <w:rFonts w:ascii="Calibri" w:hAnsi="Calibri" w:cs="Calibri"/>
        </w:rPr>
        <w:t>According to LawTeacher (20</w:t>
      </w:r>
      <w:r w:rsidR="00CF25FC">
        <w:rPr>
          <w:rFonts w:ascii="Calibri" w:hAnsi="Calibri" w:cs="Calibri"/>
        </w:rPr>
        <w:t>13</w:t>
      </w:r>
      <w:r>
        <w:rPr>
          <w:rFonts w:ascii="Calibri" w:hAnsi="Calibri" w:cs="Calibri"/>
        </w:rPr>
        <w:t xml:space="preserve">), </w:t>
      </w:r>
      <w:r w:rsidR="00B166F8">
        <w:rPr>
          <w:rFonts w:ascii="Calibri" w:hAnsi="Calibri" w:cs="Calibri"/>
        </w:rPr>
        <w:t xml:space="preserve">The Court of Appeal in England and Wales made a landmark </w:t>
      </w:r>
      <w:r w:rsidR="001207D4">
        <w:rPr>
          <w:rFonts w:ascii="Calibri" w:hAnsi="Calibri" w:cs="Calibri"/>
        </w:rPr>
        <w:t>ruling</w:t>
      </w:r>
      <w:r w:rsidR="00B166F8">
        <w:rPr>
          <w:rFonts w:ascii="Calibri" w:hAnsi="Calibri" w:cs="Calibri"/>
        </w:rPr>
        <w:t xml:space="preserve"> in the case </w:t>
      </w:r>
      <w:r w:rsidR="001207D4">
        <w:rPr>
          <w:rFonts w:ascii="Calibri" w:hAnsi="Calibri" w:cs="Calibri"/>
        </w:rPr>
        <w:t xml:space="preserve">of R v. Ghosh, which established the </w:t>
      </w:r>
      <w:r w:rsidR="00821D72">
        <w:rPr>
          <w:rFonts w:ascii="Calibri" w:hAnsi="Calibri" w:cs="Calibri"/>
        </w:rPr>
        <w:t>two-limb</w:t>
      </w:r>
      <w:r w:rsidR="0074549F">
        <w:rPr>
          <w:rFonts w:ascii="Calibri" w:hAnsi="Calibri" w:cs="Calibri"/>
        </w:rPr>
        <w:t xml:space="preserve"> test for judging dishonesty under the Theft Act 1968</w:t>
      </w:r>
      <w:r w:rsidR="00821D72">
        <w:rPr>
          <w:rFonts w:ascii="Calibri" w:hAnsi="Calibri" w:cs="Calibri"/>
        </w:rPr>
        <w:t>. In the judgement he made, Lord Lane CJ established a thorough method for evaluating dishonesty that takes into account both objective and subjective factors.</w:t>
      </w:r>
      <w:r w:rsidR="00324F8E">
        <w:rPr>
          <w:rFonts w:ascii="Calibri" w:hAnsi="Calibri" w:cs="Calibri"/>
        </w:rPr>
        <w:t xml:space="preserve"> In order to </w:t>
      </w:r>
      <w:r w:rsidR="003D147B">
        <w:rPr>
          <w:rFonts w:ascii="Calibri" w:hAnsi="Calibri" w:cs="Calibri"/>
        </w:rPr>
        <w:t>pass on the next phase of the test, the jury must decide whether the defendant’s actions were dishonest based on the common standards of reasonable and honest individuals. The purpose of this limb is to guarantee that the evaluation of dishonesty is not based just on the defendant’s moral standards or personal convictions, but also on social norms and values.</w:t>
      </w:r>
      <w:r w:rsidR="00A63284">
        <w:rPr>
          <w:rFonts w:ascii="Calibri" w:hAnsi="Calibri" w:cs="Calibri"/>
        </w:rPr>
        <w:t xml:space="preserve"> The court did acknowledge, nonetheless, that relying only on</w:t>
      </w:r>
      <w:r w:rsidR="000D1CCC">
        <w:rPr>
          <w:rFonts w:ascii="Calibri" w:hAnsi="Calibri" w:cs="Calibri"/>
        </w:rPr>
        <w:t xml:space="preserve"> </w:t>
      </w:r>
      <w:r w:rsidR="00A63284">
        <w:rPr>
          <w:rFonts w:ascii="Calibri" w:hAnsi="Calibri" w:cs="Calibri"/>
        </w:rPr>
        <w:t>objective standard</w:t>
      </w:r>
      <w:r w:rsidR="000D1CCC">
        <w:rPr>
          <w:rFonts w:ascii="Calibri" w:hAnsi="Calibri" w:cs="Calibri"/>
        </w:rPr>
        <w:t xml:space="preserve">s </w:t>
      </w:r>
      <w:r w:rsidR="00A63284">
        <w:rPr>
          <w:rFonts w:ascii="Calibri" w:hAnsi="Calibri" w:cs="Calibri"/>
        </w:rPr>
        <w:t>ca</w:t>
      </w:r>
      <w:r w:rsidR="000D1CCC">
        <w:rPr>
          <w:rFonts w:ascii="Calibri" w:hAnsi="Calibri" w:cs="Calibri"/>
        </w:rPr>
        <w:t>n result in unfairness because different people may legit</w:t>
      </w:r>
      <w:r w:rsidR="00E42D3D">
        <w:rPr>
          <w:rFonts w:ascii="Calibri" w:hAnsi="Calibri" w:cs="Calibri"/>
        </w:rPr>
        <w:t xml:space="preserve">imately have different definitions of honesty depending on their upbringing or circumstances. As a result, the jury must decide in the subjective </w:t>
      </w:r>
      <w:r w:rsidR="00C6267D">
        <w:rPr>
          <w:rFonts w:ascii="Calibri" w:hAnsi="Calibri" w:cs="Calibri"/>
        </w:rPr>
        <w:t>element of the test whether the defendant understood that their actions were dishonest based on the objective standard</w:t>
      </w:r>
      <w:r w:rsidR="001415BB">
        <w:rPr>
          <w:rFonts w:ascii="Calibri" w:hAnsi="Calibri" w:cs="Calibri"/>
        </w:rPr>
        <w:t xml:space="preserve"> given out in the first limb.</w:t>
      </w:r>
      <w:r w:rsidR="004445D2">
        <w:rPr>
          <w:rFonts w:ascii="Calibri" w:hAnsi="Calibri" w:cs="Calibri"/>
        </w:rPr>
        <w:t xml:space="preserve"> The two-limb approach finds a middle ground between honouring the honesty standards of society and taking into account </w:t>
      </w:r>
      <w:r w:rsidR="00657FC2">
        <w:rPr>
          <w:rFonts w:ascii="Calibri" w:hAnsi="Calibri" w:cs="Calibri"/>
        </w:rPr>
        <w:t xml:space="preserve">particular circumstances. It keeps individuals from being convicted for actions they honestly thought to be honourable and stop the misuse of </w:t>
      </w:r>
      <w:r w:rsidR="005C6AD1">
        <w:rPr>
          <w:rFonts w:ascii="Calibri" w:hAnsi="Calibri" w:cs="Calibri"/>
        </w:rPr>
        <w:t>personal convictions to justify actions that are objectively dishonest.</w:t>
      </w:r>
      <w:r w:rsidR="00443223">
        <w:rPr>
          <w:rFonts w:ascii="Calibri" w:hAnsi="Calibri" w:cs="Calibri"/>
        </w:rPr>
        <w:t xml:space="preserve"> The Ghosh test has been extensively used in situations of dishonesty under the Theft Act 1968</w:t>
      </w:r>
      <w:r w:rsidR="009D392A">
        <w:rPr>
          <w:rFonts w:ascii="Calibri" w:hAnsi="Calibri" w:cs="Calibri"/>
        </w:rPr>
        <w:t xml:space="preserve"> and other laws, establishing its importance as guiding concept in the field of criminal law </w:t>
      </w:r>
      <w:r w:rsidR="00A17F2B" w:rsidRPr="00A17F2B">
        <w:rPr>
          <w:rFonts w:ascii="Calibri" w:hAnsi="Calibri" w:cs="Calibri"/>
          <w:i/>
          <w:iCs/>
        </w:rPr>
        <w:t>(</w:t>
      </w:r>
      <w:r w:rsidR="009D392A" w:rsidRPr="00A17F2B">
        <w:rPr>
          <w:rFonts w:ascii="Calibri" w:hAnsi="Calibri" w:cs="Calibri"/>
          <w:i/>
          <w:iCs/>
        </w:rPr>
        <w:t>LawTeacher</w:t>
      </w:r>
      <w:r w:rsidR="00A17F2B" w:rsidRPr="00A17F2B">
        <w:rPr>
          <w:rFonts w:ascii="Calibri" w:hAnsi="Calibri" w:cs="Calibri"/>
          <w:i/>
          <w:iCs/>
        </w:rPr>
        <w:t>), (20</w:t>
      </w:r>
      <w:r w:rsidR="00CF25FC">
        <w:rPr>
          <w:rFonts w:ascii="Calibri" w:hAnsi="Calibri" w:cs="Calibri"/>
          <w:i/>
          <w:iCs/>
        </w:rPr>
        <w:t>13</w:t>
      </w:r>
      <w:r w:rsidR="00A17F2B" w:rsidRPr="00A17F2B">
        <w:rPr>
          <w:rFonts w:ascii="Calibri" w:hAnsi="Calibri" w:cs="Calibri"/>
          <w:i/>
          <w:iCs/>
        </w:rPr>
        <w:t>)</w:t>
      </w:r>
      <w:r w:rsidR="00A17F2B">
        <w:rPr>
          <w:rFonts w:ascii="Calibri" w:hAnsi="Calibri" w:cs="Calibri"/>
        </w:rPr>
        <w:t>.</w:t>
      </w:r>
    </w:p>
    <w:p w14:paraId="4CC2B7E4" w14:textId="77777777" w:rsidR="00A17F2B" w:rsidRDefault="00A17F2B" w:rsidP="008C2F6E">
      <w:pPr>
        <w:pStyle w:val="NoSpacing"/>
        <w:spacing w:line="276" w:lineRule="auto"/>
        <w:rPr>
          <w:rFonts w:ascii="Calibri" w:hAnsi="Calibri" w:cs="Calibri"/>
        </w:rPr>
      </w:pPr>
    </w:p>
    <w:p w14:paraId="05EC27FE" w14:textId="77777777" w:rsidR="00A17F2B" w:rsidRDefault="00A17F2B" w:rsidP="008C2F6E">
      <w:pPr>
        <w:pStyle w:val="NoSpacing"/>
        <w:spacing w:line="276" w:lineRule="auto"/>
        <w:rPr>
          <w:rFonts w:ascii="Calibri" w:hAnsi="Calibri" w:cs="Calibri"/>
        </w:rPr>
      </w:pPr>
    </w:p>
    <w:p w14:paraId="6D2AA932" w14:textId="495EC98D" w:rsidR="00157463" w:rsidRDefault="00157463" w:rsidP="008C2F6E">
      <w:pPr>
        <w:pStyle w:val="NoSpacing"/>
        <w:spacing w:line="276" w:lineRule="auto"/>
        <w:rPr>
          <w:rFonts w:ascii="Calibri" w:hAnsi="Calibri" w:cs="Calibri"/>
        </w:rPr>
      </w:pPr>
      <w:r>
        <w:rPr>
          <w:rFonts w:ascii="Calibri" w:hAnsi="Calibri" w:cs="Calibri"/>
        </w:rPr>
        <w:lastRenderedPageBreak/>
        <w:t>According to The Supreme Court (2017)</w:t>
      </w:r>
      <w:r w:rsidR="008472DA">
        <w:rPr>
          <w:rFonts w:ascii="Calibri" w:hAnsi="Calibri" w:cs="Calibri"/>
        </w:rPr>
        <w:t>, the way that criminal law approaches dishonesty has changed significantly due to their ruling in Ivey</w:t>
      </w:r>
      <w:r w:rsidR="009C6311">
        <w:rPr>
          <w:rFonts w:ascii="Calibri" w:hAnsi="Calibri" w:cs="Calibri"/>
        </w:rPr>
        <w:t xml:space="preserve"> v. Genting Casinos UK Ltd</w:t>
      </w:r>
      <w:r w:rsidR="00AC6ACA">
        <w:rPr>
          <w:rFonts w:ascii="Calibri" w:hAnsi="Calibri" w:cs="Calibri"/>
        </w:rPr>
        <w:t>. The court made i</w:t>
      </w:r>
      <w:r w:rsidR="007B7B89">
        <w:rPr>
          <w:rFonts w:ascii="Calibri" w:hAnsi="Calibri" w:cs="Calibri"/>
        </w:rPr>
        <w:t>t clear in this case that the Ghosh test</w:t>
      </w:r>
      <w:r w:rsidR="004A6803">
        <w:rPr>
          <w:rFonts w:ascii="Calibri" w:hAnsi="Calibri" w:cs="Calibri"/>
        </w:rPr>
        <w:t>’s second limb</w:t>
      </w:r>
      <w:r w:rsidR="00154495">
        <w:rPr>
          <w:rFonts w:ascii="Calibri" w:hAnsi="Calibri" w:cs="Calibri"/>
        </w:rPr>
        <w:t xml:space="preserve"> examined the defendant’s subjective belief regarding the dishonesty of their actions</w:t>
      </w:r>
      <w:r w:rsidR="007B1F53">
        <w:rPr>
          <w:rFonts w:ascii="Calibri" w:hAnsi="Calibri" w:cs="Calibri"/>
        </w:rPr>
        <w:t xml:space="preserve"> was dishonest. The Court stressed that the only criteria that should be used to evaluate</w:t>
      </w:r>
      <w:r w:rsidR="00454F4F">
        <w:rPr>
          <w:rFonts w:ascii="Calibri" w:hAnsi="Calibri" w:cs="Calibri"/>
        </w:rPr>
        <w:t xml:space="preserve"> dishonesty are the objective standards of regular and normal individual. Lord Hughes wrote that “the test of dishonesty is objective; if by ordinary standards</w:t>
      </w:r>
      <w:r w:rsidR="00732C66">
        <w:rPr>
          <w:rFonts w:ascii="Calibri" w:hAnsi="Calibri" w:cs="Calibri"/>
        </w:rPr>
        <w:t xml:space="preserve"> a defendant’s mental state would be characterised as dishonest, it is irrel</w:t>
      </w:r>
      <w:r w:rsidR="005A18AD">
        <w:rPr>
          <w:rFonts w:ascii="Calibri" w:hAnsi="Calibri" w:cs="Calibri"/>
        </w:rPr>
        <w:t>evant that the defendant judges by different standards.”</w:t>
      </w:r>
      <w:r w:rsidR="002447F1">
        <w:rPr>
          <w:rFonts w:ascii="Calibri" w:hAnsi="Calibri" w:cs="Calibri"/>
        </w:rPr>
        <w:t xml:space="preserve"> The Ivey decision effectively eliminated the subjective element of the dishonesty test and replaced it with a focus on whether </w:t>
      </w:r>
      <w:r w:rsidR="00410427">
        <w:rPr>
          <w:rFonts w:ascii="Calibri" w:hAnsi="Calibri" w:cs="Calibri"/>
        </w:rPr>
        <w:t>the defendant’s actions would be viewed as dishonest by the public.</w:t>
      </w:r>
      <w:r w:rsidR="009830BE">
        <w:rPr>
          <w:rFonts w:ascii="Calibri" w:hAnsi="Calibri" w:cs="Calibri"/>
        </w:rPr>
        <w:t xml:space="preserve"> The ruling in the Ivey Case by the Supreme Court has a big impact on how dishonesty is evaluated in theft cases and other crimes</w:t>
      </w:r>
      <w:r w:rsidR="00F030D0">
        <w:rPr>
          <w:rFonts w:ascii="Calibri" w:hAnsi="Calibri" w:cs="Calibri"/>
        </w:rPr>
        <w:t xml:space="preserve"> where it is a factor. The establishment of an objective standard by the Ivey test to determine </w:t>
      </w:r>
      <w:r w:rsidR="00190E2A">
        <w:rPr>
          <w:rFonts w:ascii="Calibri" w:hAnsi="Calibri" w:cs="Calibri"/>
        </w:rPr>
        <w:t>dishonesty leads to increased consisten</w:t>
      </w:r>
      <w:r w:rsidR="00DE323E">
        <w:rPr>
          <w:rFonts w:ascii="Calibri" w:hAnsi="Calibri" w:cs="Calibri"/>
        </w:rPr>
        <w:t xml:space="preserve">cy and clarity in the application of the law. It makes the evaluation process for the jury and court easier by taking away having to find out </w:t>
      </w:r>
      <w:r w:rsidR="00BB6569">
        <w:rPr>
          <w:rFonts w:ascii="Calibri" w:hAnsi="Calibri" w:cs="Calibri"/>
        </w:rPr>
        <w:t>the defendant’s subjective opinions regarding how dishonest their actions were.</w:t>
      </w:r>
      <w:r w:rsidR="004E218F">
        <w:rPr>
          <w:rFonts w:ascii="Calibri" w:hAnsi="Calibri" w:cs="Calibri"/>
        </w:rPr>
        <w:t xml:space="preserve"> The use of the </w:t>
      </w:r>
      <w:r w:rsidR="00A04BBE">
        <w:rPr>
          <w:rFonts w:ascii="Calibri" w:hAnsi="Calibri" w:cs="Calibri"/>
        </w:rPr>
        <w:t xml:space="preserve">objective test, however, also raises </w:t>
      </w:r>
      <w:r w:rsidR="002F2E90">
        <w:rPr>
          <w:rFonts w:ascii="Calibri" w:hAnsi="Calibri" w:cs="Calibri"/>
        </w:rPr>
        <w:t>questions due to the possibility of subjectivity and uncertainty in defining what behav</w:t>
      </w:r>
      <w:r w:rsidR="0076240C">
        <w:rPr>
          <w:rFonts w:ascii="Calibri" w:hAnsi="Calibri" w:cs="Calibri"/>
        </w:rPr>
        <w:t xml:space="preserve">iour. Is dishonest. Even if the Ivey test offers a simpler framework for evaluating </w:t>
      </w:r>
      <w:r w:rsidR="006B3219">
        <w:rPr>
          <w:rFonts w:ascii="Calibri" w:hAnsi="Calibri" w:cs="Calibri"/>
        </w:rPr>
        <w:t xml:space="preserve">dishonesty, there can still be debates and different perspectives on what, by common criteria, defines dishonest </w:t>
      </w:r>
      <w:r w:rsidR="00E13893">
        <w:rPr>
          <w:rFonts w:ascii="Calibri" w:hAnsi="Calibri" w:cs="Calibri"/>
        </w:rPr>
        <w:t xml:space="preserve">activity </w:t>
      </w:r>
      <w:r w:rsidR="00E13893" w:rsidRPr="00E13893">
        <w:rPr>
          <w:rFonts w:ascii="Calibri" w:hAnsi="Calibri" w:cs="Calibri"/>
          <w:i/>
          <w:iCs/>
        </w:rPr>
        <w:t>(The Supreme Court), (2017)</w:t>
      </w:r>
      <w:r w:rsidR="00E13893">
        <w:rPr>
          <w:rFonts w:ascii="Calibri" w:hAnsi="Calibri" w:cs="Calibri"/>
        </w:rPr>
        <w:t>.</w:t>
      </w:r>
    </w:p>
    <w:p w14:paraId="2A2F19AA" w14:textId="77777777" w:rsidR="006C748B" w:rsidRDefault="006C748B" w:rsidP="008C2F6E">
      <w:pPr>
        <w:pStyle w:val="NoSpacing"/>
        <w:spacing w:line="276" w:lineRule="auto"/>
        <w:rPr>
          <w:rFonts w:ascii="Calibri" w:hAnsi="Calibri" w:cs="Calibri"/>
        </w:rPr>
      </w:pPr>
    </w:p>
    <w:p w14:paraId="319E209A" w14:textId="13D1FCB1" w:rsidR="006C748B" w:rsidRDefault="006C748B" w:rsidP="008C2F6E">
      <w:pPr>
        <w:pStyle w:val="NoSpacing"/>
        <w:spacing w:line="276" w:lineRule="auto"/>
        <w:rPr>
          <w:rFonts w:ascii="Calibri" w:hAnsi="Calibri" w:cs="Calibri"/>
        </w:rPr>
      </w:pPr>
      <w:r>
        <w:rPr>
          <w:rFonts w:ascii="Calibri" w:hAnsi="Calibri" w:cs="Calibri"/>
        </w:rPr>
        <w:t xml:space="preserve">In </w:t>
      </w:r>
      <w:r w:rsidR="00687508">
        <w:rPr>
          <w:rFonts w:ascii="Calibri" w:hAnsi="Calibri" w:cs="Calibri"/>
        </w:rPr>
        <w:t>conclusion, the concept of dishonesty is a crucial factor in theft offences within the United Kingdom</w:t>
      </w:r>
      <w:r w:rsidR="00306290">
        <w:rPr>
          <w:rFonts w:ascii="Calibri" w:hAnsi="Calibri" w:cs="Calibri"/>
        </w:rPr>
        <w:t>, and evaluating it is essential</w:t>
      </w:r>
      <w:r w:rsidR="00376A30">
        <w:rPr>
          <w:rFonts w:ascii="Calibri" w:hAnsi="Calibri" w:cs="Calibri"/>
        </w:rPr>
        <w:t xml:space="preserve"> for establishing criminal liability. The common law standards of dishonesty </w:t>
      </w:r>
      <w:r w:rsidR="009E6690">
        <w:rPr>
          <w:rFonts w:ascii="Calibri" w:hAnsi="Calibri" w:cs="Calibri"/>
        </w:rPr>
        <w:t xml:space="preserve">has </w:t>
      </w:r>
      <w:r w:rsidR="00376A30">
        <w:rPr>
          <w:rFonts w:ascii="Calibri" w:hAnsi="Calibri" w:cs="Calibri"/>
        </w:rPr>
        <w:t>changed over time, reflecting shifting social standards and judicial interpretation</w:t>
      </w:r>
      <w:r w:rsidR="009E6690">
        <w:rPr>
          <w:rFonts w:ascii="Calibri" w:hAnsi="Calibri" w:cs="Calibri"/>
        </w:rPr>
        <w:t>. This can be seen in the approach taken in R v.</w:t>
      </w:r>
      <w:r w:rsidR="00D16BA0">
        <w:rPr>
          <w:rFonts w:ascii="Calibri" w:hAnsi="Calibri" w:cs="Calibri"/>
        </w:rPr>
        <w:t xml:space="preserve"> Ghosh, which </w:t>
      </w:r>
      <w:r w:rsidR="00E63DE3">
        <w:rPr>
          <w:rFonts w:ascii="Calibri" w:hAnsi="Calibri" w:cs="Calibri"/>
        </w:rPr>
        <w:t xml:space="preserve">had both </w:t>
      </w:r>
      <w:r w:rsidR="00D16BA0">
        <w:rPr>
          <w:rFonts w:ascii="Calibri" w:hAnsi="Calibri" w:cs="Calibri"/>
        </w:rPr>
        <w:t>subjective and objective</w:t>
      </w:r>
      <w:r w:rsidR="00E63DE3">
        <w:rPr>
          <w:rFonts w:ascii="Calibri" w:hAnsi="Calibri" w:cs="Calibri"/>
        </w:rPr>
        <w:t xml:space="preserve"> standards</w:t>
      </w:r>
      <w:r w:rsidR="00D16BA0">
        <w:rPr>
          <w:rFonts w:ascii="Calibri" w:hAnsi="Calibri" w:cs="Calibri"/>
        </w:rPr>
        <w:t xml:space="preserve"> and in Ivey v. Genting Casinos UK Ltd</w:t>
      </w:r>
      <w:r w:rsidR="00891E8C">
        <w:rPr>
          <w:rFonts w:ascii="Calibri" w:hAnsi="Calibri" w:cs="Calibri"/>
        </w:rPr>
        <w:t>, which embraced a purely objective standard</w:t>
      </w:r>
      <w:r w:rsidR="00E63DE3">
        <w:rPr>
          <w:rFonts w:ascii="Calibri" w:hAnsi="Calibri" w:cs="Calibri"/>
        </w:rPr>
        <w:t>. The Ivey</w:t>
      </w:r>
      <w:r w:rsidR="00FC2722">
        <w:rPr>
          <w:rFonts w:ascii="Calibri" w:hAnsi="Calibri" w:cs="Calibri"/>
        </w:rPr>
        <w:t xml:space="preserve"> test raises concerns about the possibility of subjectivity and dispute in applying the objective </w:t>
      </w:r>
      <w:r w:rsidR="00AE3529">
        <w:rPr>
          <w:rFonts w:ascii="Calibri" w:hAnsi="Calibri" w:cs="Calibri"/>
        </w:rPr>
        <w:t>element, even while it offers more consistency and clarity in evaluating dishonesty.</w:t>
      </w:r>
    </w:p>
    <w:p w14:paraId="3997F7F3" w14:textId="77777777" w:rsidR="00206F9C" w:rsidRDefault="00206F9C" w:rsidP="008C2F6E">
      <w:pPr>
        <w:pStyle w:val="NoSpacing"/>
        <w:spacing w:line="276" w:lineRule="auto"/>
        <w:rPr>
          <w:rFonts w:ascii="Calibri" w:hAnsi="Calibri" w:cs="Calibri"/>
        </w:rPr>
      </w:pPr>
    </w:p>
    <w:p w14:paraId="7ED4D267" w14:textId="77777777" w:rsidR="00206F9C" w:rsidRDefault="00206F9C" w:rsidP="008C2F6E">
      <w:pPr>
        <w:pStyle w:val="NoSpacing"/>
        <w:spacing w:line="276" w:lineRule="auto"/>
        <w:rPr>
          <w:rFonts w:ascii="Calibri" w:hAnsi="Calibri" w:cs="Calibri"/>
        </w:rPr>
      </w:pPr>
    </w:p>
    <w:p w14:paraId="0F357904" w14:textId="77777777" w:rsidR="00206F9C" w:rsidRDefault="00206F9C" w:rsidP="008C2F6E">
      <w:pPr>
        <w:pStyle w:val="NoSpacing"/>
        <w:spacing w:line="276" w:lineRule="auto"/>
        <w:rPr>
          <w:rFonts w:ascii="Calibri" w:hAnsi="Calibri" w:cs="Calibri"/>
        </w:rPr>
      </w:pPr>
    </w:p>
    <w:p w14:paraId="198185F0" w14:textId="77777777" w:rsidR="00206F9C" w:rsidRDefault="00206F9C" w:rsidP="008C2F6E">
      <w:pPr>
        <w:pStyle w:val="NoSpacing"/>
        <w:spacing w:line="276" w:lineRule="auto"/>
        <w:rPr>
          <w:rFonts w:ascii="Calibri" w:hAnsi="Calibri" w:cs="Calibri"/>
        </w:rPr>
      </w:pPr>
    </w:p>
    <w:p w14:paraId="1987712D" w14:textId="77777777" w:rsidR="00206F9C" w:rsidRDefault="00206F9C" w:rsidP="008C2F6E">
      <w:pPr>
        <w:pStyle w:val="NoSpacing"/>
        <w:spacing w:line="276" w:lineRule="auto"/>
        <w:rPr>
          <w:rFonts w:ascii="Calibri" w:hAnsi="Calibri" w:cs="Calibri"/>
        </w:rPr>
      </w:pPr>
    </w:p>
    <w:p w14:paraId="30EBE69B" w14:textId="77777777" w:rsidR="00206F9C" w:rsidRDefault="00206F9C" w:rsidP="008C2F6E">
      <w:pPr>
        <w:pStyle w:val="NoSpacing"/>
        <w:spacing w:line="276" w:lineRule="auto"/>
        <w:rPr>
          <w:rFonts w:ascii="Calibri" w:hAnsi="Calibri" w:cs="Calibri"/>
        </w:rPr>
      </w:pPr>
    </w:p>
    <w:p w14:paraId="7A710869" w14:textId="77777777" w:rsidR="00206F9C" w:rsidRDefault="00206F9C" w:rsidP="008C2F6E">
      <w:pPr>
        <w:pStyle w:val="NoSpacing"/>
        <w:spacing w:line="276" w:lineRule="auto"/>
        <w:rPr>
          <w:rFonts w:ascii="Calibri" w:hAnsi="Calibri" w:cs="Calibri"/>
        </w:rPr>
      </w:pPr>
    </w:p>
    <w:p w14:paraId="441A1319" w14:textId="77777777" w:rsidR="00206F9C" w:rsidRDefault="00206F9C" w:rsidP="008C2F6E">
      <w:pPr>
        <w:pStyle w:val="NoSpacing"/>
        <w:spacing w:line="276" w:lineRule="auto"/>
        <w:rPr>
          <w:rFonts w:ascii="Calibri" w:hAnsi="Calibri" w:cs="Calibri"/>
        </w:rPr>
      </w:pPr>
    </w:p>
    <w:p w14:paraId="4DF39F23" w14:textId="77777777" w:rsidR="00206F9C" w:rsidRDefault="00206F9C" w:rsidP="008C2F6E">
      <w:pPr>
        <w:pStyle w:val="NoSpacing"/>
        <w:spacing w:line="276" w:lineRule="auto"/>
        <w:rPr>
          <w:rFonts w:ascii="Calibri" w:hAnsi="Calibri" w:cs="Calibri"/>
        </w:rPr>
      </w:pPr>
    </w:p>
    <w:p w14:paraId="51D5C96C" w14:textId="77777777" w:rsidR="00206F9C" w:rsidRDefault="00206F9C" w:rsidP="008C2F6E">
      <w:pPr>
        <w:pStyle w:val="NoSpacing"/>
        <w:spacing w:line="276" w:lineRule="auto"/>
        <w:rPr>
          <w:rFonts w:ascii="Calibri" w:hAnsi="Calibri" w:cs="Calibri"/>
        </w:rPr>
      </w:pPr>
    </w:p>
    <w:p w14:paraId="50EFA38C" w14:textId="77777777" w:rsidR="00206F9C" w:rsidRDefault="00206F9C" w:rsidP="008C2F6E">
      <w:pPr>
        <w:pStyle w:val="NoSpacing"/>
        <w:spacing w:line="276" w:lineRule="auto"/>
        <w:rPr>
          <w:rFonts w:ascii="Calibri" w:hAnsi="Calibri" w:cs="Calibri"/>
        </w:rPr>
      </w:pPr>
    </w:p>
    <w:p w14:paraId="1941A8BC" w14:textId="77777777" w:rsidR="00206F9C" w:rsidRDefault="00206F9C" w:rsidP="008C2F6E">
      <w:pPr>
        <w:pStyle w:val="NoSpacing"/>
        <w:spacing w:line="276" w:lineRule="auto"/>
        <w:rPr>
          <w:rFonts w:ascii="Calibri" w:hAnsi="Calibri" w:cs="Calibri"/>
        </w:rPr>
      </w:pPr>
    </w:p>
    <w:p w14:paraId="66A5DE74" w14:textId="761746A7" w:rsidR="00FF7674" w:rsidRPr="001C595B" w:rsidRDefault="00FF7674"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lastRenderedPageBreak/>
        <w:t>LawTeacher (20</w:t>
      </w:r>
      <w:r w:rsidR="00B42294">
        <w:rPr>
          <w:rFonts w:ascii="Calibri" w:eastAsiaTheme="minorHAnsi" w:hAnsi="Calibri" w:cs="Calibri"/>
          <w:lang w:eastAsia="en-US"/>
        </w:rPr>
        <w:t>13</w:t>
      </w:r>
      <w:r w:rsidRPr="001C595B">
        <w:rPr>
          <w:rFonts w:ascii="Calibri" w:eastAsiaTheme="minorHAnsi" w:hAnsi="Calibri" w:cs="Calibri"/>
          <w:lang w:eastAsia="en-US"/>
        </w:rPr>
        <w:t>), R v Ghosh - 1982. Available at:</w:t>
      </w:r>
    </w:p>
    <w:p w14:paraId="0453EF9F" w14:textId="77777777" w:rsidR="00FF7674" w:rsidRPr="001C595B" w:rsidRDefault="00FF7674" w:rsidP="001C595B">
      <w:pPr>
        <w:pStyle w:val="NoSpacing"/>
        <w:spacing w:line="276" w:lineRule="auto"/>
        <w:rPr>
          <w:rFonts w:ascii="Calibri" w:eastAsiaTheme="minorHAnsi" w:hAnsi="Calibri" w:cs="Calibri"/>
          <w:lang w:eastAsia="en-US"/>
        </w:rPr>
      </w:pPr>
      <w:hyperlink r:id="rId7" w:history="1">
        <w:r w:rsidRPr="001C595B">
          <w:rPr>
            <w:rFonts w:ascii="Calibri" w:eastAsiaTheme="minorHAnsi" w:hAnsi="Calibri" w:cs="Calibri"/>
            <w:lang w:eastAsia="en-US"/>
          </w:rPr>
          <w:t>https://www.lawteacher.net/cases/r-v-ghosh.php</w:t>
        </w:r>
      </w:hyperlink>
    </w:p>
    <w:p w14:paraId="231C5452" w14:textId="77777777" w:rsidR="00FF7674" w:rsidRPr="001C595B" w:rsidRDefault="00FF7674"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Accessed on 01.05.2024.</w:t>
      </w:r>
    </w:p>
    <w:p w14:paraId="587B69C8" w14:textId="77777777" w:rsidR="00056581" w:rsidRPr="001C595B" w:rsidRDefault="00056581" w:rsidP="001C595B">
      <w:pPr>
        <w:pStyle w:val="NoSpacing"/>
        <w:spacing w:line="276" w:lineRule="auto"/>
        <w:rPr>
          <w:rFonts w:ascii="Calibri" w:eastAsiaTheme="minorHAnsi" w:hAnsi="Calibri" w:cs="Calibri"/>
          <w:lang w:eastAsia="en-US"/>
        </w:rPr>
      </w:pPr>
    </w:p>
    <w:p w14:paraId="1195FDCB" w14:textId="77777777" w:rsidR="00056581" w:rsidRPr="001C595B" w:rsidRDefault="00056581" w:rsidP="001C595B">
      <w:pPr>
        <w:pStyle w:val="NoSpacing"/>
        <w:spacing w:line="276" w:lineRule="auto"/>
        <w:rPr>
          <w:rFonts w:ascii="Calibri" w:eastAsiaTheme="minorHAnsi" w:hAnsi="Calibri" w:cs="Calibri"/>
          <w:lang w:eastAsia="en-US"/>
        </w:rPr>
      </w:pPr>
      <w:hyperlink r:id="rId8" w:history="1">
        <w:r w:rsidRPr="001C595B">
          <w:rPr>
            <w:rFonts w:ascii="Calibri" w:eastAsiaTheme="minorHAnsi" w:hAnsi="Calibri" w:cs="Calibri"/>
            <w:lang w:eastAsia="en-US"/>
          </w:rPr>
          <w:t>Legislation.gov.uk</w:t>
        </w:r>
      </w:hyperlink>
      <w:r w:rsidRPr="001C595B">
        <w:rPr>
          <w:rFonts w:ascii="Calibri" w:eastAsiaTheme="minorHAnsi" w:hAnsi="Calibri" w:cs="Calibri"/>
          <w:lang w:eastAsia="en-US"/>
        </w:rPr>
        <w:t xml:space="preserve"> (2011), Theft Act 1969. Available at:</w:t>
      </w:r>
    </w:p>
    <w:p w14:paraId="423609F2" w14:textId="77777777" w:rsidR="00056581" w:rsidRPr="001C595B" w:rsidRDefault="00056581" w:rsidP="001C595B">
      <w:pPr>
        <w:pStyle w:val="NoSpacing"/>
        <w:spacing w:line="276" w:lineRule="auto"/>
        <w:rPr>
          <w:rFonts w:ascii="Calibri" w:eastAsiaTheme="minorHAnsi" w:hAnsi="Calibri" w:cs="Calibri"/>
          <w:lang w:eastAsia="en-US"/>
        </w:rPr>
      </w:pPr>
      <w:hyperlink r:id="rId9" w:history="1">
        <w:r w:rsidRPr="001C595B">
          <w:rPr>
            <w:rFonts w:ascii="Calibri" w:eastAsiaTheme="minorHAnsi" w:hAnsi="Calibri" w:cs="Calibri"/>
            <w:lang w:eastAsia="en-US"/>
          </w:rPr>
          <w:t>https://www.legislation.gov.uk/ukpga/1968/60/section/1#:~:text=(1)A%20person%20is%20guilty,steal”%20shall%20be%20construed%20accordingly.</w:t>
        </w:r>
      </w:hyperlink>
    </w:p>
    <w:p w14:paraId="2E286168" w14:textId="60BBD770"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 xml:space="preserve">Accessed on </w:t>
      </w:r>
      <w:r w:rsidR="00E0361C" w:rsidRPr="001C595B">
        <w:rPr>
          <w:rFonts w:ascii="Calibri" w:eastAsiaTheme="minorHAnsi" w:hAnsi="Calibri" w:cs="Calibri"/>
          <w:lang w:eastAsia="en-US"/>
        </w:rPr>
        <w:t>01.05.2024.</w:t>
      </w:r>
    </w:p>
    <w:p w14:paraId="5E2D9A1D" w14:textId="77777777" w:rsidR="00056581" w:rsidRPr="001C595B" w:rsidRDefault="00056581" w:rsidP="001C595B">
      <w:pPr>
        <w:pStyle w:val="NoSpacing"/>
        <w:spacing w:line="276" w:lineRule="auto"/>
        <w:rPr>
          <w:rFonts w:ascii="Calibri" w:eastAsiaTheme="minorHAnsi" w:hAnsi="Calibri" w:cs="Calibri"/>
          <w:lang w:eastAsia="en-US"/>
        </w:rPr>
      </w:pPr>
    </w:p>
    <w:p w14:paraId="167E2161" w14:textId="77777777" w:rsidR="00056581" w:rsidRPr="001C595B" w:rsidRDefault="00056581" w:rsidP="001C595B">
      <w:pPr>
        <w:pStyle w:val="NoSpacing"/>
        <w:spacing w:line="276" w:lineRule="auto"/>
        <w:rPr>
          <w:rFonts w:ascii="Calibri" w:eastAsiaTheme="minorHAnsi" w:hAnsi="Calibri" w:cs="Calibri"/>
          <w:lang w:eastAsia="en-US"/>
        </w:rPr>
      </w:pPr>
      <w:hyperlink r:id="rId10" w:history="1">
        <w:r w:rsidRPr="001C595B">
          <w:rPr>
            <w:rFonts w:ascii="Calibri" w:eastAsiaTheme="minorHAnsi" w:hAnsi="Calibri" w:cs="Calibri"/>
            <w:lang w:eastAsia="en-US"/>
          </w:rPr>
          <w:t>Legislation.gov.uk</w:t>
        </w:r>
      </w:hyperlink>
      <w:r w:rsidRPr="001C595B">
        <w:rPr>
          <w:rFonts w:ascii="Calibri" w:eastAsiaTheme="minorHAnsi" w:hAnsi="Calibri" w:cs="Calibri"/>
          <w:lang w:eastAsia="en-US"/>
        </w:rPr>
        <w:t xml:space="preserve"> (2011), Theft Act 1969 S.2. Available at:</w:t>
      </w:r>
    </w:p>
    <w:p w14:paraId="7FD34DB7" w14:textId="77777777" w:rsidR="00056581" w:rsidRPr="001C595B" w:rsidRDefault="00056581" w:rsidP="001C595B">
      <w:pPr>
        <w:pStyle w:val="NoSpacing"/>
        <w:spacing w:line="276" w:lineRule="auto"/>
        <w:rPr>
          <w:rFonts w:ascii="Calibri" w:eastAsiaTheme="minorHAnsi" w:hAnsi="Calibri" w:cs="Calibri"/>
          <w:lang w:eastAsia="en-US"/>
        </w:rPr>
      </w:pPr>
      <w:hyperlink r:id="rId11" w:history="1">
        <w:r w:rsidRPr="001C595B">
          <w:rPr>
            <w:rFonts w:ascii="Calibri" w:eastAsiaTheme="minorHAnsi" w:hAnsi="Calibri" w:cs="Calibri"/>
            <w:lang w:eastAsia="en-US"/>
          </w:rPr>
          <w:t>https://www.legislation.gov.uk/ukpga/1968/60/section/2</w:t>
        </w:r>
      </w:hyperlink>
    </w:p>
    <w:p w14:paraId="6859709F" w14:textId="336E1CF4"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 xml:space="preserve">Accessed on </w:t>
      </w:r>
      <w:r w:rsidR="00E0361C" w:rsidRPr="001C595B">
        <w:rPr>
          <w:rFonts w:ascii="Calibri" w:eastAsiaTheme="minorHAnsi" w:hAnsi="Calibri" w:cs="Calibri"/>
          <w:lang w:eastAsia="en-US"/>
        </w:rPr>
        <w:t>01.05.2024.</w:t>
      </w:r>
    </w:p>
    <w:p w14:paraId="43389D72" w14:textId="77777777" w:rsidR="00FF7674" w:rsidRPr="001C595B" w:rsidRDefault="00FF7674" w:rsidP="001C595B">
      <w:pPr>
        <w:pStyle w:val="NoSpacing"/>
        <w:spacing w:line="276" w:lineRule="auto"/>
        <w:rPr>
          <w:rFonts w:ascii="Calibri" w:eastAsiaTheme="minorHAnsi" w:hAnsi="Calibri" w:cs="Calibri"/>
          <w:lang w:eastAsia="en-US"/>
        </w:rPr>
      </w:pPr>
    </w:p>
    <w:p w14:paraId="27C48E8F" w14:textId="77777777" w:rsidR="00FF7674" w:rsidRPr="001C595B" w:rsidRDefault="00FF7674"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LexisNexis (2024), Dishonesty in the criminal law. Available at:</w:t>
      </w:r>
    </w:p>
    <w:p w14:paraId="3A9DD4B9" w14:textId="77777777" w:rsidR="00FF7674" w:rsidRPr="001C595B" w:rsidRDefault="00FF7674" w:rsidP="001C595B">
      <w:pPr>
        <w:pStyle w:val="NoSpacing"/>
        <w:spacing w:line="276" w:lineRule="auto"/>
        <w:rPr>
          <w:rFonts w:ascii="Calibri" w:eastAsiaTheme="minorHAnsi" w:hAnsi="Calibri" w:cs="Calibri"/>
          <w:lang w:eastAsia="en-US"/>
        </w:rPr>
      </w:pPr>
      <w:hyperlink r:id="rId12" w:history="1">
        <w:r w:rsidRPr="001C595B">
          <w:rPr>
            <w:rFonts w:ascii="Calibri" w:eastAsiaTheme="minorHAnsi" w:hAnsi="Calibri" w:cs="Calibri"/>
            <w:lang w:eastAsia="en-US"/>
          </w:rPr>
          <w:t>https://www.lexisnexis.co.uk/legal/guidance/dishonesty-in-the-criminal-law</w:t>
        </w:r>
      </w:hyperlink>
    </w:p>
    <w:p w14:paraId="53F68FB4" w14:textId="77777777" w:rsidR="00FF7674" w:rsidRPr="001C595B" w:rsidRDefault="00FF7674"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Accessed on 01.05.2024.</w:t>
      </w:r>
    </w:p>
    <w:p w14:paraId="1A9380E5" w14:textId="77777777" w:rsidR="00FF7674" w:rsidRPr="001C595B" w:rsidRDefault="00FF7674" w:rsidP="001C595B">
      <w:pPr>
        <w:pStyle w:val="NoSpacing"/>
        <w:spacing w:line="276" w:lineRule="auto"/>
        <w:rPr>
          <w:rFonts w:ascii="Calibri" w:eastAsiaTheme="minorHAnsi" w:hAnsi="Calibri" w:cs="Calibri"/>
          <w:lang w:eastAsia="en-US"/>
        </w:rPr>
      </w:pPr>
    </w:p>
    <w:p w14:paraId="1EA0FCAF" w14:textId="77777777" w:rsidR="001C595B" w:rsidRPr="001C595B" w:rsidRDefault="001C595B"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 xml:space="preserve">Nicola Laver (2024), Actions undertaken to be guilty of the criminal offence of theft. Available at: </w:t>
      </w:r>
    </w:p>
    <w:p w14:paraId="210A76E1" w14:textId="77777777" w:rsidR="001C595B" w:rsidRPr="001C595B" w:rsidRDefault="001C595B" w:rsidP="001C595B">
      <w:pPr>
        <w:pStyle w:val="NoSpacing"/>
        <w:spacing w:line="276" w:lineRule="auto"/>
        <w:rPr>
          <w:rFonts w:ascii="Calibri" w:eastAsiaTheme="minorHAnsi" w:hAnsi="Calibri" w:cs="Calibri"/>
          <w:lang w:eastAsia="en-US"/>
        </w:rPr>
      </w:pPr>
      <w:hyperlink r:id="rId13" w:history="1">
        <w:r w:rsidRPr="001C595B">
          <w:rPr>
            <w:rFonts w:ascii="Calibri" w:eastAsiaTheme="minorHAnsi" w:hAnsi="Calibri" w:cs="Calibri"/>
            <w:lang w:eastAsia="en-US"/>
          </w:rPr>
          <w:t>https://www.claims.co.uk/knowledge-base/offences/points-to-prove-theft</w:t>
        </w:r>
      </w:hyperlink>
    </w:p>
    <w:p w14:paraId="297F5D26" w14:textId="77777777" w:rsidR="001C595B" w:rsidRPr="001C595B" w:rsidRDefault="001C595B"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Accessed on 01.05.2024.</w:t>
      </w:r>
    </w:p>
    <w:p w14:paraId="76F60A8E" w14:textId="77777777" w:rsidR="001C595B" w:rsidRPr="001C595B" w:rsidRDefault="001C595B" w:rsidP="001C595B">
      <w:pPr>
        <w:pStyle w:val="NoSpacing"/>
        <w:spacing w:line="276" w:lineRule="auto"/>
        <w:rPr>
          <w:rFonts w:ascii="Calibri" w:eastAsiaTheme="minorHAnsi" w:hAnsi="Calibri" w:cs="Calibri"/>
          <w:lang w:eastAsia="en-US"/>
        </w:rPr>
      </w:pPr>
    </w:p>
    <w:p w14:paraId="3F75F37B" w14:textId="3E0C3FBD" w:rsidR="001C595B" w:rsidRPr="001C595B" w:rsidRDefault="001C595B"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Noble solicitors (2018), Defining Dishonesty. Available at:</w:t>
      </w:r>
    </w:p>
    <w:p w14:paraId="2B0A8D0D" w14:textId="77777777" w:rsidR="001C595B" w:rsidRPr="001C595B" w:rsidRDefault="001C595B" w:rsidP="001C595B">
      <w:pPr>
        <w:pStyle w:val="NoSpacing"/>
        <w:spacing w:line="276" w:lineRule="auto"/>
        <w:rPr>
          <w:rFonts w:ascii="Calibri" w:eastAsiaTheme="minorHAnsi" w:hAnsi="Calibri" w:cs="Calibri"/>
          <w:lang w:eastAsia="en-US"/>
        </w:rPr>
      </w:pPr>
      <w:hyperlink r:id="rId14" w:history="1">
        <w:r w:rsidRPr="001C595B">
          <w:rPr>
            <w:rFonts w:ascii="Calibri" w:eastAsiaTheme="minorHAnsi" w:hAnsi="Calibri" w:cs="Calibri"/>
            <w:lang w:eastAsia="en-US"/>
          </w:rPr>
          <w:t>https://www.noblesolicitors.co.uk/about/indepth-theft.html#:~:text=Defining%20dishonesty&amp;text=An%20individual%20takes%20possession%20of,the%20appropriation%20and%20the%20circumstances.</w:t>
        </w:r>
      </w:hyperlink>
    </w:p>
    <w:p w14:paraId="25B2E6F8" w14:textId="5063EF1F" w:rsidR="001C595B" w:rsidRPr="001C595B" w:rsidRDefault="001C595B" w:rsidP="001C595B">
      <w:pPr>
        <w:pStyle w:val="NoSpacing"/>
        <w:spacing w:line="276" w:lineRule="auto"/>
        <w:rPr>
          <w:rFonts w:ascii="Calibri" w:hAnsi="Calibri" w:cs="Calibri"/>
        </w:rPr>
      </w:pPr>
      <w:r w:rsidRPr="001C595B">
        <w:rPr>
          <w:rFonts w:ascii="Calibri" w:eastAsiaTheme="minorHAnsi" w:hAnsi="Calibri" w:cs="Calibri"/>
          <w:lang w:eastAsia="en-US"/>
        </w:rPr>
        <w:t xml:space="preserve">Accessed on </w:t>
      </w:r>
      <w:r w:rsidRPr="001C595B">
        <w:rPr>
          <w:rFonts w:ascii="Calibri" w:eastAsiaTheme="minorHAnsi" w:hAnsi="Calibri" w:cs="Calibri"/>
          <w:lang w:eastAsia="en-US"/>
        </w:rPr>
        <w:t>01.05.2024.</w:t>
      </w:r>
    </w:p>
    <w:p w14:paraId="6E48AA9C" w14:textId="77777777" w:rsidR="001C595B" w:rsidRPr="001C595B" w:rsidRDefault="001C595B" w:rsidP="001C595B">
      <w:pPr>
        <w:pStyle w:val="NoSpacing"/>
        <w:spacing w:line="276" w:lineRule="auto"/>
        <w:rPr>
          <w:rFonts w:ascii="Calibri" w:eastAsiaTheme="minorHAnsi" w:hAnsi="Calibri" w:cs="Calibri"/>
          <w:lang w:eastAsia="en-US"/>
        </w:rPr>
      </w:pPr>
    </w:p>
    <w:p w14:paraId="2F9969AF" w14:textId="7B97168A"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The Supreme Court (2017), Ivey (Appellant) v Genting Casinos (UK) Ltd t/a Crockfords (Respondent</w:t>
      </w:r>
      <w:r w:rsidR="00E0361C" w:rsidRPr="001C595B">
        <w:rPr>
          <w:rFonts w:ascii="Calibri" w:eastAsiaTheme="minorHAnsi" w:hAnsi="Calibri" w:cs="Calibri"/>
          <w:lang w:eastAsia="en-US"/>
        </w:rPr>
        <w:t>). Available</w:t>
      </w:r>
      <w:r w:rsidRPr="001C595B">
        <w:rPr>
          <w:rFonts w:ascii="Calibri" w:eastAsiaTheme="minorHAnsi" w:hAnsi="Calibri" w:cs="Calibri"/>
          <w:lang w:eastAsia="en-US"/>
        </w:rPr>
        <w:t xml:space="preserve"> at:</w:t>
      </w:r>
    </w:p>
    <w:p w14:paraId="2B7834F8" w14:textId="77777777" w:rsidR="00056581" w:rsidRPr="001C595B" w:rsidRDefault="00056581" w:rsidP="001C595B">
      <w:pPr>
        <w:pStyle w:val="NoSpacing"/>
        <w:spacing w:line="276" w:lineRule="auto"/>
        <w:rPr>
          <w:rFonts w:ascii="Calibri" w:eastAsiaTheme="minorHAnsi" w:hAnsi="Calibri" w:cs="Calibri"/>
          <w:lang w:eastAsia="en-US"/>
        </w:rPr>
      </w:pPr>
      <w:hyperlink r:id="rId15" w:history="1">
        <w:r w:rsidRPr="001C595B">
          <w:rPr>
            <w:rFonts w:ascii="Calibri" w:eastAsiaTheme="minorHAnsi" w:hAnsi="Calibri" w:cs="Calibri"/>
            <w:lang w:eastAsia="en-US"/>
          </w:rPr>
          <w:t>https://www.supremecourt.uk/cases/uksc-2016-0213.html</w:t>
        </w:r>
      </w:hyperlink>
    </w:p>
    <w:p w14:paraId="3D94D221" w14:textId="76ACB649"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 xml:space="preserve">Accessed on </w:t>
      </w:r>
      <w:r w:rsidR="00E0361C" w:rsidRPr="001C595B">
        <w:rPr>
          <w:rFonts w:ascii="Calibri" w:eastAsiaTheme="minorHAnsi" w:hAnsi="Calibri" w:cs="Calibri"/>
          <w:lang w:eastAsia="en-US"/>
        </w:rPr>
        <w:t>01.05.2024.</w:t>
      </w:r>
    </w:p>
    <w:p w14:paraId="114E1322" w14:textId="77777777" w:rsidR="00056581" w:rsidRPr="001C595B" w:rsidRDefault="00056581" w:rsidP="001C595B">
      <w:pPr>
        <w:pStyle w:val="NoSpacing"/>
        <w:spacing w:line="276" w:lineRule="auto"/>
        <w:rPr>
          <w:rFonts w:ascii="Calibri" w:eastAsiaTheme="minorHAnsi" w:hAnsi="Calibri" w:cs="Calibri"/>
          <w:lang w:eastAsia="en-US"/>
        </w:rPr>
      </w:pPr>
    </w:p>
    <w:p w14:paraId="7B40BC57" w14:textId="77777777"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UOLLB (2023), Subjective Test vs Objective Test. Available at:</w:t>
      </w:r>
    </w:p>
    <w:p w14:paraId="7D865042" w14:textId="77777777" w:rsidR="00056581" w:rsidRPr="001C595B" w:rsidRDefault="00056581" w:rsidP="001C595B">
      <w:pPr>
        <w:pStyle w:val="NoSpacing"/>
        <w:spacing w:line="276" w:lineRule="auto"/>
        <w:rPr>
          <w:rFonts w:ascii="Calibri" w:eastAsiaTheme="minorHAnsi" w:hAnsi="Calibri" w:cs="Calibri"/>
          <w:lang w:eastAsia="en-US"/>
        </w:rPr>
      </w:pPr>
      <w:hyperlink r:id="rId16" w:history="1">
        <w:r w:rsidRPr="001C595B">
          <w:rPr>
            <w:rFonts w:ascii="Calibri" w:eastAsiaTheme="minorHAnsi" w:hAnsi="Calibri" w:cs="Calibri"/>
            <w:lang w:eastAsia="en-US"/>
          </w:rPr>
          <w:t>https://uollb.com/blog/law/subjective-test-vs-objective-test#</w:t>
        </w:r>
      </w:hyperlink>
    </w:p>
    <w:p w14:paraId="24C20185" w14:textId="6BC09ACA" w:rsidR="00056581" w:rsidRPr="001C595B" w:rsidRDefault="00056581" w:rsidP="001C595B">
      <w:pPr>
        <w:pStyle w:val="NoSpacing"/>
        <w:spacing w:line="276" w:lineRule="auto"/>
        <w:rPr>
          <w:rFonts w:ascii="Calibri" w:eastAsiaTheme="minorHAnsi" w:hAnsi="Calibri" w:cs="Calibri"/>
          <w:lang w:eastAsia="en-US"/>
        </w:rPr>
      </w:pPr>
      <w:r w:rsidRPr="001C595B">
        <w:rPr>
          <w:rFonts w:ascii="Calibri" w:eastAsiaTheme="minorHAnsi" w:hAnsi="Calibri" w:cs="Calibri"/>
          <w:lang w:eastAsia="en-US"/>
        </w:rPr>
        <w:t xml:space="preserve">Accessed on </w:t>
      </w:r>
      <w:r w:rsidR="00E0361C" w:rsidRPr="001C595B">
        <w:rPr>
          <w:rFonts w:ascii="Calibri" w:eastAsiaTheme="minorHAnsi" w:hAnsi="Calibri" w:cs="Calibri"/>
          <w:lang w:eastAsia="en-US"/>
        </w:rPr>
        <w:t>01.05.2423.</w:t>
      </w:r>
    </w:p>
    <w:p w14:paraId="41C10370" w14:textId="77777777" w:rsidR="00056581" w:rsidRDefault="00056581" w:rsidP="00056581">
      <w:pPr>
        <w:autoSpaceDE w:val="0"/>
        <w:autoSpaceDN w:val="0"/>
        <w:adjustRightInd w:val="0"/>
        <w:rPr>
          <w:rFonts w:ascii="AppleSystemUIFont" w:eastAsiaTheme="minorHAnsi" w:hAnsi="AppleSystemUIFont" w:cs="AppleSystemUIFont"/>
          <w:sz w:val="26"/>
          <w:szCs w:val="26"/>
          <w:lang w:eastAsia="en-US"/>
          <w14:ligatures w14:val="standardContextual"/>
        </w:rPr>
      </w:pPr>
    </w:p>
    <w:p w14:paraId="28F7BBB4" w14:textId="77777777" w:rsidR="0019099C" w:rsidRDefault="0019099C" w:rsidP="00872532">
      <w:pPr>
        <w:spacing w:after="100" w:afterAutospacing="1"/>
        <w:rPr>
          <w:rFonts w:ascii="Segoe UI" w:hAnsi="Segoe UI" w:cs="Segoe UI"/>
          <w:color w:val="212529"/>
        </w:rPr>
      </w:pPr>
    </w:p>
    <w:p w14:paraId="019A81E3" w14:textId="77777777" w:rsidR="00872532" w:rsidRPr="00872532" w:rsidRDefault="00872532" w:rsidP="00872532"/>
    <w:p w14:paraId="2144DDFD" w14:textId="77777777" w:rsidR="00872532" w:rsidRDefault="00872532"/>
    <w:sectPr w:rsidR="0087253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AAF83" w14:textId="77777777" w:rsidR="00B868A3" w:rsidRDefault="00B868A3" w:rsidP="002916D8">
      <w:r>
        <w:separator/>
      </w:r>
    </w:p>
  </w:endnote>
  <w:endnote w:type="continuationSeparator" w:id="0">
    <w:p w14:paraId="73FC0667" w14:textId="77777777" w:rsidR="00B868A3" w:rsidRDefault="00B868A3" w:rsidP="00291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A817D" w14:textId="77777777" w:rsidR="00B868A3" w:rsidRDefault="00B868A3" w:rsidP="002916D8">
      <w:r>
        <w:separator/>
      </w:r>
    </w:p>
  </w:footnote>
  <w:footnote w:type="continuationSeparator" w:id="0">
    <w:p w14:paraId="1EEC2C03" w14:textId="77777777" w:rsidR="00B868A3" w:rsidRDefault="00B868A3" w:rsidP="00291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636D2" w14:textId="246DB9FB" w:rsidR="002916D8" w:rsidRPr="002916D8" w:rsidRDefault="002916D8">
    <w:pPr>
      <w:pStyle w:val="Header"/>
      <w:rPr>
        <w:rFonts w:ascii="Calibri" w:hAnsi="Calibri" w:cs="Calibri"/>
      </w:rPr>
    </w:pPr>
    <w:r w:rsidRPr="002916D8">
      <w:rPr>
        <w:rFonts w:ascii="Calibri" w:hAnsi="Calibri" w:cs="Calibri"/>
      </w:rPr>
      <w:t>Diana Demeterova.                                                                                                            Criminal</w:t>
    </w:r>
    <w:r>
      <w:rPr>
        <w:rFonts w:ascii="Calibri" w:hAnsi="Calibri" w:cs="Calibri"/>
      </w:rPr>
      <w:t xml:space="preserve"> Law </w:t>
    </w:r>
  </w:p>
  <w:p w14:paraId="36FC8A40" w14:textId="2DA40670" w:rsidR="002916D8" w:rsidRPr="002916D8" w:rsidRDefault="002916D8">
    <w:pPr>
      <w:pStyle w:val="Header"/>
      <w:rPr>
        <w:rFonts w:ascii="Calibri" w:hAnsi="Calibri" w:cs="Calibri"/>
      </w:rPr>
    </w:pPr>
    <w:r w:rsidRPr="002916D8">
      <w:rPr>
        <w:rFonts w:ascii="Calibri" w:hAnsi="Calibri" w:cs="Calibri"/>
      </w:rPr>
      <w:t xml:space="preserve">  2314066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60BF5"/>
    <w:multiLevelType w:val="multilevel"/>
    <w:tmpl w:val="F294B2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AC05F2"/>
    <w:multiLevelType w:val="multilevel"/>
    <w:tmpl w:val="AF8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0A387C"/>
    <w:multiLevelType w:val="multilevel"/>
    <w:tmpl w:val="62B8A8EA"/>
    <w:lvl w:ilvl="0">
      <w:start w:val="4"/>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15:restartNumberingAfterBreak="0">
    <w:nsid w:val="698E283D"/>
    <w:multiLevelType w:val="multilevel"/>
    <w:tmpl w:val="DF60E970"/>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50E6AAF"/>
    <w:multiLevelType w:val="multilevel"/>
    <w:tmpl w:val="04E06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079894">
    <w:abstractNumId w:val="4"/>
  </w:num>
  <w:num w:numId="2" w16cid:durableId="90123379">
    <w:abstractNumId w:val="0"/>
  </w:num>
  <w:num w:numId="3" w16cid:durableId="260531395">
    <w:abstractNumId w:val="3"/>
  </w:num>
  <w:num w:numId="4" w16cid:durableId="1612976667">
    <w:abstractNumId w:val="2"/>
  </w:num>
  <w:num w:numId="5" w16cid:durableId="1198423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D8"/>
    <w:rsid w:val="000144D1"/>
    <w:rsid w:val="00035368"/>
    <w:rsid w:val="0004595A"/>
    <w:rsid w:val="00047D52"/>
    <w:rsid w:val="00056581"/>
    <w:rsid w:val="0007342D"/>
    <w:rsid w:val="00097914"/>
    <w:rsid w:val="000A19A3"/>
    <w:rsid w:val="000A75D7"/>
    <w:rsid w:val="000D196C"/>
    <w:rsid w:val="000D1CCC"/>
    <w:rsid w:val="000D2429"/>
    <w:rsid w:val="000D44A0"/>
    <w:rsid w:val="000E028C"/>
    <w:rsid w:val="000F059B"/>
    <w:rsid w:val="000F5AD1"/>
    <w:rsid w:val="000F630E"/>
    <w:rsid w:val="000F7EB4"/>
    <w:rsid w:val="0010187C"/>
    <w:rsid w:val="00113DE2"/>
    <w:rsid w:val="00116EE1"/>
    <w:rsid w:val="001207D4"/>
    <w:rsid w:val="00136DA8"/>
    <w:rsid w:val="001415BB"/>
    <w:rsid w:val="00154495"/>
    <w:rsid w:val="00157463"/>
    <w:rsid w:val="0019099C"/>
    <w:rsid w:val="00190E2A"/>
    <w:rsid w:val="001B1C37"/>
    <w:rsid w:val="001C595B"/>
    <w:rsid w:val="001F2969"/>
    <w:rsid w:val="0020288B"/>
    <w:rsid w:val="00206F9C"/>
    <w:rsid w:val="00207AE7"/>
    <w:rsid w:val="002447F1"/>
    <w:rsid w:val="002529FD"/>
    <w:rsid w:val="00256353"/>
    <w:rsid w:val="0027163E"/>
    <w:rsid w:val="00273754"/>
    <w:rsid w:val="002916D8"/>
    <w:rsid w:val="00291FA2"/>
    <w:rsid w:val="002C705B"/>
    <w:rsid w:val="002E674C"/>
    <w:rsid w:val="002F2E90"/>
    <w:rsid w:val="00306290"/>
    <w:rsid w:val="00307501"/>
    <w:rsid w:val="00324F8E"/>
    <w:rsid w:val="00376A30"/>
    <w:rsid w:val="00393E24"/>
    <w:rsid w:val="003C6620"/>
    <w:rsid w:val="003D147B"/>
    <w:rsid w:val="00410427"/>
    <w:rsid w:val="00433C15"/>
    <w:rsid w:val="00434675"/>
    <w:rsid w:val="00443223"/>
    <w:rsid w:val="004445D2"/>
    <w:rsid w:val="00454F4F"/>
    <w:rsid w:val="00470BEF"/>
    <w:rsid w:val="00487F06"/>
    <w:rsid w:val="004A6803"/>
    <w:rsid w:val="004A6DE9"/>
    <w:rsid w:val="004A7FC2"/>
    <w:rsid w:val="004C3BAB"/>
    <w:rsid w:val="004E175C"/>
    <w:rsid w:val="004E218F"/>
    <w:rsid w:val="00524419"/>
    <w:rsid w:val="005319C1"/>
    <w:rsid w:val="005375E8"/>
    <w:rsid w:val="0057612A"/>
    <w:rsid w:val="005A18AD"/>
    <w:rsid w:val="005B70FC"/>
    <w:rsid w:val="005C6AD1"/>
    <w:rsid w:val="005D764D"/>
    <w:rsid w:val="00610F52"/>
    <w:rsid w:val="00616BD7"/>
    <w:rsid w:val="00657FC2"/>
    <w:rsid w:val="0066485B"/>
    <w:rsid w:val="00680DD6"/>
    <w:rsid w:val="00685B41"/>
    <w:rsid w:val="00687508"/>
    <w:rsid w:val="006A1B7C"/>
    <w:rsid w:val="006B2190"/>
    <w:rsid w:val="006B3219"/>
    <w:rsid w:val="006C0BB5"/>
    <w:rsid w:val="006C748B"/>
    <w:rsid w:val="006D3E6E"/>
    <w:rsid w:val="00703005"/>
    <w:rsid w:val="00721F8F"/>
    <w:rsid w:val="00732C66"/>
    <w:rsid w:val="0074549F"/>
    <w:rsid w:val="00752720"/>
    <w:rsid w:val="00754FD5"/>
    <w:rsid w:val="0076240C"/>
    <w:rsid w:val="007775F3"/>
    <w:rsid w:val="0078557B"/>
    <w:rsid w:val="007A4A50"/>
    <w:rsid w:val="007B1F53"/>
    <w:rsid w:val="007B5E7F"/>
    <w:rsid w:val="007B7B89"/>
    <w:rsid w:val="007F133D"/>
    <w:rsid w:val="007F5FC8"/>
    <w:rsid w:val="008170C8"/>
    <w:rsid w:val="00821083"/>
    <w:rsid w:val="00821D72"/>
    <w:rsid w:val="008234BC"/>
    <w:rsid w:val="008472DA"/>
    <w:rsid w:val="008659D3"/>
    <w:rsid w:val="00872532"/>
    <w:rsid w:val="00885D83"/>
    <w:rsid w:val="00891E8C"/>
    <w:rsid w:val="00893D86"/>
    <w:rsid w:val="0089676E"/>
    <w:rsid w:val="008A16E8"/>
    <w:rsid w:val="008B67C1"/>
    <w:rsid w:val="008C2F6E"/>
    <w:rsid w:val="008D2C7E"/>
    <w:rsid w:val="008E4158"/>
    <w:rsid w:val="0091552A"/>
    <w:rsid w:val="00933DD7"/>
    <w:rsid w:val="00936F44"/>
    <w:rsid w:val="00952C77"/>
    <w:rsid w:val="009830BE"/>
    <w:rsid w:val="009A23F7"/>
    <w:rsid w:val="009A35E4"/>
    <w:rsid w:val="009A6D3D"/>
    <w:rsid w:val="009C6311"/>
    <w:rsid w:val="009D392A"/>
    <w:rsid w:val="009E6690"/>
    <w:rsid w:val="00A04BBE"/>
    <w:rsid w:val="00A17F2B"/>
    <w:rsid w:val="00A3679F"/>
    <w:rsid w:val="00A36897"/>
    <w:rsid w:val="00A63284"/>
    <w:rsid w:val="00A72276"/>
    <w:rsid w:val="00AA1DF7"/>
    <w:rsid w:val="00AC31ED"/>
    <w:rsid w:val="00AC6ACA"/>
    <w:rsid w:val="00AE2F1D"/>
    <w:rsid w:val="00AE3529"/>
    <w:rsid w:val="00B01E1C"/>
    <w:rsid w:val="00B02788"/>
    <w:rsid w:val="00B04E60"/>
    <w:rsid w:val="00B166F8"/>
    <w:rsid w:val="00B42294"/>
    <w:rsid w:val="00B422C6"/>
    <w:rsid w:val="00B4436F"/>
    <w:rsid w:val="00B71DBB"/>
    <w:rsid w:val="00B868A3"/>
    <w:rsid w:val="00B966B3"/>
    <w:rsid w:val="00BB6569"/>
    <w:rsid w:val="00BD4B88"/>
    <w:rsid w:val="00BE0429"/>
    <w:rsid w:val="00BE0CAB"/>
    <w:rsid w:val="00BE7C8B"/>
    <w:rsid w:val="00C5679B"/>
    <w:rsid w:val="00C6267D"/>
    <w:rsid w:val="00CA1D8F"/>
    <w:rsid w:val="00CB06AE"/>
    <w:rsid w:val="00CF25FC"/>
    <w:rsid w:val="00CF5B33"/>
    <w:rsid w:val="00D16247"/>
    <w:rsid w:val="00D16BA0"/>
    <w:rsid w:val="00D26523"/>
    <w:rsid w:val="00D44CA4"/>
    <w:rsid w:val="00D501C0"/>
    <w:rsid w:val="00D8634F"/>
    <w:rsid w:val="00D92853"/>
    <w:rsid w:val="00D96BE0"/>
    <w:rsid w:val="00DC1C37"/>
    <w:rsid w:val="00DD7EF3"/>
    <w:rsid w:val="00DE323E"/>
    <w:rsid w:val="00E0361C"/>
    <w:rsid w:val="00E13893"/>
    <w:rsid w:val="00E26BF7"/>
    <w:rsid w:val="00E30772"/>
    <w:rsid w:val="00E315AF"/>
    <w:rsid w:val="00E42D3D"/>
    <w:rsid w:val="00E63DE3"/>
    <w:rsid w:val="00EB753C"/>
    <w:rsid w:val="00EC724E"/>
    <w:rsid w:val="00F030D0"/>
    <w:rsid w:val="00F0384A"/>
    <w:rsid w:val="00F05DC2"/>
    <w:rsid w:val="00F17287"/>
    <w:rsid w:val="00F55C88"/>
    <w:rsid w:val="00F83671"/>
    <w:rsid w:val="00F95EC8"/>
    <w:rsid w:val="00FC2722"/>
    <w:rsid w:val="00FC4FCE"/>
    <w:rsid w:val="00FD1F2E"/>
    <w:rsid w:val="00FE1AB9"/>
    <w:rsid w:val="00FE5226"/>
    <w:rsid w:val="00FE722A"/>
    <w:rsid w:val="00FF5B1E"/>
    <w:rsid w:val="00FF7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6BDA17"/>
  <w15:chartTrackingRefBased/>
  <w15:docId w15:val="{370D193A-BA51-7E48-8447-EB034D69D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63E"/>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916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6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6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6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6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6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6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6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6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6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6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6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6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6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6D8"/>
    <w:rPr>
      <w:rFonts w:eastAsiaTheme="majorEastAsia" w:cstheme="majorBidi"/>
      <w:color w:val="272727" w:themeColor="text1" w:themeTint="D8"/>
    </w:rPr>
  </w:style>
  <w:style w:type="paragraph" w:styleId="Title">
    <w:name w:val="Title"/>
    <w:basedOn w:val="Normal"/>
    <w:next w:val="Normal"/>
    <w:link w:val="TitleChar"/>
    <w:uiPriority w:val="10"/>
    <w:qFormat/>
    <w:rsid w:val="002916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6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6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16D8"/>
    <w:rPr>
      <w:i/>
      <w:iCs/>
      <w:color w:val="404040" w:themeColor="text1" w:themeTint="BF"/>
    </w:rPr>
  </w:style>
  <w:style w:type="paragraph" w:styleId="ListParagraph">
    <w:name w:val="List Paragraph"/>
    <w:basedOn w:val="Normal"/>
    <w:uiPriority w:val="34"/>
    <w:qFormat/>
    <w:rsid w:val="002916D8"/>
    <w:pPr>
      <w:ind w:left="720"/>
      <w:contextualSpacing/>
    </w:pPr>
  </w:style>
  <w:style w:type="character" w:styleId="IntenseEmphasis">
    <w:name w:val="Intense Emphasis"/>
    <w:basedOn w:val="DefaultParagraphFont"/>
    <w:uiPriority w:val="21"/>
    <w:qFormat/>
    <w:rsid w:val="002916D8"/>
    <w:rPr>
      <w:i/>
      <w:iCs/>
      <w:color w:val="0F4761" w:themeColor="accent1" w:themeShade="BF"/>
    </w:rPr>
  </w:style>
  <w:style w:type="paragraph" w:styleId="IntenseQuote">
    <w:name w:val="Intense Quote"/>
    <w:basedOn w:val="Normal"/>
    <w:next w:val="Normal"/>
    <w:link w:val="IntenseQuoteChar"/>
    <w:uiPriority w:val="30"/>
    <w:qFormat/>
    <w:rsid w:val="002916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6D8"/>
    <w:rPr>
      <w:i/>
      <w:iCs/>
      <w:color w:val="0F4761" w:themeColor="accent1" w:themeShade="BF"/>
    </w:rPr>
  </w:style>
  <w:style w:type="character" w:styleId="IntenseReference">
    <w:name w:val="Intense Reference"/>
    <w:basedOn w:val="DefaultParagraphFont"/>
    <w:uiPriority w:val="32"/>
    <w:qFormat/>
    <w:rsid w:val="002916D8"/>
    <w:rPr>
      <w:b/>
      <w:bCs/>
      <w:smallCaps/>
      <w:color w:val="0F4761" w:themeColor="accent1" w:themeShade="BF"/>
      <w:spacing w:val="5"/>
    </w:rPr>
  </w:style>
  <w:style w:type="paragraph" w:styleId="Header">
    <w:name w:val="header"/>
    <w:basedOn w:val="Normal"/>
    <w:link w:val="HeaderChar"/>
    <w:uiPriority w:val="99"/>
    <w:unhideWhenUsed/>
    <w:rsid w:val="002916D8"/>
    <w:pPr>
      <w:tabs>
        <w:tab w:val="center" w:pos="4513"/>
        <w:tab w:val="right" w:pos="9026"/>
      </w:tabs>
    </w:pPr>
  </w:style>
  <w:style w:type="character" w:customStyle="1" w:styleId="HeaderChar">
    <w:name w:val="Header Char"/>
    <w:basedOn w:val="DefaultParagraphFont"/>
    <w:link w:val="Header"/>
    <w:uiPriority w:val="99"/>
    <w:rsid w:val="002916D8"/>
  </w:style>
  <w:style w:type="paragraph" w:styleId="Footer">
    <w:name w:val="footer"/>
    <w:basedOn w:val="Normal"/>
    <w:link w:val="FooterChar"/>
    <w:uiPriority w:val="99"/>
    <w:unhideWhenUsed/>
    <w:rsid w:val="002916D8"/>
    <w:pPr>
      <w:tabs>
        <w:tab w:val="center" w:pos="4513"/>
        <w:tab w:val="right" w:pos="9026"/>
      </w:tabs>
    </w:pPr>
  </w:style>
  <w:style w:type="character" w:customStyle="1" w:styleId="FooterChar">
    <w:name w:val="Footer Char"/>
    <w:basedOn w:val="DefaultParagraphFont"/>
    <w:link w:val="Footer"/>
    <w:uiPriority w:val="99"/>
    <w:rsid w:val="002916D8"/>
  </w:style>
  <w:style w:type="paragraph" w:styleId="NormalWeb">
    <w:name w:val="Normal (Web)"/>
    <w:basedOn w:val="Normal"/>
    <w:uiPriority w:val="99"/>
    <w:semiHidden/>
    <w:unhideWhenUsed/>
    <w:rsid w:val="000F5AD1"/>
    <w:pPr>
      <w:spacing w:before="100" w:beforeAutospacing="1" w:after="100" w:afterAutospacing="1"/>
    </w:pPr>
  </w:style>
  <w:style w:type="character" w:customStyle="1" w:styleId="apple-converted-space">
    <w:name w:val="apple-converted-space"/>
    <w:basedOn w:val="DefaultParagraphFont"/>
    <w:rsid w:val="00EC724E"/>
  </w:style>
  <w:style w:type="character" w:styleId="Strong">
    <w:name w:val="Strong"/>
    <w:basedOn w:val="DefaultParagraphFont"/>
    <w:uiPriority w:val="22"/>
    <w:qFormat/>
    <w:rsid w:val="00F05DC2"/>
    <w:rPr>
      <w:b/>
      <w:bCs/>
    </w:rPr>
  </w:style>
  <w:style w:type="character" w:styleId="Hyperlink">
    <w:name w:val="Hyperlink"/>
    <w:basedOn w:val="DefaultParagraphFont"/>
    <w:uiPriority w:val="99"/>
    <w:semiHidden/>
    <w:unhideWhenUsed/>
    <w:rsid w:val="00F05DC2"/>
    <w:rPr>
      <w:color w:val="0000FF"/>
      <w:u w:val="single"/>
    </w:rPr>
  </w:style>
  <w:style w:type="paragraph" w:styleId="NoSpacing">
    <w:name w:val="No Spacing"/>
    <w:uiPriority w:val="1"/>
    <w:qFormat/>
    <w:rsid w:val="008C2F6E"/>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3475">
      <w:bodyDiv w:val="1"/>
      <w:marLeft w:val="0"/>
      <w:marRight w:val="0"/>
      <w:marTop w:val="0"/>
      <w:marBottom w:val="0"/>
      <w:divBdr>
        <w:top w:val="none" w:sz="0" w:space="0" w:color="auto"/>
        <w:left w:val="none" w:sz="0" w:space="0" w:color="auto"/>
        <w:bottom w:val="none" w:sz="0" w:space="0" w:color="auto"/>
        <w:right w:val="none" w:sz="0" w:space="0" w:color="auto"/>
      </w:divBdr>
    </w:div>
    <w:div w:id="386301702">
      <w:bodyDiv w:val="1"/>
      <w:marLeft w:val="0"/>
      <w:marRight w:val="0"/>
      <w:marTop w:val="0"/>
      <w:marBottom w:val="0"/>
      <w:divBdr>
        <w:top w:val="none" w:sz="0" w:space="0" w:color="auto"/>
        <w:left w:val="none" w:sz="0" w:space="0" w:color="auto"/>
        <w:bottom w:val="none" w:sz="0" w:space="0" w:color="auto"/>
        <w:right w:val="none" w:sz="0" w:space="0" w:color="auto"/>
      </w:divBdr>
      <w:divsChild>
        <w:div w:id="1706366521">
          <w:marLeft w:val="0"/>
          <w:marRight w:val="0"/>
          <w:marTop w:val="0"/>
          <w:marBottom w:val="0"/>
          <w:divBdr>
            <w:top w:val="none" w:sz="0" w:space="0" w:color="auto"/>
            <w:left w:val="none" w:sz="0" w:space="0" w:color="auto"/>
            <w:bottom w:val="none" w:sz="0" w:space="0" w:color="auto"/>
            <w:right w:val="none" w:sz="0" w:space="0" w:color="auto"/>
          </w:divBdr>
        </w:div>
        <w:div w:id="305357881">
          <w:marLeft w:val="0"/>
          <w:marRight w:val="0"/>
          <w:marTop w:val="0"/>
          <w:marBottom w:val="0"/>
          <w:divBdr>
            <w:top w:val="none" w:sz="0" w:space="0" w:color="auto"/>
            <w:left w:val="none" w:sz="0" w:space="0" w:color="auto"/>
            <w:bottom w:val="none" w:sz="0" w:space="0" w:color="auto"/>
            <w:right w:val="none" w:sz="0" w:space="0" w:color="auto"/>
          </w:divBdr>
        </w:div>
      </w:divsChild>
    </w:div>
    <w:div w:id="959605209">
      <w:bodyDiv w:val="1"/>
      <w:marLeft w:val="0"/>
      <w:marRight w:val="0"/>
      <w:marTop w:val="0"/>
      <w:marBottom w:val="0"/>
      <w:divBdr>
        <w:top w:val="none" w:sz="0" w:space="0" w:color="auto"/>
        <w:left w:val="none" w:sz="0" w:space="0" w:color="auto"/>
        <w:bottom w:val="none" w:sz="0" w:space="0" w:color="auto"/>
        <w:right w:val="none" w:sz="0" w:space="0" w:color="auto"/>
      </w:divBdr>
    </w:div>
    <w:div w:id="1122923985">
      <w:bodyDiv w:val="1"/>
      <w:marLeft w:val="0"/>
      <w:marRight w:val="0"/>
      <w:marTop w:val="0"/>
      <w:marBottom w:val="0"/>
      <w:divBdr>
        <w:top w:val="none" w:sz="0" w:space="0" w:color="auto"/>
        <w:left w:val="none" w:sz="0" w:space="0" w:color="auto"/>
        <w:bottom w:val="none" w:sz="0" w:space="0" w:color="auto"/>
        <w:right w:val="none" w:sz="0" w:space="0" w:color="auto"/>
      </w:divBdr>
    </w:div>
    <w:div w:id="1232888532">
      <w:bodyDiv w:val="1"/>
      <w:marLeft w:val="0"/>
      <w:marRight w:val="0"/>
      <w:marTop w:val="0"/>
      <w:marBottom w:val="0"/>
      <w:divBdr>
        <w:top w:val="none" w:sz="0" w:space="0" w:color="auto"/>
        <w:left w:val="none" w:sz="0" w:space="0" w:color="auto"/>
        <w:bottom w:val="none" w:sz="0" w:space="0" w:color="auto"/>
        <w:right w:val="none" w:sz="0" w:space="0" w:color="auto"/>
      </w:divBdr>
    </w:div>
    <w:div w:id="195058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tion.gov.uk" TargetMode="External"/><Relationship Id="rId13" Type="http://schemas.openxmlformats.org/officeDocument/2006/relationships/hyperlink" Target="https://www.claims.co.uk/knowledge-base/offences/points-to-prove-thef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wteacher.net/cases/r-v-ghosh.php" TargetMode="External"/><Relationship Id="rId12" Type="http://schemas.openxmlformats.org/officeDocument/2006/relationships/hyperlink" Target="https://www.lexisnexis.co.uk/legal/guidance/dishonesty-in-the-criminal-law"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ollb.com/blog/law/subjective-test-vs-objective-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68/60/section/2" TargetMode="External"/><Relationship Id="rId5" Type="http://schemas.openxmlformats.org/officeDocument/2006/relationships/footnotes" Target="footnotes.xml"/><Relationship Id="rId15" Type="http://schemas.openxmlformats.org/officeDocument/2006/relationships/hyperlink" Target="https://www.supremecourt.uk/cases/uksc-2016-0213.html" TargetMode="External"/><Relationship Id="rId10" Type="http://schemas.openxmlformats.org/officeDocument/2006/relationships/hyperlink" Target="http://Legislation.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lation.gov.uk/ukpga/1968/60/section/1#:~:text=(1)A%20person%20is%20guilty,steal%E2%80%9D%20shall%20be%20construed%20accordingly." TargetMode="External"/><Relationship Id="rId14" Type="http://schemas.openxmlformats.org/officeDocument/2006/relationships/hyperlink" Target="https://www.noblesolicitors.co.uk/about/indepth-theft.html#:~:text=Defining%20dishonesty&amp;text=An%20individual%20takes%20possession%20of,the%20appropriation%20and%20the%20circumsta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171</TotalTime>
  <Pages>4</Pages>
  <Words>1790</Words>
  <Characters>9543</Characters>
  <Application>Microsoft Office Word</Application>
  <DocSecurity>0</DocSecurity>
  <Lines>433</Lines>
  <Paragraphs>113</Paragraphs>
  <ScaleCrop>false</ScaleCrop>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 (2314066)</dc:creator>
  <cp:keywords/>
  <dc:description/>
  <cp:lastModifiedBy>Diana Demeterova (2314066)</cp:lastModifiedBy>
  <cp:revision>191</cp:revision>
  <dcterms:created xsi:type="dcterms:W3CDTF">2024-05-01T13:47:00Z</dcterms:created>
  <dcterms:modified xsi:type="dcterms:W3CDTF">2024-05-03T13:34:00Z</dcterms:modified>
</cp:coreProperties>
</file>