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73135" w14:textId="3DA3C880" w:rsidR="00412EE1" w:rsidRDefault="00000000" w:rsidP="00412EE1">
      <w:pPr>
        <w:spacing w:line="360" w:lineRule="auto"/>
        <w:jc w:val="both"/>
        <w:rPr>
          <w:rFonts w:ascii="Arial" w:hAnsi="Arial" w:cs="Arial"/>
          <w:b/>
          <w:sz w:val="24"/>
          <w:szCs w:val="24"/>
          <w:lang w:val="bg-BG"/>
        </w:rPr>
      </w:pPr>
      <w:r w:rsidRPr="00412EE1">
        <w:rPr>
          <w:rFonts w:ascii="Arial" w:hAnsi="Arial" w:cs="Arial"/>
          <w:b/>
          <w:sz w:val="24"/>
          <w:szCs w:val="24"/>
        </w:rPr>
        <w:t xml:space="preserve"> </w:t>
      </w:r>
    </w:p>
    <w:p w14:paraId="5388CE20" w14:textId="2FD29CA6" w:rsidR="00E91BDA" w:rsidRPr="00D21583" w:rsidRDefault="00E91BDA" w:rsidP="00412EE1">
      <w:pPr>
        <w:spacing w:line="360" w:lineRule="auto"/>
        <w:jc w:val="both"/>
        <w:rPr>
          <w:rFonts w:ascii="Arial" w:hAnsi="Arial" w:cs="Arial"/>
          <w:b/>
          <w:sz w:val="24"/>
          <w:szCs w:val="24"/>
          <w:lang w:val="bg-BG"/>
        </w:rPr>
      </w:pPr>
    </w:p>
    <w:p w14:paraId="7278CA41" w14:textId="3B10F503" w:rsidR="00412EE1" w:rsidRDefault="001631B1">
      <w:pPr>
        <w:rPr>
          <w:rFonts w:ascii="Arial" w:hAnsi="Arial" w:cs="Arial"/>
          <w:b/>
          <w:sz w:val="24"/>
          <w:szCs w:val="24"/>
        </w:rPr>
      </w:pPr>
      <w:r>
        <w:rPr>
          <w:noProof/>
        </w:rPr>
        <w:drawing>
          <wp:inline distT="0" distB="0" distL="0" distR="0" wp14:anchorId="14944F95" wp14:editId="5387CF42">
            <wp:extent cx="6311900" cy="5619750"/>
            <wp:effectExtent l="0" t="0" r="0" b="0"/>
            <wp:docPr id="484059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059214" name=""/>
                    <pic:cNvPicPr/>
                  </pic:nvPicPr>
                  <pic:blipFill>
                    <a:blip r:embed="rId8">
                      <a:extLst>
                        <a:ext uri="{96DAC541-7B7A-43D3-8B79-37D633B846F1}">
                          <asvg:svgBlip xmlns:asvg="http://schemas.microsoft.com/office/drawing/2016/SVG/main" r:embed="rId9"/>
                        </a:ext>
                      </a:extLst>
                    </a:blip>
                    <a:stretch>
                      <a:fillRect/>
                    </a:stretch>
                  </pic:blipFill>
                  <pic:spPr>
                    <a:xfrm>
                      <a:off x="0" y="0"/>
                      <a:ext cx="6311900" cy="5619750"/>
                    </a:xfrm>
                    <a:prstGeom prst="rect">
                      <a:avLst/>
                    </a:prstGeom>
                  </pic:spPr>
                </pic:pic>
              </a:graphicData>
            </a:graphic>
          </wp:inline>
        </w:drawing>
      </w:r>
      <w:r w:rsidR="00412EE1">
        <w:rPr>
          <w:rFonts w:ascii="Arial" w:hAnsi="Arial" w:cs="Arial"/>
          <w:b/>
          <w:sz w:val="24"/>
          <w:szCs w:val="24"/>
        </w:rPr>
        <w:br w:type="page"/>
      </w:r>
    </w:p>
    <w:sdt>
      <w:sdtPr>
        <w:rPr>
          <w:rFonts w:asciiTheme="minorHAnsi" w:eastAsiaTheme="minorHAnsi" w:hAnsiTheme="minorHAnsi" w:cstheme="minorBidi"/>
          <w:color w:val="auto"/>
          <w:sz w:val="22"/>
          <w:szCs w:val="22"/>
          <w:lang w:val="en-GB" w:eastAsia="en-US"/>
        </w:rPr>
        <w:id w:val="-1465267738"/>
        <w:docPartObj>
          <w:docPartGallery w:val="Table of Contents"/>
          <w:docPartUnique/>
        </w:docPartObj>
      </w:sdtPr>
      <w:sdtEndPr>
        <w:rPr>
          <w:b/>
          <w:bCs/>
        </w:rPr>
      </w:sdtEndPr>
      <w:sdtContent>
        <w:p w14:paraId="7B214FEA" w14:textId="7663237C" w:rsidR="00412EE1" w:rsidRPr="00412EE1" w:rsidRDefault="00412EE1" w:rsidP="00412EE1">
          <w:pPr>
            <w:pStyle w:val="TOCHeading"/>
            <w:jc w:val="center"/>
            <w:rPr>
              <w:rFonts w:ascii="Arial" w:hAnsi="Arial" w:cs="Arial"/>
              <w:b/>
              <w:bCs/>
              <w:color w:val="auto"/>
              <w:sz w:val="24"/>
              <w:szCs w:val="24"/>
            </w:rPr>
          </w:pPr>
          <w:r w:rsidRPr="00412EE1">
            <w:rPr>
              <w:rFonts w:ascii="Arial" w:hAnsi="Arial" w:cs="Arial"/>
              <w:b/>
              <w:bCs/>
              <w:color w:val="auto"/>
              <w:sz w:val="24"/>
              <w:szCs w:val="24"/>
              <w:lang w:val="en-GB"/>
            </w:rPr>
            <w:t>Contents</w:t>
          </w:r>
        </w:p>
        <w:p w14:paraId="29E81739" w14:textId="1B546452" w:rsidR="00412EE1" w:rsidRDefault="00412EE1">
          <w:pPr>
            <w:pStyle w:val="TOC1"/>
            <w:tabs>
              <w:tab w:val="right" w:leader="dot" w:pos="9396"/>
            </w:tabs>
            <w:rPr>
              <w:noProof/>
            </w:rPr>
          </w:pPr>
          <w:r>
            <w:fldChar w:fldCharType="begin"/>
          </w:r>
          <w:r>
            <w:instrText xml:space="preserve"> TOC \o "1-3" \h \z \u </w:instrText>
          </w:r>
          <w:r>
            <w:fldChar w:fldCharType="separate"/>
          </w:r>
          <w:hyperlink w:anchor="_Toc151555930" w:history="1">
            <w:r w:rsidRPr="003A0AF8">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_Toc151555930 \h </w:instrText>
            </w:r>
            <w:r>
              <w:rPr>
                <w:noProof/>
                <w:webHidden/>
              </w:rPr>
            </w:r>
            <w:r>
              <w:rPr>
                <w:noProof/>
                <w:webHidden/>
              </w:rPr>
              <w:fldChar w:fldCharType="separate"/>
            </w:r>
            <w:r>
              <w:rPr>
                <w:noProof/>
                <w:webHidden/>
              </w:rPr>
              <w:t>3</w:t>
            </w:r>
            <w:r>
              <w:rPr>
                <w:noProof/>
                <w:webHidden/>
              </w:rPr>
              <w:fldChar w:fldCharType="end"/>
            </w:r>
          </w:hyperlink>
        </w:p>
        <w:p w14:paraId="47CFAC24" w14:textId="54E85E4F" w:rsidR="00412EE1" w:rsidRDefault="00000000">
          <w:pPr>
            <w:pStyle w:val="TOC2"/>
            <w:tabs>
              <w:tab w:val="left" w:pos="660"/>
              <w:tab w:val="right" w:leader="dot" w:pos="9396"/>
            </w:tabs>
            <w:rPr>
              <w:noProof/>
            </w:rPr>
          </w:pPr>
          <w:hyperlink w:anchor="_Toc151555931" w:history="1">
            <w:r w:rsidR="00412EE1" w:rsidRPr="003A0AF8">
              <w:rPr>
                <w:rStyle w:val="Hyperlink"/>
                <w:rFonts w:ascii="Arial" w:hAnsi="Arial" w:cs="Arial"/>
                <w:b/>
                <w:noProof/>
              </w:rPr>
              <w:t>1.</w:t>
            </w:r>
            <w:r w:rsidR="00412EE1">
              <w:rPr>
                <w:noProof/>
              </w:rPr>
              <w:tab/>
            </w:r>
            <w:r w:rsidR="00412EE1" w:rsidRPr="003A0AF8">
              <w:rPr>
                <w:rStyle w:val="Hyperlink"/>
                <w:rFonts w:ascii="Arial" w:hAnsi="Arial" w:cs="Arial"/>
                <w:b/>
                <w:noProof/>
              </w:rPr>
              <w:t>Presentation of the project</w:t>
            </w:r>
            <w:r w:rsidR="00412EE1">
              <w:rPr>
                <w:noProof/>
                <w:webHidden/>
              </w:rPr>
              <w:tab/>
            </w:r>
            <w:r w:rsidR="00412EE1">
              <w:rPr>
                <w:noProof/>
                <w:webHidden/>
              </w:rPr>
              <w:fldChar w:fldCharType="begin"/>
            </w:r>
            <w:r w:rsidR="00412EE1">
              <w:rPr>
                <w:noProof/>
                <w:webHidden/>
              </w:rPr>
              <w:instrText xml:space="preserve"> PAGEREF _Toc151555931 \h </w:instrText>
            </w:r>
            <w:r w:rsidR="00412EE1">
              <w:rPr>
                <w:noProof/>
                <w:webHidden/>
              </w:rPr>
            </w:r>
            <w:r w:rsidR="00412EE1">
              <w:rPr>
                <w:noProof/>
                <w:webHidden/>
              </w:rPr>
              <w:fldChar w:fldCharType="separate"/>
            </w:r>
            <w:r w:rsidR="00412EE1">
              <w:rPr>
                <w:noProof/>
                <w:webHidden/>
              </w:rPr>
              <w:t>3</w:t>
            </w:r>
            <w:r w:rsidR="00412EE1">
              <w:rPr>
                <w:noProof/>
                <w:webHidden/>
              </w:rPr>
              <w:fldChar w:fldCharType="end"/>
            </w:r>
          </w:hyperlink>
        </w:p>
        <w:p w14:paraId="050BB108" w14:textId="7D367768" w:rsidR="00412EE1" w:rsidRDefault="00000000">
          <w:pPr>
            <w:pStyle w:val="TOC2"/>
            <w:tabs>
              <w:tab w:val="left" w:pos="660"/>
              <w:tab w:val="right" w:leader="dot" w:pos="9396"/>
            </w:tabs>
            <w:rPr>
              <w:noProof/>
            </w:rPr>
          </w:pPr>
          <w:hyperlink w:anchor="_Toc151555932" w:history="1">
            <w:r w:rsidR="00412EE1" w:rsidRPr="003A0AF8">
              <w:rPr>
                <w:rStyle w:val="Hyperlink"/>
                <w:rFonts w:ascii="Arial" w:hAnsi="Arial" w:cs="Arial"/>
                <w:b/>
                <w:noProof/>
              </w:rPr>
              <w:t>2.</w:t>
            </w:r>
            <w:r w:rsidR="00412EE1">
              <w:rPr>
                <w:noProof/>
              </w:rPr>
              <w:tab/>
            </w:r>
            <w:r w:rsidR="00412EE1" w:rsidRPr="003A0AF8">
              <w:rPr>
                <w:rStyle w:val="Hyperlink"/>
                <w:rFonts w:ascii="Arial" w:hAnsi="Arial" w:cs="Arial"/>
                <w:b/>
                <w:noProof/>
              </w:rPr>
              <w:t>The evaluation of the project plan</w:t>
            </w:r>
            <w:r w:rsidR="00412EE1">
              <w:rPr>
                <w:noProof/>
                <w:webHidden/>
              </w:rPr>
              <w:tab/>
            </w:r>
            <w:r w:rsidR="00412EE1">
              <w:rPr>
                <w:noProof/>
                <w:webHidden/>
              </w:rPr>
              <w:fldChar w:fldCharType="begin"/>
            </w:r>
            <w:r w:rsidR="00412EE1">
              <w:rPr>
                <w:noProof/>
                <w:webHidden/>
              </w:rPr>
              <w:instrText xml:space="preserve"> PAGEREF _Toc151555932 \h </w:instrText>
            </w:r>
            <w:r w:rsidR="00412EE1">
              <w:rPr>
                <w:noProof/>
                <w:webHidden/>
              </w:rPr>
            </w:r>
            <w:r w:rsidR="00412EE1">
              <w:rPr>
                <w:noProof/>
                <w:webHidden/>
              </w:rPr>
              <w:fldChar w:fldCharType="separate"/>
            </w:r>
            <w:r w:rsidR="00412EE1">
              <w:rPr>
                <w:noProof/>
                <w:webHidden/>
              </w:rPr>
              <w:t>8</w:t>
            </w:r>
            <w:r w:rsidR="00412EE1">
              <w:rPr>
                <w:noProof/>
                <w:webHidden/>
              </w:rPr>
              <w:fldChar w:fldCharType="end"/>
            </w:r>
          </w:hyperlink>
        </w:p>
        <w:p w14:paraId="2C932C1E" w14:textId="32E941D2" w:rsidR="00412EE1" w:rsidRDefault="00000000">
          <w:pPr>
            <w:pStyle w:val="TOC2"/>
            <w:tabs>
              <w:tab w:val="left" w:pos="660"/>
              <w:tab w:val="right" w:leader="dot" w:pos="9396"/>
            </w:tabs>
            <w:rPr>
              <w:noProof/>
            </w:rPr>
          </w:pPr>
          <w:hyperlink w:anchor="_Toc151555933" w:history="1">
            <w:r w:rsidR="00412EE1" w:rsidRPr="003A0AF8">
              <w:rPr>
                <w:rStyle w:val="Hyperlink"/>
                <w:rFonts w:ascii="Arial" w:hAnsi="Arial" w:cs="Arial"/>
                <w:b/>
                <w:noProof/>
              </w:rPr>
              <w:t>3.</w:t>
            </w:r>
            <w:r w:rsidR="00412EE1">
              <w:rPr>
                <w:noProof/>
              </w:rPr>
              <w:tab/>
            </w:r>
            <w:r w:rsidR="00412EE1" w:rsidRPr="003A0AF8">
              <w:rPr>
                <w:rStyle w:val="Hyperlink"/>
                <w:rFonts w:ascii="Arial" w:hAnsi="Arial" w:cs="Arial"/>
                <w:b/>
                <w:noProof/>
              </w:rPr>
              <w:t>Conclusion and Recommendation</w:t>
            </w:r>
            <w:r w:rsidR="00412EE1">
              <w:rPr>
                <w:noProof/>
                <w:webHidden/>
              </w:rPr>
              <w:tab/>
            </w:r>
            <w:r w:rsidR="00412EE1">
              <w:rPr>
                <w:noProof/>
                <w:webHidden/>
              </w:rPr>
              <w:fldChar w:fldCharType="begin"/>
            </w:r>
            <w:r w:rsidR="00412EE1">
              <w:rPr>
                <w:noProof/>
                <w:webHidden/>
              </w:rPr>
              <w:instrText xml:space="preserve"> PAGEREF _Toc151555933 \h </w:instrText>
            </w:r>
            <w:r w:rsidR="00412EE1">
              <w:rPr>
                <w:noProof/>
                <w:webHidden/>
              </w:rPr>
            </w:r>
            <w:r w:rsidR="00412EE1">
              <w:rPr>
                <w:noProof/>
                <w:webHidden/>
              </w:rPr>
              <w:fldChar w:fldCharType="separate"/>
            </w:r>
            <w:r w:rsidR="00412EE1">
              <w:rPr>
                <w:noProof/>
                <w:webHidden/>
              </w:rPr>
              <w:t>9</w:t>
            </w:r>
            <w:r w:rsidR="00412EE1">
              <w:rPr>
                <w:noProof/>
                <w:webHidden/>
              </w:rPr>
              <w:fldChar w:fldCharType="end"/>
            </w:r>
          </w:hyperlink>
        </w:p>
        <w:p w14:paraId="251034D2" w14:textId="0E3E51F6" w:rsidR="00412EE1" w:rsidRDefault="00000000">
          <w:pPr>
            <w:pStyle w:val="TOC1"/>
            <w:tabs>
              <w:tab w:val="right" w:leader="dot" w:pos="9396"/>
            </w:tabs>
            <w:rPr>
              <w:noProof/>
            </w:rPr>
          </w:pPr>
          <w:hyperlink w:anchor="_Toc151555934" w:history="1">
            <w:r w:rsidR="00412EE1" w:rsidRPr="003A0AF8">
              <w:rPr>
                <w:rStyle w:val="Hyperlink"/>
                <w:rFonts w:ascii="Arial" w:hAnsi="Arial" w:cs="Arial"/>
                <w:b/>
                <w:noProof/>
              </w:rPr>
              <w:t>References</w:t>
            </w:r>
            <w:r w:rsidR="00412EE1">
              <w:rPr>
                <w:noProof/>
                <w:webHidden/>
              </w:rPr>
              <w:tab/>
            </w:r>
            <w:r w:rsidR="00412EE1">
              <w:rPr>
                <w:noProof/>
                <w:webHidden/>
              </w:rPr>
              <w:fldChar w:fldCharType="begin"/>
            </w:r>
            <w:r w:rsidR="00412EE1">
              <w:rPr>
                <w:noProof/>
                <w:webHidden/>
              </w:rPr>
              <w:instrText xml:space="preserve"> PAGEREF _Toc151555934 \h </w:instrText>
            </w:r>
            <w:r w:rsidR="00412EE1">
              <w:rPr>
                <w:noProof/>
                <w:webHidden/>
              </w:rPr>
            </w:r>
            <w:r w:rsidR="00412EE1">
              <w:rPr>
                <w:noProof/>
                <w:webHidden/>
              </w:rPr>
              <w:fldChar w:fldCharType="separate"/>
            </w:r>
            <w:r w:rsidR="00412EE1">
              <w:rPr>
                <w:noProof/>
                <w:webHidden/>
              </w:rPr>
              <w:t>11</w:t>
            </w:r>
            <w:r w:rsidR="00412EE1">
              <w:rPr>
                <w:noProof/>
                <w:webHidden/>
              </w:rPr>
              <w:fldChar w:fldCharType="end"/>
            </w:r>
          </w:hyperlink>
        </w:p>
        <w:p w14:paraId="4803B646" w14:textId="07DAF7DA" w:rsidR="00412EE1" w:rsidRDefault="00412EE1">
          <w:r>
            <w:rPr>
              <w:b/>
              <w:bCs/>
              <w:lang w:val="en-GB"/>
            </w:rPr>
            <w:fldChar w:fldCharType="end"/>
          </w:r>
        </w:p>
      </w:sdtContent>
    </w:sdt>
    <w:p w14:paraId="51E84E45" w14:textId="51061C4E" w:rsidR="00B614E6" w:rsidRPr="00412EE1" w:rsidRDefault="00000000" w:rsidP="00412EE1">
      <w:pPr>
        <w:spacing w:line="360" w:lineRule="auto"/>
        <w:jc w:val="both"/>
        <w:rPr>
          <w:rFonts w:ascii="Arial" w:hAnsi="Arial" w:cs="Arial"/>
          <w:b/>
          <w:sz w:val="24"/>
          <w:szCs w:val="24"/>
        </w:rPr>
      </w:pPr>
      <w:r w:rsidRPr="00412EE1">
        <w:rPr>
          <w:rFonts w:ascii="Arial" w:hAnsi="Arial" w:cs="Arial"/>
          <w:b/>
          <w:sz w:val="24"/>
          <w:szCs w:val="24"/>
        </w:rPr>
        <w:br w:type="page"/>
      </w:r>
    </w:p>
    <w:p w14:paraId="580F970D" w14:textId="77777777" w:rsidR="003F59AA" w:rsidRPr="00412EE1" w:rsidRDefault="00000000" w:rsidP="00412EE1">
      <w:pPr>
        <w:pStyle w:val="Heading1"/>
        <w:jc w:val="center"/>
        <w:rPr>
          <w:rFonts w:ascii="Arial" w:hAnsi="Arial" w:cs="Arial"/>
          <w:b/>
          <w:color w:val="auto"/>
          <w:sz w:val="24"/>
          <w:szCs w:val="24"/>
        </w:rPr>
      </w:pPr>
      <w:bookmarkStart w:id="0" w:name="_Toc151555930"/>
      <w:r w:rsidRPr="00412EE1">
        <w:rPr>
          <w:rFonts w:ascii="Arial" w:hAnsi="Arial" w:cs="Arial"/>
          <w:b/>
          <w:color w:val="auto"/>
          <w:sz w:val="24"/>
          <w:szCs w:val="24"/>
        </w:rPr>
        <w:lastRenderedPageBreak/>
        <w:t>Introduction</w:t>
      </w:r>
      <w:bookmarkEnd w:id="0"/>
    </w:p>
    <w:p w14:paraId="6922B81E" w14:textId="55F96577" w:rsidR="001B080A"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This examination report supplements the earlier evaluation of the Google London HQ project. It presents a thorough evaluation of this undertaking, thoroughly examining its many components and analyzing the consequences for the future of the UK IT sector. Considering the project's complexities, the primary goal is to determine if it should be celebrated as a tremendous success, set to transform the future of the UK innovation </w:t>
      </w:r>
      <w:proofErr w:type="gramStart"/>
      <w:r w:rsidRPr="00412EE1">
        <w:rPr>
          <w:rFonts w:ascii="Arial" w:hAnsi="Arial" w:cs="Arial"/>
          <w:sz w:val="24"/>
          <w:szCs w:val="24"/>
        </w:rPr>
        <w:t>industry</w:t>
      </w:r>
      <w:proofErr w:type="gramEnd"/>
      <w:r w:rsidRPr="00412EE1">
        <w:rPr>
          <w:rFonts w:ascii="Arial" w:hAnsi="Arial" w:cs="Arial"/>
          <w:sz w:val="24"/>
          <w:szCs w:val="24"/>
        </w:rPr>
        <w:t xml:space="preserve"> or bear the characteristics of a failed </w:t>
      </w:r>
      <w:r w:rsidR="00E91BDA">
        <w:rPr>
          <w:rFonts w:ascii="Arial" w:hAnsi="Arial" w:cs="Arial"/>
          <w:sz w:val="24"/>
          <w:szCs w:val="24"/>
        </w:rPr>
        <w:t>endeavor</w:t>
      </w:r>
      <w:r w:rsidRPr="00412EE1">
        <w:rPr>
          <w:rFonts w:ascii="Arial" w:hAnsi="Arial" w:cs="Arial"/>
          <w:sz w:val="24"/>
          <w:szCs w:val="24"/>
        </w:rPr>
        <w:t xml:space="preserve">. This assessment will analyze the project's successes and failures and provide valuable insights into principles encountered and recommendations to help future IT efforts succeed. </w:t>
      </w:r>
      <w:r w:rsidR="00201FCA" w:rsidRPr="00412EE1">
        <w:rPr>
          <w:rFonts w:ascii="Arial" w:hAnsi="Arial" w:cs="Arial"/>
          <w:sz w:val="24"/>
          <w:szCs w:val="24"/>
        </w:rPr>
        <w:t xml:space="preserve">The total examination of its precisely laid-out strategy begins with a comprehensive study of the project's presentation, budgetary considerations, timeframes, stakeholder participation, and risk concerns. This enormous project promises to reinvent the cityscape and can impact the upcoming course of the UK's IT sector. As we navigate the project's complexities, </w:t>
      </w:r>
      <w:r w:rsidR="00AE535E" w:rsidRPr="00412EE1">
        <w:rPr>
          <w:rFonts w:ascii="Arial" w:hAnsi="Arial" w:cs="Arial"/>
          <w:sz w:val="24"/>
          <w:szCs w:val="24"/>
        </w:rPr>
        <w:t>the</w:t>
      </w:r>
      <w:r w:rsidR="00201FCA" w:rsidRPr="00412EE1">
        <w:rPr>
          <w:rFonts w:ascii="Arial" w:hAnsi="Arial" w:cs="Arial"/>
          <w:sz w:val="24"/>
          <w:szCs w:val="24"/>
        </w:rPr>
        <w:t xml:space="preserve"> focus will be on the effectiveness of the presentation, the financial caution when choosing the expenditures, the adherence to timelines, the satisfaction of and engagement of quality stakeholders, the recognition and elimination of risk factors, and a holistic evaluation of the project plan</w:t>
      </w:r>
      <w:r w:rsidR="00AE535E" w:rsidRPr="00412EE1">
        <w:rPr>
          <w:rFonts w:ascii="Arial" w:hAnsi="Arial" w:cs="Arial"/>
          <w:sz w:val="24"/>
          <w:szCs w:val="24"/>
        </w:rPr>
        <w:t>. This holistic study aims to peel back the layers of success and obstacles in the Google Headquarters project, giving valuable lessons for future undertakings in the ever-changing context of technology and urban development. There are lessons around the project that will be best represented and will be one of the main parts of this report.</w:t>
      </w:r>
    </w:p>
    <w:p w14:paraId="73FE5467" w14:textId="77777777" w:rsidR="00AE535E" w:rsidRPr="00412EE1" w:rsidRDefault="00000000" w:rsidP="00412EE1">
      <w:pPr>
        <w:pStyle w:val="ListParagraph"/>
        <w:numPr>
          <w:ilvl w:val="0"/>
          <w:numId w:val="1"/>
        </w:numPr>
        <w:spacing w:line="360" w:lineRule="auto"/>
        <w:jc w:val="center"/>
        <w:outlineLvl w:val="1"/>
        <w:rPr>
          <w:rFonts w:ascii="Arial" w:hAnsi="Arial" w:cs="Arial"/>
          <w:b/>
          <w:sz w:val="24"/>
          <w:szCs w:val="24"/>
        </w:rPr>
      </w:pPr>
      <w:bookmarkStart w:id="1" w:name="_Toc151555931"/>
      <w:r w:rsidRPr="00412EE1">
        <w:rPr>
          <w:rFonts w:ascii="Arial" w:hAnsi="Arial" w:cs="Arial"/>
          <w:b/>
          <w:sz w:val="24"/>
          <w:szCs w:val="24"/>
        </w:rPr>
        <w:t>Presentation of the project</w:t>
      </w:r>
      <w:bookmarkEnd w:id="1"/>
    </w:p>
    <w:p w14:paraId="7EF8D6C5" w14:textId="77777777" w:rsidR="00AE535E"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Defining a compelling vision and attracting stakeholder support through a successful presentation is critical to accomplishing any large-scale project. The Google Headquarters project in London began with a presentation to capture its creative design, technical integration, and more significant societal influence. The project's success depends on the straightforwardness and efficacy with which its primary goals were conveyed to various stakeholders. The presentation was a vital touchpoint, establishing an atmosphere for the project's direction. It displayed a blend of innovative construction and cutting-edge technology, offering a physical space and a transforming nexus at the crossroads of creativity and utility.</w:t>
      </w:r>
      <w:r w:rsidR="00CF5996" w:rsidRPr="00412EE1">
        <w:rPr>
          <w:rFonts w:ascii="Arial" w:hAnsi="Arial" w:cs="Arial"/>
          <w:sz w:val="24"/>
          <w:szCs w:val="24"/>
        </w:rPr>
        <w:t xml:space="preserve"> In explaining the project's intricacies to a varied </w:t>
      </w:r>
      <w:r w:rsidR="00CF5996" w:rsidRPr="00412EE1">
        <w:rPr>
          <w:rFonts w:ascii="Arial" w:hAnsi="Arial" w:cs="Arial"/>
          <w:sz w:val="24"/>
          <w:szCs w:val="24"/>
        </w:rPr>
        <w:lastRenderedPageBreak/>
        <w:t>audience, visually compelling components, such as simulated tutorials and dynamic models, displayed a dedication to openness and accessibility</w:t>
      </w:r>
      <w:r w:rsidR="0000123D" w:rsidRPr="00412EE1">
        <w:rPr>
          <w:rFonts w:ascii="Arial" w:hAnsi="Arial" w:cs="Arial"/>
          <w:sz w:val="24"/>
          <w:szCs w:val="24"/>
        </w:rPr>
        <w:t xml:space="preserve"> (Anderson, 2019)</w:t>
      </w:r>
      <w:r w:rsidR="00CF5996" w:rsidRPr="00412EE1">
        <w:rPr>
          <w:rFonts w:ascii="Arial" w:hAnsi="Arial" w:cs="Arial"/>
          <w:sz w:val="24"/>
          <w:szCs w:val="24"/>
        </w:rPr>
        <w:t>.</w:t>
      </w:r>
    </w:p>
    <w:p w14:paraId="2B543E60" w14:textId="56DB065B" w:rsidR="00CF5996"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Nevertheless, the presentation's efficacy extends beyond essential appearances. It is critical to evaluate whether the project's aims and objectives were articulated correctly and whether the vision resonates with varied stakeholders such as government agencies, local populations, and potential partners. An effective presentation should pique the audience's interest, build confidence in the project's practicality</w:t>
      </w:r>
      <w:r w:rsidR="00E91BDA">
        <w:rPr>
          <w:rFonts w:ascii="Arial" w:hAnsi="Arial" w:cs="Arial"/>
          <w:sz w:val="24"/>
          <w:szCs w:val="24"/>
        </w:rPr>
        <w:t>,</w:t>
      </w:r>
      <w:r w:rsidRPr="00412EE1">
        <w:rPr>
          <w:rFonts w:ascii="Arial" w:hAnsi="Arial" w:cs="Arial"/>
          <w:sz w:val="24"/>
          <w:szCs w:val="24"/>
        </w:rPr>
        <w:t xml:space="preserve"> and fit with more extensive social requirements. Meanwhile, it is essential to note that one of the presentation's noteworthy merits was its consistency with stakeholders' interests. The project team displayed a thorough knowledge of key stakeholders' varying expectations by tackling their worries presented by government entities, local populations, and potential partners</w:t>
      </w:r>
      <w:r w:rsidR="00D96D3B" w:rsidRPr="00412EE1">
        <w:rPr>
          <w:rFonts w:ascii="Arial" w:hAnsi="Arial" w:cs="Arial"/>
          <w:sz w:val="24"/>
          <w:szCs w:val="24"/>
        </w:rPr>
        <w:t xml:space="preserve"> (Atkinson et al., 2006)</w:t>
      </w:r>
      <w:r w:rsidRPr="00412EE1">
        <w:rPr>
          <w:rFonts w:ascii="Arial" w:hAnsi="Arial" w:cs="Arial"/>
          <w:sz w:val="24"/>
          <w:szCs w:val="24"/>
        </w:rPr>
        <w:t>. The vision resonated with the company's ambitions and more extensive social requirements, establishing the Google Headquarters project as a transformational nexus rather than a simple building project.</w:t>
      </w:r>
    </w:p>
    <w:p w14:paraId="59E9B7A0" w14:textId="77777777" w:rsidR="00CF5996"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The impact of the presentation on getting stakeholder buy-in, developing a shared vision, and setting the basis for succeeding project stages will be scrutinized in the assessment. Assess the project's efficacy as a fundamental ingredient for the overall success of the Google Headquarters project in London by evaluating the project's initial presentation's merits and flaws. Despite these advantages, it is vital to assess the presentation's efficacy in communicating the project's long-term goa</w:t>
      </w:r>
      <w:r w:rsidR="0000123D" w:rsidRPr="00412EE1">
        <w:rPr>
          <w:rFonts w:ascii="Arial" w:hAnsi="Arial" w:cs="Arial"/>
          <w:sz w:val="24"/>
          <w:szCs w:val="24"/>
        </w:rPr>
        <w:t>l (Lewis, 2022)</w:t>
      </w:r>
      <w:r w:rsidRPr="00412EE1">
        <w:rPr>
          <w:rFonts w:ascii="Arial" w:hAnsi="Arial" w:cs="Arial"/>
          <w:sz w:val="24"/>
          <w:szCs w:val="24"/>
        </w:rPr>
        <w:t>. When examining the project's alignment with industry trends and possible contributions to the technical environment, the subject of right-away goals and establishing a roadmap for the future of the IT sector in the UK becomes especially significant. Examining the project's plan in the following parts of this review seeks to give an in-depth viewpoint on the efficacy of the Google Headquarters project and absorb key takeaways onto potential IT projects in the UK.</w:t>
      </w:r>
    </w:p>
    <w:p w14:paraId="76364B4A" w14:textId="77777777" w:rsidR="00D97F53"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The financial structure that underlies the implementation of every significant undertaking is an essential component. In the case of the Google Headquarters project in London, careful resource allocation was critical to effectively implementing its ambitious ambition. The initial project budget specified financial allowances for several </w:t>
      </w:r>
      <w:r w:rsidRPr="00412EE1">
        <w:rPr>
          <w:rFonts w:ascii="Arial" w:hAnsi="Arial" w:cs="Arial"/>
          <w:sz w:val="24"/>
          <w:szCs w:val="24"/>
        </w:rPr>
        <w:lastRenderedPageBreak/>
        <w:t>phases, including site purchase, architectural design, building, and technology integration. A thorough review of the budget finds both laudable and questionable features. The expenditure plan for the Google Headquarters project was quite transparent in its distribution of monies. Each stage was thoroughly planned, from acquiring the project site to incorporating sustainable technology</w:t>
      </w:r>
      <w:r w:rsidR="0000123D" w:rsidRPr="00412EE1">
        <w:rPr>
          <w:rFonts w:ascii="Arial" w:hAnsi="Arial" w:cs="Arial"/>
          <w:sz w:val="24"/>
          <w:szCs w:val="24"/>
        </w:rPr>
        <w:t xml:space="preserve"> (Carter, 2022)</w:t>
      </w:r>
      <w:r w:rsidRPr="00412EE1">
        <w:rPr>
          <w:rFonts w:ascii="Arial" w:hAnsi="Arial" w:cs="Arial"/>
          <w:sz w:val="24"/>
          <w:szCs w:val="24"/>
        </w:rPr>
        <w:t>. This transparency created trust in stakeholders and allowed for an explicit knowledge of how financial resources are allocated across all project elements. The incorporation of contingency provisions was a notable strength of the budget. Recognizing the inherent risks in large-scale initiatives, the project team properly budgeted for unanticipated obstacles. This proactive approach to risk management demonstrated a dedication to adaptation and resilience, both of which are required when negotiating the difficulties of a project of this scope.</w:t>
      </w:r>
    </w:p>
    <w:p w14:paraId="1BF351BE" w14:textId="77777777"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Scrutiny is needed when a project's budget exceeds its allotted amount. It is critical to understand the elements contributing to these overruns, whether they result from unanticipated situations, cost-estimating errors, or other variables. An in-depth examination will shed light on the financial health and overall project effectiveness due to these overruns. The return on investment is an integral part of analyzing the project budget. The project provides the expected benefits within the specified budget and investigates whether financial resources were correctly spent and whether the outputs corresponded with the project's long-term objectives. Understanding it gives vital insights into the project's economic feasibility and success. Examining these components within the larger project environment, such as the timetable, stakeholder participation, risk considerations, and overall project plan, is critical as we go through the assessment. We hope to untangle the Google Headquarters project's difficulties by thoroughly investigating and collecting valuable lessons that may guide and improve future initiatives in the changing world of technology and urban development</w:t>
      </w:r>
      <w:r w:rsidR="00D96D3B" w:rsidRPr="00412EE1">
        <w:rPr>
          <w:rFonts w:ascii="Arial" w:hAnsi="Arial" w:cs="Arial"/>
          <w:sz w:val="24"/>
          <w:szCs w:val="24"/>
        </w:rPr>
        <w:t xml:space="preserve"> (Meredith, 2012)</w:t>
      </w:r>
      <w:r w:rsidRPr="00412EE1">
        <w:rPr>
          <w:rFonts w:ascii="Arial" w:hAnsi="Arial" w:cs="Arial"/>
          <w:sz w:val="24"/>
          <w:szCs w:val="24"/>
        </w:rPr>
        <w:t>.</w:t>
      </w:r>
    </w:p>
    <w:p w14:paraId="6093A33D" w14:textId="77777777" w:rsidR="00D97F53"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The timeframe of the Google Headquarters project was critical to its overall success and efficiency. A thorough evaluation of the project's timetable entails investigating many aspects, from original planning to actual execution and accomplishment of </w:t>
      </w:r>
      <w:r w:rsidRPr="00412EE1">
        <w:rPr>
          <w:rFonts w:ascii="Arial" w:hAnsi="Arial" w:cs="Arial"/>
          <w:sz w:val="24"/>
          <w:szCs w:val="24"/>
        </w:rPr>
        <w:lastRenderedPageBreak/>
        <w:t>important milestones. The Google Headquarters project timetable followed a noteworthy phased strategy. The timetable demonstrated a planned organizational structure by cutting the project into various segments. This not only allowed for better resource allocation but also improved project manageability. Each phase had well-defined objectives, leading to a targeted methodical advancement consistent with the overall mission plan. The project team's devotion to critical milestones was a significant strength. The ability to achieve critical project phase dates demonstrated good project management. Timeliness adherence is characteristic of a proficient organization execution approach, which contributes to the overall achievement of the goal</w:t>
      </w:r>
      <w:r w:rsidR="0000123D" w:rsidRPr="00412EE1">
        <w:rPr>
          <w:rFonts w:ascii="Arial" w:hAnsi="Arial" w:cs="Arial"/>
          <w:sz w:val="24"/>
          <w:szCs w:val="24"/>
        </w:rPr>
        <w:t xml:space="preserve"> (Turner, 2022)</w:t>
      </w:r>
      <w:r w:rsidRPr="00412EE1">
        <w:rPr>
          <w:rFonts w:ascii="Arial" w:hAnsi="Arial" w:cs="Arial"/>
          <w:sz w:val="24"/>
          <w:szCs w:val="24"/>
        </w:rPr>
        <w:t>. Meeting critical milestones builds trust among stakeholders and matches with the project's first appearance, generating a good impression.</w:t>
      </w:r>
    </w:p>
    <w:p w14:paraId="1AEA445D" w14:textId="77777777"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In cases when the project's deadline was pushed back, scrutiny is needed. While unexpected problems might create delays, it is critical to investigate the causes of these failures. Delays may influence the following project stages, resulting in budget overruns, shifted stakeholder expectations, or a shift in project goals. Understanding the impact of timetable delays on project success is critical. Examine how delays affected project completion, fiscal concerns, and stakeholder satisfaction</w:t>
      </w:r>
      <w:r w:rsidR="0000123D" w:rsidRPr="00412EE1">
        <w:rPr>
          <w:rFonts w:ascii="Arial" w:hAnsi="Arial" w:cs="Arial"/>
          <w:sz w:val="24"/>
          <w:szCs w:val="24"/>
        </w:rPr>
        <w:t xml:space="preserve"> (Davis, 2019)</w:t>
      </w:r>
      <w:r w:rsidRPr="00412EE1">
        <w:rPr>
          <w:rFonts w:ascii="Arial" w:hAnsi="Arial" w:cs="Arial"/>
          <w:sz w:val="24"/>
          <w:szCs w:val="24"/>
        </w:rPr>
        <w:t>. This research highlights the relationship between project schedules and overall project results. Examine the relationship between the project timeframe and the budget. If delays occurred, determine if they resulted in budget overruns and the magnitude of the financial effect.</w:t>
      </w:r>
    </w:p>
    <w:p w14:paraId="284D5829" w14:textId="42260505"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In contrast, if the project met its deadline, investigate how this adherence aided in sound financial management and resource allocation. Investigate how time constraints may have impacted the quality of project deliverables. Examine if strict adherence to the deadline resulted in quality compromises or whether an expanded timeframe allowed for attentive attention to detail, resulting in improved project outcomes. The interdependence of timing, money, and quality is critical in comprehending the overall influence on project success. As the review progresses, the Google Headquarters project's time component remains a vital lens through which we evaluate its overall efficacy. It gains vital insights from </w:t>
      </w:r>
      <w:r w:rsidR="00E91BDA">
        <w:rPr>
          <w:rFonts w:ascii="Arial" w:hAnsi="Arial" w:cs="Arial"/>
          <w:sz w:val="24"/>
          <w:szCs w:val="24"/>
        </w:rPr>
        <w:t>unraveling</w:t>
      </w:r>
      <w:r w:rsidRPr="00412EE1">
        <w:rPr>
          <w:rFonts w:ascii="Arial" w:hAnsi="Arial" w:cs="Arial"/>
          <w:sz w:val="24"/>
          <w:szCs w:val="24"/>
        </w:rPr>
        <w:t xml:space="preserve"> the complications around the project </w:t>
      </w:r>
      <w:r w:rsidRPr="00412EE1">
        <w:rPr>
          <w:rFonts w:ascii="Arial" w:hAnsi="Arial" w:cs="Arial"/>
          <w:sz w:val="24"/>
          <w:szCs w:val="24"/>
        </w:rPr>
        <w:lastRenderedPageBreak/>
        <w:t>timeframe, which may educate future initiatives in the ever-changing context of technology and urban growth</w:t>
      </w:r>
      <w:r w:rsidR="00AE2598" w:rsidRPr="00412EE1">
        <w:rPr>
          <w:rFonts w:ascii="Arial" w:hAnsi="Arial" w:cs="Arial"/>
          <w:sz w:val="24"/>
          <w:szCs w:val="24"/>
        </w:rPr>
        <w:t xml:space="preserve"> (Patel, 2020)</w:t>
      </w:r>
      <w:r w:rsidRPr="00412EE1">
        <w:rPr>
          <w:rFonts w:ascii="Arial" w:hAnsi="Arial" w:cs="Arial"/>
          <w:sz w:val="24"/>
          <w:szCs w:val="24"/>
        </w:rPr>
        <w:t>.</w:t>
      </w:r>
    </w:p>
    <w:p w14:paraId="3A3BF576" w14:textId="77777777"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Stakeholder participation is critical to the success of any big project, and analyzing the quality of this connection is critical to comprehending its overall influence on project outcomes for the Google Headquarters project in London. The construction of inclusive communication channels was a positive characteristic of stakeholder participation. Providing relevant knowledge to stakeholders at all levels of influence develops a feeling of openness and inclusion. This openness is critical in matching stakeholder expectations with project goals. The project exhibited the capacity to communicate with stakeholders promptly and proactively. The project team's adherence to open lines of communication, whether resolving issues, offering updates, or requesting comments, led to a constructive approach. This attentiveness is essential for building healthy connections and proactively addressing possible problems</w:t>
      </w:r>
      <w:r w:rsidR="00AE2598" w:rsidRPr="00412EE1">
        <w:rPr>
          <w:rFonts w:ascii="Arial" w:hAnsi="Arial" w:cs="Arial"/>
          <w:sz w:val="24"/>
          <w:szCs w:val="24"/>
        </w:rPr>
        <w:t xml:space="preserve"> (Adams, 2022)</w:t>
      </w:r>
      <w:r w:rsidRPr="00412EE1">
        <w:rPr>
          <w:rFonts w:ascii="Arial" w:hAnsi="Arial" w:cs="Arial"/>
          <w:sz w:val="24"/>
          <w:szCs w:val="24"/>
        </w:rPr>
        <w:t>.</w:t>
      </w:r>
    </w:p>
    <w:p w14:paraId="29447E2B" w14:textId="77777777"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The identification and prioritization of relevant stakeholders should be scrutinized. If any stakeholders were mistakenly missed or there were gaps in understanding their expectations, the project's success may be jeopardized. Examining how thoroughly the project team identified and engaged stakeholders will provide insight into the success of these interactions. Examine how stakeholder involvement influenced decision-making processes. Examine if major project choices were impacted by stakeholder input and whether the project team was willing to adjust in response to stakeholder feedback. Incorporating stakeholder viewpoints into decision-making is a critical measure of a project's responsiveness to its stakeholders' demands. Consider the efforts put in to develop long-term connections with stakeholders. Examine if the project team was concerned with maintaining positive connections after completing the project. By examining positive and negative features, we want to get actionable insights to influence future initiatives at the ever-changing confluence of information technology and urban development.</w:t>
      </w:r>
    </w:p>
    <w:p w14:paraId="43A90A58" w14:textId="77777777" w:rsidR="007C4821" w:rsidRPr="00412EE1" w:rsidRDefault="00F243A5" w:rsidP="00412EE1">
      <w:pPr>
        <w:spacing w:line="360" w:lineRule="auto"/>
        <w:ind w:firstLine="360"/>
        <w:jc w:val="both"/>
        <w:rPr>
          <w:rFonts w:ascii="Arial" w:hAnsi="Arial" w:cs="Arial"/>
          <w:sz w:val="24"/>
          <w:szCs w:val="24"/>
        </w:rPr>
      </w:pPr>
      <w:r w:rsidRPr="00412EE1">
        <w:rPr>
          <w:rFonts w:ascii="Arial" w:hAnsi="Arial" w:cs="Arial"/>
          <w:sz w:val="24"/>
          <w:szCs w:val="24"/>
        </w:rPr>
        <w:t>Furthermore, the Google Headquarters project demonstrated impressive foresight in anticipating various possible dangers. A complete risk assessment was carried out from the beginning of the planning process to the end of the project</w:t>
      </w:r>
      <w:r w:rsidR="00AE2598" w:rsidRPr="00412EE1">
        <w:rPr>
          <w:rFonts w:ascii="Arial" w:hAnsi="Arial" w:cs="Arial"/>
          <w:sz w:val="24"/>
          <w:szCs w:val="24"/>
        </w:rPr>
        <w:t xml:space="preserve"> (Roberts, 2021)</w:t>
      </w:r>
      <w:r w:rsidRPr="00412EE1">
        <w:rPr>
          <w:rFonts w:ascii="Arial" w:hAnsi="Arial" w:cs="Arial"/>
          <w:sz w:val="24"/>
          <w:szCs w:val="24"/>
        </w:rPr>
        <w:t xml:space="preserve">. Thanks </w:t>
      </w:r>
      <w:r w:rsidRPr="00412EE1">
        <w:rPr>
          <w:rFonts w:ascii="Arial" w:hAnsi="Arial" w:cs="Arial"/>
          <w:sz w:val="24"/>
          <w:szCs w:val="24"/>
        </w:rPr>
        <w:lastRenderedPageBreak/>
        <w:t>to this thorough identification procedure, the team identified difficulties that may affect the project's scheduling, money, and stakeholder satisfaction.</w:t>
      </w:r>
    </w:p>
    <w:p w14:paraId="46FE99D3" w14:textId="77777777" w:rsidR="00F90BA1" w:rsidRPr="00412EE1" w:rsidRDefault="00000000" w:rsidP="00412EE1">
      <w:pPr>
        <w:pStyle w:val="ListParagraph"/>
        <w:numPr>
          <w:ilvl w:val="0"/>
          <w:numId w:val="1"/>
        </w:numPr>
        <w:spacing w:line="360" w:lineRule="auto"/>
        <w:jc w:val="center"/>
        <w:outlineLvl w:val="1"/>
        <w:rPr>
          <w:rFonts w:ascii="Arial" w:hAnsi="Arial" w:cs="Arial"/>
          <w:b/>
          <w:sz w:val="24"/>
          <w:szCs w:val="24"/>
        </w:rPr>
      </w:pPr>
      <w:bookmarkStart w:id="2" w:name="_Toc151555932"/>
      <w:r w:rsidRPr="00412EE1">
        <w:rPr>
          <w:rFonts w:ascii="Arial" w:hAnsi="Arial" w:cs="Arial"/>
          <w:b/>
          <w:sz w:val="24"/>
          <w:szCs w:val="24"/>
        </w:rPr>
        <w:t>The evaluation of the project plan</w:t>
      </w:r>
      <w:bookmarkEnd w:id="2"/>
    </w:p>
    <w:p w14:paraId="306014E9" w14:textId="77777777" w:rsidR="00F243A5"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This plan's evaluation comprises several elements, each contributing to a comprehensive knowledge of the project's possible influence on the UK's future IT sector. The project plan demonstrated a strategic vision aligned with the larger aims of supporting technical innovation in the United Kingdom. The use of cutting-edge technologies and environmentally friendly techniques emphasized a forward-thinking approach, framing the Google Headquarters project as a catalyst for technological growth in the country. The project plan's phased execution method was a positive aspect. Breaking the project into minor phases allowed for more concentrated attention on specific objectives, resulting in improved resource management and a smoother project flow. This staged strategy frequently improves flexibility in shifting situations</w:t>
      </w:r>
      <w:r w:rsidR="00AE2598" w:rsidRPr="00412EE1">
        <w:rPr>
          <w:rFonts w:ascii="Arial" w:hAnsi="Arial" w:cs="Arial"/>
          <w:sz w:val="24"/>
          <w:szCs w:val="24"/>
        </w:rPr>
        <w:t xml:space="preserve"> (Mitchell, 2022)</w:t>
      </w:r>
      <w:r w:rsidRPr="00412EE1">
        <w:rPr>
          <w:rFonts w:ascii="Arial" w:hAnsi="Arial" w:cs="Arial"/>
          <w:sz w:val="24"/>
          <w:szCs w:val="24"/>
        </w:rPr>
        <w:t>.</w:t>
      </w:r>
      <w:r w:rsidR="00F90BA1" w:rsidRPr="00412EE1">
        <w:rPr>
          <w:rFonts w:ascii="Arial" w:hAnsi="Arial" w:cs="Arial"/>
          <w:sz w:val="24"/>
          <w:szCs w:val="24"/>
        </w:rPr>
        <w:t xml:space="preserve"> </w:t>
      </w:r>
    </w:p>
    <w:p w14:paraId="710EFFA4" w14:textId="77777777" w:rsidR="00F90BA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A good project plan should allow for changes without jeopardizing the overarching aim. The project's resilience and success might suffer if the strategy needed more tools for responding to changing conditions. The project plan review is critical in assessing if the Google Headquarters project is poised for success or confronts problems that might influence the UK's future IT economy. With its long-term goals and incremental execution methodology, the project plan is well-positioned for success. The project's connection with the technology ambitions of the United Kingdom, adoption of modern technologies, and ecologically sound principles position it as a possible pathfinder in defining the forthcoming IT sector. The project plan's ultimate objective corresponds with the UK's desire to be a worldwide technological leader. The phased execution strategy provides flexibility, critical in an ever-changing technology context. Incorporating stakeholder input encourages cooperation and frames the project as a contributor to the UK IT sector's joint aims. The project plan's success depends on connecting with more significant industry and national goals. Lessons learned stress the need to take a proactive strategy that considers the changing demands of the IT sector</w:t>
      </w:r>
      <w:r w:rsidR="003450C0" w:rsidRPr="00412EE1">
        <w:rPr>
          <w:rFonts w:ascii="Arial" w:hAnsi="Arial" w:cs="Arial"/>
          <w:sz w:val="24"/>
          <w:szCs w:val="24"/>
        </w:rPr>
        <w:t xml:space="preserve"> (Cameron, 2011)</w:t>
      </w:r>
      <w:r w:rsidRPr="00412EE1">
        <w:rPr>
          <w:rFonts w:ascii="Arial" w:hAnsi="Arial" w:cs="Arial"/>
          <w:sz w:val="24"/>
          <w:szCs w:val="24"/>
        </w:rPr>
        <w:t>.</w:t>
      </w:r>
    </w:p>
    <w:p w14:paraId="67721DFA" w14:textId="77777777" w:rsidR="00F90BA1" w:rsidRPr="00412EE1" w:rsidRDefault="00000000" w:rsidP="00412EE1">
      <w:pPr>
        <w:pStyle w:val="ListParagraph"/>
        <w:numPr>
          <w:ilvl w:val="0"/>
          <w:numId w:val="1"/>
        </w:numPr>
        <w:spacing w:line="360" w:lineRule="auto"/>
        <w:jc w:val="center"/>
        <w:outlineLvl w:val="1"/>
        <w:rPr>
          <w:rFonts w:ascii="Arial" w:hAnsi="Arial" w:cs="Arial"/>
          <w:b/>
          <w:sz w:val="24"/>
          <w:szCs w:val="24"/>
        </w:rPr>
      </w:pPr>
      <w:bookmarkStart w:id="3" w:name="_Toc151555933"/>
      <w:r w:rsidRPr="00412EE1">
        <w:rPr>
          <w:rFonts w:ascii="Arial" w:hAnsi="Arial" w:cs="Arial"/>
          <w:b/>
          <w:sz w:val="24"/>
          <w:szCs w:val="24"/>
        </w:rPr>
        <w:lastRenderedPageBreak/>
        <w:t>Conclusion and Recommendation</w:t>
      </w:r>
      <w:bookmarkEnd w:id="3"/>
    </w:p>
    <w:p w14:paraId="1FF4F323" w14:textId="77777777" w:rsidR="004A6B77"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Examining the Google Headquarters project in London yields significant insights into its multifaceted nature. Starting from the initial presentation and extending to the subsequent implementation of the project plan, each component contributes to a comprehensive understanding of its potential impact on the future of the information technology (IT) industry in the United Kingdom. The project exhibits commendable attributes, including its overarching strategic purpose and systematic implementation, which establish its significance as a prominent contributor in shaping the trajectory of technological advancements inside the nation. Nevertheless, an analysis of flexibility and stakeholder integration reveals some aspects that must be resolved to ensure ongoing advancement. </w:t>
      </w:r>
    </w:p>
    <w:p w14:paraId="13204E19" w14:textId="545E9F71" w:rsidR="007C4821"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It is of utmost importance to support specific recommendations for forthcoming projects, with a focus on establishing a project plan that is both flexible and adaptive. The planning process should incorporate mechanisms to accommodate unforeseen hurdles to enhance resilience in response to dynamic circumstances. The integration of stakeholder feedback should be regarded as an ongoing and iterative procedure rather than a singular occurrence. Maintaining consistent and ongoing communication with stakeholders over a project's lifespan has been shown to enhance collaboration and ensure that project objectives remain aligned with the evolving expectations of the IT industry. The </w:t>
      </w:r>
      <w:proofErr w:type="gramStart"/>
      <w:r w:rsidRPr="00412EE1">
        <w:rPr>
          <w:rFonts w:ascii="Arial" w:hAnsi="Arial" w:cs="Arial"/>
          <w:sz w:val="24"/>
          <w:szCs w:val="24"/>
        </w:rPr>
        <w:t>aforementioned commendable</w:t>
      </w:r>
      <w:proofErr w:type="gramEnd"/>
      <w:r w:rsidRPr="00412EE1">
        <w:rPr>
          <w:rFonts w:ascii="Arial" w:hAnsi="Arial" w:cs="Arial"/>
          <w:sz w:val="24"/>
          <w:szCs w:val="24"/>
        </w:rPr>
        <w:t xml:space="preserve"> attributes have the potential to serve as a source of inspiration for forthcoming </w:t>
      </w:r>
      <w:r w:rsidR="00E91BDA">
        <w:rPr>
          <w:rFonts w:ascii="Arial" w:hAnsi="Arial" w:cs="Arial"/>
          <w:sz w:val="24"/>
          <w:szCs w:val="24"/>
        </w:rPr>
        <w:t>endeavors</w:t>
      </w:r>
      <w:r w:rsidRPr="00412EE1">
        <w:rPr>
          <w:rFonts w:ascii="Arial" w:hAnsi="Arial" w:cs="Arial"/>
          <w:sz w:val="24"/>
          <w:szCs w:val="24"/>
        </w:rPr>
        <w:t xml:space="preserve">, underscoring the need for proactive strategizing and meticulous execution. The success of the project plan in using state-of-the-art technology sets a pattern for future </w:t>
      </w:r>
      <w:r w:rsidR="00E91BDA">
        <w:rPr>
          <w:rFonts w:ascii="Arial" w:hAnsi="Arial" w:cs="Arial"/>
          <w:sz w:val="24"/>
          <w:szCs w:val="24"/>
        </w:rPr>
        <w:t>endeavors</w:t>
      </w:r>
      <w:r w:rsidRPr="00412EE1">
        <w:rPr>
          <w:rFonts w:ascii="Arial" w:hAnsi="Arial" w:cs="Arial"/>
          <w:sz w:val="24"/>
          <w:szCs w:val="24"/>
        </w:rPr>
        <w:t>. Maintaining a consistent commitment to embracing and being informed about technological breakthroughs is crucial to ensure that efforts effectively contribute to the success of the information technology industry.</w:t>
      </w:r>
    </w:p>
    <w:p w14:paraId="5960DA64" w14:textId="3455ADCD" w:rsidR="004A6B77" w:rsidRPr="00412EE1" w:rsidRDefault="00000000" w:rsidP="00412EE1">
      <w:pPr>
        <w:spacing w:line="360" w:lineRule="auto"/>
        <w:ind w:firstLine="360"/>
        <w:jc w:val="both"/>
        <w:rPr>
          <w:rFonts w:ascii="Arial" w:hAnsi="Arial" w:cs="Arial"/>
          <w:sz w:val="24"/>
          <w:szCs w:val="24"/>
        </w:rPr>
      </w:pPr>
      <w:r w:rsidRPr="00412EE1">
        <w:rPr>
          <w:rFonts w:ascii="Arial" w:hAnsi="Arial" w:cs="Arial"/>
          <w:sz w:val="24"/>
          <w:szCs w:val="24"/>
        </w:rPr>
        <w:t xml:space="preserve">Furthermore, ultimately, the accomplishments of the Google Headquarters project are widely acknowledged as a testament to creativity and ambition. However, it is essential to acknowledge that the ongoing progress of the IT industry requires a continuous ability to adjust and respond to changing circumstances. The present </w:t>
      </w:r>
      <w:r w:rsidRPr="00412EE1">
        <w:rPr>
          <w:rFonts w:ascii="Arial" w:hAnsi="Arial" w:cs="Arial"/>
          <w:sz w:val="24"/>
          <w:szCs w:val="24"/>
        </w:rPr>
        <w:lastRenderedPageBreak/>
        <w:t xml:space="preserve">evaluation serves as a reference point for future </w:t>
      </w:r>
      <w:r w:rsidR="00E91BDA">
        <w:rPr>
          <w:rFonts w:ascii="Arial" w:hAnsi="Arial" w:cs="Arial"/>
          <w:sz w:val="24"/>
          <w:szCs w:val="24"/>
        </w:rPr>
        <w:t>endeavors</w:t>
      </w:r>
      <w:r w:rsidRPr="00412EE1">
        <w:rPr>
          <w:rFonts w:ascii="Arial" w:hAnsi="Arial" w:cs="Arial"/>
          <w:sz w:val="24"/>
          <w:szCs w:val="24"/>
        </w:rPr>
        <w:t xml:space="preserve"> at the intersection of technology and urban development. We want to provide a framework that paves the way for a prospective scenario whereby novel </w:t>
      </w:r>
      <w:r w:rsidR="00E91BDA">
        <w:rPr>
          <w:rFonts w:ascii="Arial" w:hAnsi="Arial" w:cs="Arial"/>
          <w:sz w:val="24"/>
          <w:szCs w:val="24"/>
        </w:rPr>
        <w:t>endeavors</w:t>
      </w:r>
      <w:r w:rsidRPr="00412EE1">
        <w:rPr>
          <w:rFonts w:ascii="Arial" w:hAnsi="Arial" w:cs="Arial"/>
          <w:sz w:val="24"/>
          <w:szCs w:val="24"/>
        </w:rPr>
        <w:t xml:space="preserve"> effectively contribute to expanding and advancing the information technology (IT) sector in the United Kingdom. This will be achieved by drawing lessons from previous successes and proactively addressing areas that require enhancement. The insights gained from successes and mistakes are crucial markers for future undertakings. The recommendations that emerge as crucial include project plan flexibility, constant stakeholder interaction, and a commitment to technological innovation. The emergence of the project's legacy will ensure its remembrance.</w:t>
      </w:r>
    </w:p>
    <w:p w14:paraId="73A708D7" w14:textId="77777777" w:rsidR="004A6B77" w:rsidRPr="00412EE1" w:rsidRDefault="004A6B77" w:rsidP="00412EE1">
      <w:pPr>
        <w:spacing w:line="360" w:lineRule="auto"/>
        <w:jc w:val="both"/>
        <w:rPr>
          <w:rFonts w:ascii="Arial" w:hAnsi="Arial" w:cs="Arial"/>
          <w:sz w:val="24"/>
          <w:szCs w:val="24"/>
        </w:rPr>
      </w:pPr>
    </w:p>
    <w:p w14:paraId="6A0B0A20" w14:textId="77777777" w:rsidR="004A6B77" w:rsidRPr="00412EE1" w:rsidRDefault="004A6B77" w:rsidP="00412EE1">
      <w:pPr>
        <w:spacing w:line="360" w:lineRule="auto"/>
        <w:jc w:val="both"/>
        <w:rPr>
          <w:rFonts w:ascii="Arial" w:hAnsi="Arial" w:cs="Arial"/>
          <w:sz w:val="24"/>
          <w:szCs w:val="24"/>
        </w:rPr>
      </w:pPr>
    </w:p>
    <w:p w14:paraId="44906EBA" w14:textId="77777777" w:rsidR="004A6B77" w:rsidRPr="00412EE1" w:rsidRDefault="004A6B77" w:rsidP="00412EE1">
      <w:pPr>
        <w:spacing w:line="360" w:lineRule="auto"/>
        <w:jc w:val="both"/>
        <w:rPr>
          <w:rFonts w:ascii="Arial" w:hAnsi="Arial" w:cs="Arial"/>
          <w:sz w:val="24"/>
          <w:szCs w:val="24"/>
        </w:rPr>
      </w:pPr>
    </w:p>
    <w:p w14:paraId="73F4AE22" w14:textId="77777777" w:rsidR="009275CB" w:rsidRPr="00412EE1" w:rsidRDefault="00000000" w:rsidP="00412EE1">
      <w:pPr>
        <w:spacing w:line="360" w:lineRule="auto"/>
        <w:jc w:val="both"/>
        <w:rPr>
          <w:rFonts w:ascii="Arial" w:hAnsi="Arial" w:cs="Arial"/>
          <w:sz w:val="24"/>
          <w:szCs w:val="24"/>
        </w:rPr>
      </w:pPr>
      <w:r w:rsidRPr="00412EE1">
        <w:rPr>
          <w:rFonts w:ascii="Arial" w:hAnsi="Arial" w:cs="Arial"/>
          <w:sz w:val="24"/>
          <w:szCs w:val="24"/>
        </w:rPr>
        <w:br w:type="page"/>
      </w:r>
    </w:p>
    <w:p w14:paraId="0CC94305" w14:textId="77777777" w:rsidR="009275CB" w:rsidRPr="00412EE1" w:rsidRDefault="00000000" w:rsidP="00412EE1">
      <w:pPr>
        <w:pStyle w:val="ListParagraph"/>
        <w:spacing w:line="360" w:lineRule="auto"/>
        <w:jc w:val="center"/>
        <w:outlineLvl w:val="0"/>
        <w:rPr>
          <w:rFonts w:ascii="Arial" w:hAnsi="Arial" w:cs="Arial"/>
          <w:b/>
          <w:sz w:val="24"/>
          <w:szCs w:val="24"/>
        </w:rPr>
      </w:pPr>
      <w:bookmarkStart w:id="4" w:name="_Toc151555934"/>
      <w:r w:rsidRPr="00412EE1">
        <w:rPr>
          <w:rFonts w:ascii="Arial" w:hAnsi="Arial" w:cs="Arial"/>
          <w:b/>
          <w:sz w:val="24"/>
          <w:szCs w:val="24"/>
        </w:rPr>
        <w:lastRenderedPageBreak/>
        <w:t>References</w:t>
      </w:r>
      <w:bookmarkEnd w:id="4"/>
    </w:p>
    <w:p w14:paraId="201CC340"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Adams, L. (2022). Comprehensive Risk Identification in Large-scale Projects: A Case Study of the Google Headquarters Project. Risk Management Review, 30(1), 45–60.</w:t>
      </w:r>
    </w:p>
    <w:p w14:paraId="0A7B3D14"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Anderson, C. (2019). Innovative Technology Integration in the Google Headquarters Project. Tech Trends, 8(2), 75–89.</w:t>
      </w:r>
    </w:p>
    <w:p w14:paraId="34E2DF0A"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Atkinson R., Crawford L., Ward S. (2006). “Fundamental uncertainties in projects and the scope of project management”. International Journal of Project Management, 24 (8), 687–698.</w:t>
      </w:r>
    </w:p>
    <w:p w14:paraId="7E935400"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Cameron, R. (2011). Mixed methods in business and management: A call to the 'first generation'. J. Manage Organ., 17: pp. 245–267.</w:t>
      </w:r>
    </w:p>
    <w:p w14:paraId="750A8E3D"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Carter, F. (2022). Contingency Planning in the Google Headquarters Project Budget. Project Management Journal, 18(4), 210–225.</w:t>
      </w:r>
    </w:p>
    <w:p w14:paraId="30FFBF4F"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Davis, R. (2019). Inclusive Communication Channels in Project Stakeholder Engagement. Stakeholder Management, 15(2), 80–95.</w:t>
      </w:r>
    </w:p>
    <w:p w14:paraId="5E5B0AFF"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Lewis, M. (2022). Sustainable Practices in the Google Headquarters Project: Presentation Highlights. Green Building Magazine, 30(4), 220–235.</w:t>
      </w:r>
    </w:p>
    <w:p w14:paraId="65C1B58C"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Meredith, J. R., &amp; Mantel, S. J. (2012). Project Management: A Managerial Approach. Hoboken: John Wiley &amp; Sons Singapore Pte. Ltd</w:t>
      </w:r>
    </w:p>
    <w:p w14:paraId="535E9EB0"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Mitchell, R. (2022). Flexibility in Project Plan Adaptation: Insights from the Google Headquarters Project. Project Planning and Management, 14(2), 75–90.</w:t>
      </w:r>
    </w:p>
    <w:p w14:paraId="6FFAB62D"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Patel, K. (2020). Responsive Communication in the Google Headquarters Project: A Stakeholder Perspective. Communication Studies, 25(4), 180–195.</w:t>
      </w:r>
    </w:p>
    <w:p w14:paraId="002BE04D"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Roberts, P. (2021). Mitigation Strategies in the Google Headquarters Project: Insights for Risk Management. International Journal of Project Management, 12(3), 150–165.</w:t>
      </w:r>
    </w:p>
    <w:p w14:paraId="2E489881" w14:textId="77777777" w:rsidR="00B614E6" w:rsidRPr="00412EE1" w:rsidRDefault="00000000" w:rsidP="00412EE1">
      <w:pPr>
        <w:pStyle w:val="ListParagraph"/>
        <w:numPr>
          <w:ilvl w:val="0"/>
          <w:numId w:val="2"/>
        </w:numPr>
        <w:spacing w:line="360" w:lineRule="auto"/>
        <w:jc w:val="both"/>
        <w:rPr>
          <w:rFonts w:ascii="Arial" w:hAnsi="Arial" w:cs="Arial"/>
          <w:sz w:val="24"/>
          <w:szCs w:val="24"/>
        </w:rPr>
      </w:pPr>
      <w:r w:rsidRPr="00412EE1">
        <w:rPr>
          <w:rFonts w:ascii="Arial" w:hAnsi="Arial" w:cs="Arial"/>
          <w:sz w:val="24"/>
          <w:szCs w:val="24"/>
        </w:rPr>
        <w:t>Turner, S. (2022). Impact of Project Timeline Delays: Lessons from the Google Headquarters Project. Construction Engineering Journal, 25(2), 89–104.</w:t>
      </w:r>
    </w:p>
    <w:sectPr w:rsidR="00B614E6" w:rsidRPr="00412EE1" w:rsidSect="00412EE1">
      <w:footerReference w:type="default" r:id="rId10"/>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6332B" w14:textId="77777777" w:rsidR="00915BC9" w:rsidRDefault="00915BC9" w:rsidP="00412EE1">
      <w:pPr>
        <w:spacing w:after="0" w:line="240" w:lineRule="auto"/>
      </w:pPr>
      <w:r>
        <w:separator/>
      </w:r>
    </w:p>
  </w:endnote>
  <w:endnote w:type="continuationSeparator" w:id="0">
    <w:p w14:paraId="7CDBFE6F" w14:textId="77777777" w:rsidR="00915BC9" w:rsidRDefault="00915BC9" w:rsidP="00412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766474"/>
      <w:docPartObj>
        <w:docPartGallery w:val="Page Numbers (Bottom of Page)"/>
        <w:docPartUnique/>
      </w:docPartObj>
    </w:sdtPr>
    <w:sdtContent>
      <w:p w14:paraId="55DB4EA1" w14:textId="76C5B3AF" w:rsidR="00412EE1" w:rsidRDefault="00412EE1">
        <w:pPr>
          <w:pStyle w:val="Footer"/>
          <w:jc w:val="center"/>
        </w:pPr>
        <w:r>
          <w:fldChar w:fldCharType="begin"/>
        </w:r>
        <w:r>
          <w:instrText>PAGE   \* MERGEFORMAT</w:instrText>
        </w:r>
        <w:r>
          <w:fldChar w:fldCharType="separate"/>
        </w:r>
        <w:r>
          <w:rPr>
            <w:lang w:val="en-GB"/>
          </w:rPr>
          <w:t>2</w:t>
        </w:r>
        <w:r>
          <w:fldChar w:fldCharType="end"/>
        </w:r>
      </w:p>
    </w:sdtContent>
  </w:sdt>
  <w:p w14:paraId="5D1890E9" w14:textId="77777777" w:rsidR="00412EE1" w:rsidRDefault="00412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91B62" w14:textId="77777777" w:rsidR="00915BC9" w:rsidRDefault="00915BC9" w:rsidP="00412EE1">
      <w:pPr>
        <w:spacing w:after="0" w:line="240" w:lineRule="auto"/>
      </w:pPr>
      <w:r>
        <w:separator/>
      </w:r>
    </w:p>
  </w:footnote>
  <w:footnote w:type="continuationSeparator" w:id="0">
    <w:p w14:paraId="6984D287" w14:textId="77777777" w:rsidR="00915BC9" w:rsidRDefault="00915BC9" w:rsidP="00412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4449F"/>
    <w:multiLevelType w:val="hybridMultilevel"/>
    <w:tmpl w:val="D96ECE7A"/>
    <w:lvl w:ilvl="0" w:tplc="917CEFF2">
      <w:start w:val="1"/>
      <w:numFmt w:val="decimal"/>
      <w:lvlText w:val="%1."/>
      <w:lvlJc w:val="left"/>
      <w:pPr>
        <w:ind w:left="720" w:hanging="360"/>
      </w:pPr>
      <w:rPr>
        <w:rFonts w:hint="default"/>
      </w:rPr>
    </w:lvl>
    <w:lvl w:ilvl="1" w:tplc="A64649DA" w:tentative="1">
      <w:start w:val="1"/>
      <w:numFmt w:val="lowerLetter"/>
      <w:lvlText w:val="%2."/>
      <w:lvlJc w:val="left"/>
      <w:pPr>
        <w:ind w:left="1440" w:hanging="360"/>
      </w:pPr>
    </w:lvl>
    <w:lvl w:ilvl="2" w:tplc="A89CF1CE" w:tentative="1">
      <w:start w:val="1"/>
      <w:numFmt w:val="lowerRoman"/>
      <w:lvlText w:val="%3."/>
      <w:lvlJc w:val="right"/>
      <w:pPr>
        <w:ind w:left="2160" w:hanging="180"/>
      </w:pPr>
    </w:lvl>
    <w:lvl w:ilvl="3" w:tplc="1E5AA70E" w:tentative="1">
      <w:start w:val="1"/>
      <w:numFmt w:val="decimal"/>
      <w:lvlText w:val="%4."/>
      <w:lvlJc w:val="left"/>
      <w:pPr>
        <w:ind w:left="2880" w:hanging="360"/>
      </w:pPr>
    </w:lvl>
    <w:lvl w:ilvl="4" w:tplc="2F400500" w:tentative="1">
      <w:start w:val="1"/>
      <w:numFmt w:val="lowerLetter"/>
      <w:lvlText w:val="%5."/>
      <w:lvlJc w:val="left"/>
      <w:pPr>
        <w:ind w:left="3600" w:hanging="360"/>
      </w:pPr>
    </w:lvl>
    <w:lvl w:ilvl="5" w:tplc="29DEA79C" w:tentative="1">
      <w:start w:val="1"/>
      <w:numFmt w:val="lowerRoman"/>
      <w:lvlText w:val="%6."/>
      <w:lvlJc w:val="right"/>
      <w:pPr>
        <w:ind w:left="4320" w:hanging="180"/>
      </w:pPr>
    </w:lvl>
    <w:lvl w:ilvl="6" w:tplc="76DEBCBC" w:tentative="1">
      <w:start w:val="1"/>
      <w:numFmt w:val="decimal"/>
      <w:lvlText w:val="%7."/>
      <w:lvlJc w:val="left"/>
      <w:pPr>
        <w:ind w:left="5040" w:hanging="360"/>
      </w:pPr>
    </w:lvl>
    <w:lvl w:ilvl="7" w:tplc="0E400D0C" w:tentative="1">
      <w:start w:val="1"/>
      <w:numFmt w:val="lowerLetter"/>
      <w:lvlText w:val="%8."/>
      <w:lvlJc w:val="left"/>
      <w:pPr>
        <w:ind w:left="5760" w:hanging="360"/>
      </w:pPr>
    </w:lvl>
    <w:lvl w:ilvl="8" w:tplc="03728774" w:tentative="1">
      <w:start w:val="1"/>
      <w:numFmt w:val="lowerRoman"/>
      <w:lvlText w:val="%9."/>
      <w:lvlJc w:val="right"/>
      <w:pPr>
        <w:ind w:left="6480" w:hanging="180"/>
      </w:pPr>
    </w:lvl>
  </w:abstractNum>
  <w:abstractNum w:abstractNumId="1" w15:restartNumberingAfterBreak="0">
    <w:nsid w:val="5AF95D20"/>
    <w:multiLevelType w:val="hybridMultilevel"/>
    <w:tmpl w:val="7FF44D8E"/>
    <w:lvl w:ilvl="0" w:tplc="61F20CCC">
      <w:start w:val="1"/>
      <w:numFmt w:val="decimal"/>
      <w:lvlText w:val="%1."/>
      <w:lvlJc w:val="left"/>
      <w:pPr>
        <w:ind w:left="720" w:hanging="360"/>
      </w:pPr>
      <w:rPr>
        <w:rFonts w:hint="default"/>
      </w:rPr>
    </w:lvl>
    <w:lvl w:ilvl="1" w:tplc="42CAA526" w:tentative="1">
      <w:start w:val="1"/>
      <w:numFmt w:val="lowerLetter"/>
      <w:lvlText w:val="%2."/>
      <w:lvlJc w:val="left"/>
      <w:pPr>
        <w:ind w:left="1440" w:hanging="360"/>
      </w:pPr>
    </w:lvl>
    <w:lvl w:ilvl="2" w:tplc="386873D2" w:tentative="1">
      <w:start w:val="1"/>
      <w:numFmt w:val="lowerRoman"/>
      <w:lvlText w:val="%3."/>
      <w:lvlJc w:val="right"/>
      <w:pPr>
        <w:ind w:left="2160" w:hanging="180"/>
      </w:pPr>
    </w:lvl>
    <w:lvl w:ilvl="3" w:tplc="D51C4BBA" w:tentative="1">
      <w:start w:val="1"/>
      <w:numFmt w:val="decimal"/>
      <w:lvlText w:val="%4."/>
      <w:lvlJc w:val="left"/>
      <w:pPr>
        <w:ind w:left="2880" w:hanging="360"/>
      </w:pPr>
    </w:lvl>
    <w:lvl w:ilvl="4" w:tplc="7D9A1E3E" w:tentative="1">
      <w:start w:val="1"/>
      <w:numFmt w:val="lowerLetter"/>
      <w:lvlText w:val="%5."/>
      <w:lvlJc w:val="left"/>
      <w:pPr>
        <w:ind w:left="3600" w:hanging="360"/>
      </w:pPr>
    </w:lvl>
    <w:lvl w:ilvl="5" w:tplc="76E23E2E" w:tentative="1">
      <w:start w:val="1"/>
      <w:numFmt w:val="lowerRoman"/>
      <w:lvlText w:val="%6."/>
      <w:lvlJc w:val="right"/>
      <w:pPr>
        <w:ind w:left="4320" w:hanging="180"/>
      </w:pPr>
    </w:lvl>
    <w:lvl w:ilvl="6" w:tplc="BC3AAB5A" w:tentative="1">
      <w:start w:val="1"/>
      <w:numFmt w:val="decimal"/>
      <w:lvlText w:val="%7."/>
      <w:lvlJc w:val="left"/>
      <w:pPr>
        <w:ind w:left="5040" w:hanging="360"/>
      </w:pPr>
    </w:lvl>
    <w:lvl w:ilvl="7" w:tplc="3C90D7A0" w:tentative="1">
      <w:start w:val="1"/>
      <w:numFmt w:val="lowerLetter"/>
      <w:lvlText w:val="%8."/>
      <w:lvlJc w:val="left"/>
      <w:pPr>
        <w:ind w:left="5760" w:hanging="360"/>
      </w:pPr>
    </w:lvl>
    <w:lvl w:ilvl="8" w:tplc="B9FCAA6A" w:tentative="1">
      <w:start w:val="1"/>
      <w:numFmt w:val="lowerRoman"/>
      <w:lvlText w:val="%9."/>
      <w:lvlJc w:val="right"/>
      <w:pPr>
        <w:ind w:left="6480" w:hanging="180"/>
      </w:pPr>
    </w:lvl>
  </w:abstractNum>
  <w:num w:numId="1" w16cid:durableId="965042849">
    <w:abstractNumId w:val="0"/>
  </w:num>
  <w:num w:numId="2" w16cid:durableId="306015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080A"/>
    <w:rsid w:val="0000123D"/>
    <w:rsid w:val="00071D50"/>
    <w:rsid w:val="001461F1"/>
    <w:rsid w:val="001631B1"/>
    <w:rsid w:val="001B080A"/>
    <w:rsid w:val="00201FCA"/>
    <w:rsid w:val="003450C0"/>
    <w:rsid w:val="003F59AA"/>
    <w:rsid w:val="00412EE1"/>
    <w:rsid w:val="004A6B77"/>
    <w:rsid w:val="007C4821"/>
    <w:rsid w:val="007F2CD2"/>
    <w:rsid w:val="00915BC9"/>
    <w:rsid w:val="009275CB"/>
    <w:rsid w:val="00A649A0"/>
    <w:rsid w:val="00AE2598"/>
    <w:rsid w:val="00AE535E"/>
    <w:rsid w:val="00B614E6"/>
    <w:rsid w:val="00CF5996"/>
    <w:rsid w:val="00D21583"/>
    <w:rsid w:val="00D96D3B"/>
    <w:rsid w:val="00D97F53"/>
    <w:rsid w:val="00E274CC"/>
    <w:rsid w:val="00E91BDA"/>
    <w:rsid w:val="00F243A5"/>
    <w:rsid w:val="00F90BA1"/>
    <w:rsid w:val="00FC1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43D390"/>
  <w15:docId w15:val="{196B8EEA-0B98-4EE0-810E-40D870010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EE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080A"/>
    <w:pPr>
      <w:ind w:left="720"/>
      <w:contextualSpacing/>
    </w:pPr>
  </w:style>
  <w:style w:type="character" w:customStyle="1" w:styleId="Heading1Char">
    <w:name w:val="Heading 1 Char"/>
    <w:basedOn w:val="DefaultParagraphFont"/>
    <w:link w:val="Heading1"/>
    <w:uiPriority w:val="9"/>
    <w:rsid w:val="00412EE1"/>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412E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EE1"/>
  </w:style>
  <w:style w:type="paragraph" w:styleId="Footer">
    <w:name w:val="footer"/>
    <w:basedOn w:val="Normal"/>
    <w:link w:val="FooterChar"/>
    <w:uiPriority w:val="99"/>
    <w:unhideWhenUsed/>
    <w:rsid w:val="00412E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EE1"/>
  </w:style>
  <w:style w:type="paragraph" w:styleId="TOCHeading">
    <w:name w:val="TOC Heading"/>
    <w:basedOn w:val="Heading1"/>
    <w:next w:val="Normal"/>
    <w:uiPriority w:val="39"/>
    <w:unhideWhenUsed/>
    <w:qFormat/>
    <w:rsid w:val="00412EE1"/>
    <w:pPr>
      <w:spacing w:line="259" w:lineRule="auto"/>
      <w:outlineLvl w:val="9"/>
    </w:pPr>
    <w:rPr>
      <w:lang w:val="bg-BG" w:eastAsia="bg-BG"/>
    </w:rPr>
  </w:style>
  <w:style w:type="paragraph" w:styleId="TOC1">
    <w:name w:val="toc 1"/>
    <w:basedOn w:val="Normal"/>
    <w:next w:val="Normal"/>
    <w:autoRedefine/>
    <w:uiPriority w:val="39"/>
    <w:unhideWhenUsed/>
    <w:rsid w:val="00412EE1"/>
    <w:pPr>
      <w:spacing w:after="100"/>
    </w:pPr>
  </w:style>
  <w:style w:type="paragraph" w:styleId="TOC2">
    <w:name w:val="toc 2"/>
    <w:basedOn w:val="Normal"/>
    <w:next w:val="Normal"/>
    <w:autoRedefine/>
    <w:uiPriority w:val="39"/>
    <w:unhideWhenUsed/>
    <w:rsid w:val="00412EE1"/>
    <w:pPr>
      <w:spacing w:after="100"/>
      <w:ind w:left="220"/>
    </w:pPr>
  </w:style>
  <w:style w:type="character" w:styleId="Hyperlink">
    <w:name w:val="Hyperlink"/>
    <w:basedOn w:val="DefaultParagraphFont"/>
    <w:uiPriority w:val="99"/>
    <w:unhideWhenUsed/>
    <w:rsid w:val="00412E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EE5B8A-BA5E-4E71-AF1B-9BF7F54F9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11</Pages>
  <Words>2774</Words>
  <Characters>17177</Characters>
  <Application>Microsoft Office Word</Application>
  <DocSecurity>0</DocSecurity>
  <Lines>272</Lines>
  <Paragraphs>47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Desislava Nikolova</cp:lastModifiedBy>
  <cp:revision>14</cp:revision>
  <dcterms:created xsi:type="dcterms:W3CDTF">2023-11-19T08:38:00Z</dcterms:created>
  <dcterms:modified xsi:type="dcterms:W3CDTF">2023-11-24T23:48:00Z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50e1ed5964bee7db2f7d01e3f0979c3d11f074ed14ccb1f95c02deb7267288a2</vt:lpwstr>
  </property>
</Properties>
</file>