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94BCE" w14:textId="308DC51E" w:rsidR="0033467C" w:rsidRPr="007E0BFD" w:rsidRDefault="00863BDB" w:rsidP="00A36368">
      <w:pPr>
        <w:spacing w:line="360" w:lineRule="auto"/>
        <w:jc w:val="center"/>
        <w:rPr>
          <w:rFonts w:ascii="Arial" w:hAnsi="Arial" w:cs="Arial"/>
          <w:b/>
          <w:bCs/>
          <w:sz w:val="22"/>
          <w:szCs w:val="22"/>
        </w:rPr>
      </w:pPr>
      <w:r w:rsidRPr="007E0BFD">
        <w:rPr>
          <w:rFonts w:ascii="Arial" w:eastAsia="Times New Roman" w:hAnsi="Arial" w:cs="Arial"/>
          <w:noProof/>
          <w:sz w:val="22"/>
          <w:szCs w:val="22"/>
          <w:lang w:eastAsia="en-GB"/>
        </w:rPr>
        <w:drawing>
          <wp:anchor distT="0" distB="0" distL="114300" distR="114300" simplePos="0" relativeHeight="251659264" behindDoc="0" locked="0" layoutInCell="1" allowOverlap="1" wp14:anchorId="49CFD4AF" wp14:editId="78C848B7">
            <wp:simplePos x="0" y="0"/>
            <wp:positionH relativeFrom="margin">
              <wp:align>left</wp:align>
            </wp:positionH>
            <wp:positionV relativeFrom="page">
              <wp:posOffset>485775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069575" w14:textId="77777777" w:rsidR="0033467C" w:rsidRPr="007E0BFD" w:rsidRDefault="0033467C" w:rsidP="00A36368">
      <w:pPr>
        <w:spacing w:line="360" w:lineRule="auto"/>
        <w:jc w:val="center"/>
        <w:rPr>
          <w:rFonts w:ascii="Arial" w:hAnsi="Arial" w:cs="Arial"/>
          <w:b/>
          <w:bCs/>
          <w:sz w:val="22"/>
          <w:szCs w:val="22"/>
        </w:rPr>
      </w:pPr>
    </w:p>
    <w:p w14:paraId="33358E2F" w14:textId="77777777" w:rsidR="0033467C" w:rsidRPr="007E0BFD" w:rsidRDefault="0033467C" w:rsidP="00A36368">
      <w:pPr>
        <w:spacing w:line="360" w:lineRule="auto"/>
        <w:jc w:val="center"/>
        <w:rPr>
          <w:rFonts w:ascii="Arial" w:hAnsi="Arial" w:cs="Arial"/>
          <w:b/>
          <w:bCs/>
          <w:sz w:val="22"/>
          <w:szCs w:val="22"/>
        </w:rPr>
      </w:pPr>
    </w:p>
    <w:p w14:paraId="761D61CA" w14:textId="77777777" w:rsidR="00863BDB" w:rsidRPr="007E0BFD" w:rsidRDefault="00863BDB" w:rsidP="00A36368">
      <w:pPr>
        <w:spacing w:line="360" w:lineRule="auto"/>
        <w:jc w:val="center"/>
        <w:rPr>
          <w:rFonts w:ascii="Arial" w:hAnsi="Arial" w:cs="Arial"/>
          <w:b/>
          <w:bCs/>
          <w:sz w:val="22"/>
          <w:szCs w:val="22"/>
        </w:rPr>
      </w:pPr>
    </w:p>
    <w:p w14:paraId="4525FE66" w14:textId="77777777" w:rsidR="00A36368" w:rsidRPr="007E0BFD" w:rsidRDefault="00A36368" w:rsidP="00A36368">
      <w:pPr>
        <w:spacing w:line="360" w:lineRule="auto"/>
        <w:jc w:val="center"/>
        <w:rPr>
          <w:rFonts w:ascii="Arial" w:eastAsia="Times New Roman" w:hAnsi="Arial" w:cs="Arial"/>
          <w:b/>
          <w:sz w:val="22"/>
          <w:szCs w:val="22"/>
          <w:lang w:eastAsia="en-GB"/>
        </w:rPr>
      </w:pPr>
      <w:r w:rsidRPr="007E0BFD">
        <w:rPr>
          <w:rFonts w:ascii="Arial" w:eastAsia="Times New Roman" w:hAnsi="Arial" w:cs="Arial"/>
          <w:b/>
          <w:sz w:val="22"/>
          <w:szCs w:val="22"/>
          <w:lang w:eastAsia="en-GB"/>
        </w:rPr>
        <w:t xml:space="preserve">Module: </w:t>
      </w:r>
      <w:r w:rsidRPr="007E0BFD">
        <w:rPr>
          <w:rFonts w:ascii="Arial" w:eastAsia="Times New Roman" w:hAnsi="Arial" w:cs="Arial"/>
          <w:bCs/>
          <w:sz w:val="22"/>
          <w:szCs w:val="22"/>
          <w:lang w:eastAsia="en-GB"/>
        </w:rPr>
        <w:t>Developing and Managing Individuals and Teams</w:t>
      </w:r>
    </w:p>
    <w:p w14:paraId="405FAC66" w14:textId="77777777" w:rsidR="00A36368" w:rsidRPr="007E0BFD" w:rsidRDefault="00A36368" w:rsidP="00A36368">
      <w:pPr>
        <w:spacing w:line="360" w:lineRule="auto"/>
        <w:jc w:val="center"/>
        <w:rPr>
          <w:rFonts w:ascii="Arial" w:eastAsia="Times New Roman" w:hAnsi="Arial" w:cs="Arial"/>
          <w:b/>
          <w:sz w:val="22"/>
          <w:szCs w:val="22"/>
          <w:lang w:eastAsia="en-GB"/>
        </w:rPr>
      </w:pPr>
    </w:p>
    <w:p w14:paraId="5666BBD0" w14:textId="6F0CAAF7" w:rsidR="00863BDB" w:rsidRPr="007E0BFD" w:rsidRDefault="00A36368" w:rsidP="00A36368">
      <w:pPr>
        <w:spacing w:before="120" w:after="120" w:line="360" w:lineRule="auto"/>
        <w:jc w:val="center"/>
        <w:rPr>
          <w:rFonts w:ascii="Arial" w:eastAsia="Times New Roman" w:hAnsi="Arial" w:cs="Arial"/>
          <w:b/>
          <w:sz w:val="22"/>
          <w:szCs w:val="22"/>
          <w:lang w:eastAsia="en-GB"/>
        </w:rPr>
      </w:pPr>
      <w:r w:rsidRPr="007E0BFD">
        <w:rPr>
          <w:rFonts w:ascii="Arial" w:eastAsia="Times New Roman" w:hAnsi="Arial" w:cs="Arial"/>
          <w:b/>
          <w:sz w:val="22"/>
          <w:szCs w:val="22"/>
          <w:lang w:eastAsia="en-GB"/>
        </w:rPr>
        <w:t xml:space="preserve">Module code: </w:t>
      </w:r>
      <w:r w:rsidR="00863BDB" w:rsidRPr="007E0BFD">
        <w:rPr>
          <w:rFonts w:ascii="Arial" w:eastAsia="Times New Roman" w:hAnsi="Arial" w:cs="Arial"/>
          <w:bCs/>
          <w:sz w:val="22"/>
          <w:szCs w:val="22"/>
          <w:lang w:eastAsia="en-GB"/>
        </w:rPr>
        <w:t>LCLM5002</w:t>
      </w:r>
    </w:p>
    <w:p w14:paraId="439816B9" w14:textId="77777777" w:rsidR="00A36368" w:rsidRPr="007E0BFD" w:rsidRDefault="00A36368" w:rsidP="00A36368">
      <w:pPr>
        <w:spacing w:before="120" w:after="120" w:line="360" w:lineRule="auto"/>
        <w:jc w:val="center"/>
        <w:rPr>
          <w:rFonts w:ascii="Arial" w:eastAsia="Times New Roman" w:hAnsi="Arial" w:cs="Arial"/>
          <w:b/>
          <w:sz w:val="22"/>
          <w:szCs w:val="22"/>
          <w:lang w:eastAsia="en-GB"/>
        </w:rPr>
      </w:pPr>
    </w:p>
    <w:p w14:paraId="718F89DB" w14:textId="037C48FF" w:rsidR="00863BDB" w:rsidRPr="007E0BFD" w:rsidRDefault="00A36368" w:rsidP="00A36368">
      <w:pPr>
        <w:spacing w:before="120" w:after="120" w:line="360" w:lineRule="auto"/>
        <w:jc w:val="center"/>
        <w:rPr>
          <w:rFonts w:ascii="Arial" w:eastAsia="Times New Roman" w:hAnsi="Arial" w:cs="Arial"/>
          <w:b/>
          <w:sz w:val="22"/>
          <w:szCs w:val="22"/>
          <w:lang w:eastAsia="en-GB"/>
        </w:rPr>
      </w:pPr>
      <w:r w:rsidRPr="007E0BFD">
        <w:rPr>
          <w:rFonts w:ascii="Arial" w:eastAsia="Times New Roman" w:hAnsi="Arial" w:cs="Arial"/>
          <w:b/>
          <w:sz w:val="22"/>
          <w:szCs w:val="22"/>
          <w:lang w:eastAsia="en-GB"/>
        </w:rPr>
        <w:t xml:space="preserve">Assignment Title: </w:t>
      </w:r>
      <w:r w:rsidR="00863BDB" w:rsidRPr="007E0BFD">
        <w:rPr>
          <w:rFonts w:ascii="Arial" w:eastAsia="Times New Roman" w:hAnsi="Arial" w:cs="Arial"/>
          <w:sz w:val="22"/>
          <w:szCs w:val="22"/>
          <w:lang w:eastAsia="en-GB"/>
        </w:rPr>
        <w:t>Component 2- Individual Report</w:t>
      </w:r>
    </w:p>
    <w:p w14:paraId="130AD860" w14:textId="77777777" w:rsidR="0033467C" w:rsidRPr="007E0BFD" w:rsidRDefault="0033467C" w:rsidP="00A36368">
      <w:pPr>
        <w:spacing w:line="360" w:lineRule="auto"/>
        <w:jc w:val="center"/>
        <w:rPr>
          <w:rFonts w:ascii="Arial" w:hAnsi="Arial" w:cs="Arial"/>
          <w:b/>
          <w:bCs/>
          <w:sz w:val="22"/>
          <w:szCs w:val="22"/>
        </w:rPr>
      </w:pPr>
    </w:p>
    <w:p w14:paraId="180F2B54" w14:textId="221BA6C8" w:rsidR="009C2BDF" w:rsidRPr="007E0BFD" w:rsidRDefault="0033467C" w:rsidP="00A36368">
      <w:pPr>
        <w:spacing w:line="360" w:lineRule="auto"/>
        <w:jc w:val="center"/>
        <w:rPr>
          <w:rFonts w:ascii="Arial" w:hAnsi="Arial" w:cs="Arial"/>
          <w:b/>
          <w:bCs/>
          <w:sz w:val="22"/>
          <w:szCs w:val="22"/>
        </w:rPr>
      </w:pPr>
      <w:r w:rsidRPr="007E0BFD">
        <w:rPr>
          <w:rFonts w:ascii="Arial" w:hAnsi="Arial" w:cs="Arial"/>
          <w:b/>
          <w:bCs/>
          <w:sz w:val="22"/>
          <w:szCs w:val="22"/>
        </w:rPr>
        <w:t>Contemporary HR Challenges and Practices at Tesco PLC: Technological Advancement, Talent Retention and Diversity, Equity and Inclusion</w:t>
      </w:r>
    </w:p>
    <w:p w14:paraId="47497576" w14:textId="77777777" w:rsidR="0033467C" w:rsidRPr="007E0BFD" w:rsidRDefault="0033467C" w:rsidP="00A36368">
      <w:pPr>
        <w:spacing w:line="360" w:lineRule="auto"/>
        <w:jc w:val="center"/>
        <w:rPr>
          <w:rFonts w:ascii="Arial" w:hAnsi="Arial" w:cs="Arial"/>
          <w:b/>
          <w:bCs/>
          <w:sz w:val="22"/>
          <w:szCs w:val="22"/>
        </w:rPr>
      </w:pPr>
    </w:p>
    <w:p w14:paraId="7ACE09D2" w14:textId="7E093120" w:rsidR="0033467C" w:rsidRPr="007E0BFD" w:rsidRDefault="0033467C" w:rsidP="00A36368">
      <w:pPr>
        <w:spacing w:line="360" w:lineRule="auto"/>
        <w:jc w:val="center"/>
        <w:rPr>
          <w:rFonts w:ascii="Arial" w:hAnsi="Arial" w:cs="Arial"/>
          <w:b/>
          <w:bCs/>
          <w:sz w:val="22"/>
          <w:szCs w:val="22"/>
          <w:lang w:val="nl-NL"/>
        </w:rPr>
      </w:pPr>
      <w:r w:rsidRPr="007E0BFD">
        <w:rPr>
          <w:rFonts w:ascii="Arial" w:hAnsi="Arial" w:cs="Arial"/>
          <w:b/>
          <w:bCs/>
          <w:sz w:val="22"/>
          <w:szCs w:val="22"/>
          <w:lang w:val="nl-NL"/>
        </w:rPr>
        <w:t>Student Name:</w:t>
      </w:r>
      <w:r w:rsidR="00321E5E" w:rsidRPr="007E0BFD">
        <w:rPr>
          <w:rFonts w:ascii="Arial" w:hAnsi="Arial" w:cs="Arial"/>
          <w:b/>
          <w:bCs/>
          <w:sz w:val="22"/>
          <w:szCs w:val="22"/>
          <w:lang w:val="nl-NL"/>
        </w:rPr>
        <w:t xml:space="preserve"> Zaffar Hussain</w:t>
      </w:r>
    </w:p>
    <w:p w14:paraId="4001BC0A" w14:textId="3E455CF6" w:rsidR="0033467C" w:rsidRPr="007E0BFD" w:rsidRDefault="0033467C" w:rsidP="00A36368">
      <w:pPr>
        <w:spacing w:line="360" w:lineRule="auto"/>
        <w:jc w:val="center"/>
        <w:rPr>
          <w:rFonts w:ascii="Arial" w:hAnsi="Arial" w:cs="Arial"/>
          <w:b/>
          <w:bCs/>
          <w:sz w:val="22"/>
          <w:szCs w:val="22"/>
          <w:lang w:val="nl-NL"/>
        </w:rPr>
      </w:pPr>
      <w:r w:rsidRPr="007E0BFD">
        <w:rPr>
          <w:rFonts w:ascii="Arial" w:hAnsi="Arial" w:cs="Arial"/>
          <w:b/>
          <w:bCs/>
          <w:sz w:val="22"/>
          <w:szCs w:val="22"/>
          <w:lang w:val="nl-NL"/>
        </w:rPr>
        <w:t>Student ID:</w:t>
      </w:r>
      <w:r w:rsidR="00321E5E" w:rsidRPr="007E0BFD">
        <w:rPr>
          <w:rFonts w:ascii="Arial" w:hAnsi="Arial" w:cs="Arial"/>
          <w:b/>
          <w:bCs/>
          <w:sz w:val="22"/>
          <w:szCs w:val="22"/>
          <w:lang w:val="nl-NL"/>
        </w:rPr>
        <w:t xml:space="preserve"> 2436275</w:t>
      </w:r>
    </w:p>
    <w:p w14:paraId="44B86F46" w14:textId="77777777" w:rsidR="00A36368" w:rsidRPr="007E0BFD" w:rsidRDefault="00A36368" w:rsidP="00A36368">
      <w:pPr>
        <w:spacing w:line="360" w:lineRule="auto"/>
        <w:jc w:val="center"/>
        <w:rPr>
          <w:rFonts w:ascii="Arial" w:hAnsi="Arial" w:cs="Arial"/>
          <w:b/>
          <w:bCs/>
          <w:sz w:val="22"/>
          <w:szCs w:val="22"/>
          <w:lang w:val="nl-NL"/>
        </w:rPr>
      </w:pPr>
    </w:p>
    <w:p w14:paraId="09B2DF06" w14:textId="64FAB316" w:rsidR="00A36368" w:rsidRPr="007E0BFD" w:rsidRDefault="00D954C1" w:rsidP="00A36368">
      <w:pPr>
        <w:spacing w:before="120" w:after="120" w:line="360" w:lineRule="auto"/>
        <w:jc w:val="center"/>
        <w:rPr>
          <w:rFonts w:ascii="Arial" w:hAnsi="Arial" w:cs="Arial"/>
          <w:b/>
          <w:bCs/>
          <w:sz w:val="22"/>
          <w:szCs w:val="22"/>
        </w:rPr>
      </w:pPr>
      <w:r>
        <w:rPr>
          <w:rFonts w:ascii="Arial" w:hAnsi="Arial" w:cs="Arial"/>
          <w:b/>
          <w:bCs/>
          <w:sz w:val="22"/>
          <w:szCs w:val="22"/>
        </w:rPr>
        <w:t>L</w:t>
      </w:r>
      <w:r w:rsidRPr="00D954C1">
        <w:rPr>
          <w:rFonts w:ascii="Arial" w:hAnsi="Arial" w:cs="Arial"/>
          <w:b/>
          <w:bCs/>
          <w:sz w:val="22"/>
          <w:szCs w:val="22"/>
        </w:rPr>
        <w:t xml:space="preserve">ecturer </w:t>
      </w:r>
      <w:r>
        <w:rPr>
          <w:rFonts w:ascii="Arial" w:hAnsi="Arial" w:cs="Arial"/>
          <w:b/>
          <w:bCs/>
          <w:sz w:val="22"/>
          <w:szCs w:val="22"/>
        </w:rPr>
        <w:t>N</w:t>
      </w:r>
      <w:r w:rsidRPr="00D954C1">
        <w:rPr>
          <w:rFonts w:ascii="Arial" w:hAnsi="Arial" w:cs="Arial"/>
          <w:b/>
          <w:bCs/>
          <w:sz w:val="22"/>
          <w:szCs w:val="22"/>
        </w:rPr>
        <w:t>ame</w:t>
      </w:r>
      <w:r>
        <w:rPr>
          <w:rFonts w:ascii="Arial" w:hAnsi="Arial" w:cs="Arial"/>
          <w:b/>
          <w:bCs/>
          <w:sz w:val="22"/>
          <w:szCs w:val="22"/>
        </w:rPr>
        <w:t>:</w:t>
      </w:r>
      <w:r w:rsidRPr="00D954C1">
        <w:rPr>
          <w:rFonts w:ascii="Arial" w:hAnsi="Arial" w:cs="Arial"/>
          <w:b/>
          <w:bCs/>
          <w:sz w:val="22"/>
          <w:szCs w:val="22"/>
        </w:rPr>
        <w:t xml:space="preserve"> </w:t>
      </w:r>
      <w:r>
        <w:rPr>
          <w:rFonts w:ascii="Arial" w:hAnsi="Arial" w:cs="Arial"/>
          <w:b/>
          <w:bCs/>
          <w:sz w:val="22"/>
          <w:szCs w:val="22"/>
        </w:rPr>
        <w:t>D</w:t>
      </w:r>
      <w:r w:rsidRPr="00D954C1">
        <w:rPr>
          <w:rFonts w:ascii="Arial" w:hAnsi="Arial" w:cs="Arial"/>
          <w:b/>
          <w:bCs/>
          <w:sz w:val="22"/>
          <w:szCs w:val="22"/>
        </w:rPr>
        <w:t>r</w:t>
      </w:r>
      <w:r>
        <w:rPr>
          <w:rFonts w:ascii="Arial" w:hAnsi="Arial" w:cs="Arial"/>
          <w:b/>
          <w:bCs/>
          <w:sz w:val="22"/>
          <w:szCs w:val="22"/>
        </w:rPr>
        <w:t>.</w:t>
      </w:r>
      <w:r w:rsidRPr="00D954C1">
        <w:rPr>
          <w:rFonts w:ascii="Arial" w:hAnsi="Arial" w:cs="Arial"/>
          <w:b/>
          <w:bCs/>
          <w:sz w:val="22"/>
          <w:szCs w:val="22"/>
        </w:rPr>
        <w:t xml:space="preserve"> Samson </w:t>
      </w:r>
      <w:r>
        <w:rPr>
          <w:rFonts w:ascii="Arial" w:hAnsi="Arial" w:cs="Arial"/>
          <w:b/>
          <w:bCs/>
          <w:sz w:val="22"/>
          <w:szCs w:val="22"/>
        </w:rPr>
        <w:t>O</w:t>
      </w:r>
      <w:r w:rsidRPr="00D954C1">
        <w:rPr>
          <w:rFonts w:ascii="Arial" w:hAnsi="Arial" w:cs="Arial"/>
          <w:b/>
          <w:bCs/>
          <w:sz w:val="22"/>
          <w:szCs w:val="22"/>
        </w:rPr>
        <w:t>ladego</w:t>
      </w:r>
    </w:p>
    <w:p w14:paraId="6997A0B2" w14:textId="77777777" w:rsidR="00A36368" w:rsidRPr="007E0BFD" w:rsidRDefault="00A36368" w:rsidP="00A36368">
      <w:pPr>
        <w:spacing w:line="360" w:lineRule="auto"/>
        <w:jc w:val="center"/>
        <w:rPr>
          <w:rFonts w:ascii="Arial" w:hAnsi="Arial" w:cs="Arial"/>
          <w:b/>
          <w:bCs/>
          <w:sz w:val="22"/>
          <w:szCs w:val="22"/>
        </w:rPr>
      </w:pPr>
    </w:p>
    <w:p w14:paraId="648914F1" w14:textId="7BBB83D4" w:rsidR="0033467C" w:rsidRPr="007E0BFD" w:rsidRDefault="0033467C" w:rsidP="00A36368">
      <w:pPr>
        <w:spacing w:line="360" w:lineRule="auto"/>
        <w:jc w:val="center"/>
        <w:rPr>
          <w:rFonts w:ascii="Arial" w:hAnsi="Arial" w:cs="Arial"/>
          <w:b/>
          <w:bCs/>
          <w:sz w:val="22"/>
          <w:szCs w:val="22"/>
        </w:rPr>
      </w:pPr>
    </w:p>
    <w:p w14:paraId="0C6BC91E" w14:textId="032FE44B" w:rsidR="006D4FC3" w:rsidRPr="007E0BFD" w:rsidRDefault="0033467C" w:rsidP="00A36368">
      <w:pPr>
        <w:spacing w:line="360" w:lineRule="auto"/>
        <w:jc w:val="center"/>
        <w:rPr>
          <w:rFonts w:ascii="Arial" w:hAnsi="Arial" w:cs="Arial"/>
          <w:sz w:val="22"/>
          <w:szCs w:val="22"/>
        </w:rPr>
      </w:pPr>
      <w:r w:rsidRPr="007E0BFD">
        <w:rPr>
          <w:rFonts w:ascii="Arial" w:hAnsi="Arial" w:cs="Arial"/>
          <w:b/>
          <w:bCs/>
          <w:sz w:val="22"/>
          <w:szCs w:val="22"/>
        </w:rPr>
        <w:t xml:space="preserve">Word </w:t>
      </w:r>
      <w:r w:rsidR="00863BDB" w:rsidRPr="007E0BFD">
        <w:rPr>
          <w:rFonts w:ascii="Arial" w:hAnsi="Arial" w:cs="Arial"/>
          <w:b/>
          <w:bCs/>
          <w:sz w:val="22"/>
          <w:szCs w:val="22"/>
        </w:rPr>
        <w:t>C</w:t>
      </w:r>
      <w:r w:rsidRPr="007E0BFD">
        <w:rPr>
          <w:rFonts w:ascii="Arial" w:hAnsi="Arial" w:cs="Arial"/>
          <w:b/>
          <w:bCs/>
          <w:sz w:val="22"/>
          <w:szCs w:val="22"/>
        </w:rPr>
        <w:t xml:space="preserve">ount: </w:t>
      </w:r>
      <w:r w:rsidR="00A36368" w:rsidRPr="007E0BFD">
        <w:rPr>
          <w:rFonts w:ascii="Arial" w:hAnsi="Arial" w:cs="Arial"/>
          <w:sz w:val="22"/>
          <w:szCs w:val="22"/>
        </w:rPr>
        <w:t>21</w:t>
      </w:r>
      <w:r w:rsidR="005D394A" w:rsidRPr="007E0BFD">
        <w:rPr>
          <w:rFonts w:ascii="Arial" w:hAnsi="Arial" w:cs="Arial"/>
          <w:sz w:val="22"/>
          <w:szCs w:val="22"/>
        </w:rPr>
        <w:t>5</w:t>
      </w:r>
      <w:r w:rsidR="00926E22" w:rsidRPr="007E0BFD">
        <w:rPr>
          <w:rFonts w:ascii="Arial" w:hAnsi="Arial" w:cs="Arial"/>
          <w:sz w:val="22"/>
          <w:szCs w:val="22"/>
        </w:rPr>
        <w:t>1</w:t>
      </w:r>
      <w:r w:rsidR="005D394A" w:rsidRPr="007E0BFD">
        <w:rPr>
          <w:rFonts w:ascii="Arial" w:hAnsi="Arial" w:cs="Arial"/>
          <w:sz w:val="22"/>
          <w:szCs w:val="22"/>
        </w:rPr>
        <w:t xml:space="preserve"> </w:t>
      </w:r>
    </w:p>
    <w:p w14:paraId="62B2840A" w14:textId="77777777" w:rsidR="001D6DA3" w:rsidRPr="007E0BFD" w:rsidRDefault="001D6DA3" w:rsidP="00A36368">
      <w:pPr>
        <w:spacing w:line="360" w:lineRule="auto"/>
        <w:jc w:val="center"/>
        <w:rPr>
          <w:rFonts w:ascii="Arial" w:hAnsi="Arial" w:cs="Arial"/>
          <w:sz w:val="22"/>
          <w:szCs w:val="22"/>
        </w:rPr>
      </w:pPr>
    </w:p>
    <w:p w14:paraId="57485FB2" w14:textId="77777777" w:rsidR="001D6DA3" w:rsidRPr="007E0BFD" w:rsidRDefault="001D6DA3" w:rsidP="00A36368">
      <w:pPr>
        <w:spacing w:line="360" w:lineRule="auto"/>
        <w:jc w:val="center"/>
        <w:rPr>
          <w:rFonts w:ascii="Arial" w:hAnsi="Arial" w:cs="Arial"/>
          <w:sz w:val="22"/>
          <w:szCs w:val="22"/>
        </w:rPr>
      </w:pPr>
    </w:p>
    <w:p w14:paraId="2EC55AFC" w14:textId="77777777" w:rsidR="001D6DA3" w:rsidRPr="007E0BFD" w:rsidRDefault="001D6DA3" w:rsidP="00A36368">
      <w:pPr>
        <w:spacing w:line="360" w:lineRule="auto"/>
        <w:jc w:val="center"/>
        <w:rPr>
          <w:rFonts w:ascii="Arial" w:hAnsi="Arial" w:cs="Arial"/>
          <w:sz w:val="22"/>
          <w:szCs w:val="22"/>
        </w:rPr>
      </w:pPr>
    </w:p>
    <w:p w14:paraId="0DD14D14" w14:textId="77777777" w:rsidR="001D6DA3" w:rsidRPr="007E0BFD" w:rsidRDefault="001D6DA3" w:rsidP="00A36368">
      <w:pPr>
        <w:spacing w:line="360" w:lineRule="auto"/>
        <w:jc w:val="center"/>
        <w:rPr>
          <w:rFonts w:ascii="Arial" w:hAnsi="Arial" w:cs="Arial"/>
          <w:sz w:val="22"/>
          <w:szCs w:val="22"/>
        </w:rPr>
      </w:pPr>
    </w:p>
    <w:p w14:paraId="15CAF175" w14:textId="77777777" w:rsidR="001D6DA3" w:rsidRPr="007E0BFD" w:rsidRDefault="001D6DA3" w:rsidP="00A36368">
      <w:pPr>
        <w:spacing w:line="360" w:lineRule="auto"/>
        <w:jc w:val="center"/>
        <w:rPr>
          <w:rFonts w:ascii="Arial" w:hAnsi="Arial" w:cs="Arial"/>
          <w:sz w:val="22"/>
          <w:szCs w:val="22"/>
        </w:rPr>
      </w:pPr>
    </w:p>
    <w:p w14:paraId="1E54CD85" w14:textId="5622C84D" w:rsidR="001D6DA3" w:rsidRPr="007E0BFD" w:rsidRDefault="001D6DA3" w:rsidP="007E3437">
      <w:pPr>
        <w:spacing w:line="360" w:lineRule="auto"/>
        <w:jc w:val="center"/>
        <w:rPr>
          <w:rFonts w:ascii="Arial" w:hAnsi="Arial" w:cs="Arial"/>
          <w:b/>
          <w:bCs/>
        </w:rPr>
      </w:pPr>
      <w:r w:rsidRPr="007E0BFD">
        <w:rPr>
          <w:rFonts w:ascii="Arial" w:hAnsi="Arial" w:cs="Arial"/>
          <w:b/>
          <w:bCs/>
        </w:rPr>
        <w:t xml:space="preserve">Executive Summary </w:t>
      </w:r>
    </w:p>
    <w:p w14:paraId="2E4F5E9B" w14:textId="23B48994" w:rsidR="001D6DA3" w:rsidRPr="007E0BFD" w:rsidRDefault="007E3437" w:rsidP="007E3437">
      <w:pPr>
        <w:spacing w:line="360" w:lineRule="auto"/>
        <w:jc w:val="both"/>
        <w:rPr>
          <w:rFonts w:ascii="Arial" w:hAnsi="Arial" w:cs="Arial"/>
          <w:sz w:val="22"/>
          <w:szCs w:val="22"/>
        </w:rPr>
      </w:pPr>
      <w:r w:rsidRPr="007E0BFD">
        <w:rPr>
          <w:rFonts w:ascii="Arial" w:hAnsi="Arial" w:cs="Arial"/>
          <w:sz w:val="22"/>
          <w:szCs w:val="22"/>
        </w:rPr>
        <w:t>This report critically appraises interrelated HR challenges faced by Tesco PLC</w:t>
      </w:r>
      <w:r w:rsidR="00AE5B1D" w:rsidRPr="007E0BFD">
        <w:rPr>
          <w:rFonts w:ascii="Arial" w:hAnsi="Arial" w:cs="Arial"/>
          <w:sz w:val="22"/>
          <w:szCs w:val="22"/>
        </w:rPr>
        <w:t>,</w:t>
      </w:r>
      <w:r w:rsidRPr="007E0BFD">
        <w:rPr>
          <w:rFonts w:ascii="Arial" w:hAnsi="Arial" w:cs="Arial"/>
          <w:sz w:val="22"/>
          <w:szCs w:val="22"/>
        </w:rPr>
        <w:t xml:space="preserve"> namely technological advancement, talent attraction and retention and equity, diversity and inclusion. While digital systems and people analytics can enhance efficiency and make better business choices, they also can generate skill shortages, employee anxiety and questions about workplace management. Competitive compensation and benefits are not the only factors for retention – fair management and career development, as well as wellbeing and employee voice, play a role as well. Weak accountability needs to be improved to increase representation and equitable career development processes, despite a number of initiatives towards inclusion at Tesco. The report suggests a combination of approaches that the selected Tayloristic elements are </w:t>
      </w:r>
      <w:r w:rsidR="00AE5B1D" w:rsidRPr="007E0BFD">
        <w:rPr>
          <w:rFonts w:ascii="Arial" w:hAnsi="Arial" w:cs="Arial"/>
          <w:sz w:val="22"/>
          <w:szCs w:val="22"/>
        </w:rPr>
        <w:t>complementary to</w:t>
      </w:r>
      <w:r w:rsidRPr="007E0BFD">
        <w:rPr>
          <w:rFonts w:ascii="Arial" w:hAnsi="Arial" w:cs="Arial"/>
          <w:sz w:val="22"/>
          <w:szCs w:val="22"/>
        </w:rPr>
        <w:t xml:space="preserve"> a more uniform process and measurable standards, while a more prevalent humanistic approach safeguards the dignity, autonomy, participation and development of employees. The proposed action plan clearly links each of the recommendations to the related issues in the report and builds in clear responsibilities, timelines and performance measures.</w:t>
      </w:r>
    </w:p>
    <w:p w14:paraId="68FF13EC" w14:textId="77777777" w:rsidR="001D6DA3" w:rsidRPr="007E0BFD" w:rsidRDefault="001D6DA3" w:rsidP="007E3437">
      <w:pPr>
        <w:spacing w:line="360" w:lineRule="auto"/>
        <w:rPr>
          <w:rFonts w:ascii="Arial" w:hAnsi="Arial" w:cs="Arial"/>
          <w:sz w:val="22"/>
          <w:szCs w:val="22"/>
        </w:rPr>
      </w:pPr>
    </w:p>
    <w:p w14:paraId="1622D0C7" w14:textId="77777777" w:rsidR="001D6DA3" w:rsidRPr="007E0BFD" w:rsidRDefault="001D6DA3" w:rsidP="00A36368">
      <w:pPr>
        <w:spacing w:line="360" w:lineRule="auto"/>
        <w:jc w:val="center"/>
        <w:rPr>
          <w:rFonts w:ascii="Arial" w:hAnsi="Arial" w:cs="Arial"/>
          <w:sz w:val="22"/>
          <w:szCs w:val="22"/>
        </w:rPr>
      </w:pPr>
    </w:p>
    <w:p w14:paraId="114DD511" w14:textId="77777777" w:rsidR="001D6DA3" w:rsidRPr="007E0BFD" w:rsidRDefault="001D6DA3" w:rsidP="00A36368">
      <w:pPr>
        <w:spacing w:line="360" w:lineRule="auto"/>
        <w:jc w:val="center"/>
        <w:rPr>
          <w:rFonts w:ascii="Arial" w:hAnsi="Arial" w:cs="Arial"/>
          <w:sz w:val="22"/>
          <w:szCs w:val="22"/>
        </w:rPr>
      </w:pPr>
    </w:p>
    <w:p w14:paraId="2913C79A" w14:textId="77777777" w:rsidR="001D6DA3" w:rsidRPr="007E0BFD" w:rsidRDefault="001D6DA3" w:rsidP="00A36368">
      <w:pPr>
        <w:spacing w:line="360" w:lineRule="auto"/>
        <w:jc w:val="center"/>
        <w:rPr>
          <w:rFonts w:ascii="Arial" w:hAnsi="Arial" w:cs="Arial"/>
          <w:sz w:val="22"/>
          <w:szCs w:val="22"/>
        </w:rPr>
      </w:pPr>
    </w:p>
    <w:p w14:paraId="1DE9DEF0" w14:textId="77777777" w:rsidR="001D6DA3" w:rsidRPr="007E0BFD" w:rsidRDefault="001D6DA3" w:rsidP="00A36368">
      <w:pPr>
        <w:spacing w:line="360" w:lineRule="auto"/>
        <w:jc w:val="center"/>
        <w:rPr>
          <w:rFonts w:ascii="Arial" w:hAnsi="Arial" w:cs="Arial"/>
          <w:sz w:val="22"/>
          <w:szCs w:val="22"/>
        </w:rPr>
      </w:pPr>
    </w:p>
    <w:p w14:paraId="7F473C63" w14:textId="77777777" w:rsidR="001D6DA3" w:rsidRPr="007E0BFD" w:rsidRDefault="001D6DA3" w:rsidP="00A36368">
      <w:pPr>
        <w:spacing w:line="360" w:lineRule="auto"/>
        <w:jc w:val="center"/>
        <w:rPr>
          <w:rFonts w:ascii="Arial" w:hAnsi="Arial" w:cs="Arial"/>
          <w:sz w:val="22"/>
          <w:szCs w:val="22"/>
        </w:rPr>
      </w:pPr>
    </w:p>
    <w:p w14:paraId="615ECFA8" w14:textId="77777777" w:rsidR="001D6DA3" w:rsidRPr="007E0BFD" w:rsidRDefault="001D6DA3" w:rsidP="00A36368">
      <w:pPr>
        <w:spacing w:line="360" w:lineRule="auto"/>
        <w:jc w:val="center"/>
        <w:rPr>
          <w:rFonts w:ascii="Arial" w:hAnsi="Arial" w:cs="Arial"/>
          <w:sz w:val="22"/>
          <w:szCs w:val="22"/>
        </w:rPr>
      </w:pPr>
    </w:p>
    <w:p w14:paraId="04A97DB3" w14:textId="77777777" w:rsidR="001D6DA3" w:rsidRPr="007E0BFD" w:rsidRDefault="001D6DA3" w:rsidP="00A36368">
      <w:pPr>
        <w:spacing w:line="360" w:lineRule="auto"/>
        <w:jc w:val="center"/>
        <w:rPr>
          <w:rFonts w:ascii="Arial" w:hAnsi="Arial" w:cs="Arial"/>
          <w:sz w:val="22"/>
          <w:szCs w:val="22"/>
        </w:rPr>
      </w:pPr>
    </w:p>
    <w:p w14:paraId="629C8677" w14:textId="77777777" w:rsidR="001D6DA3" w:rsidRPr="007E0BFD" w:rsidRDefault="001D6DA3" w:rsidP="00A36368">
      <w:pPr>
        <w:spacing w:line="360" w:lineRule="auto"/>
        <w:jc w:val="center"/>
        <w:rPr>
          <w:rFonts w:ascii="Arial" w:hAnsi="Arial" w:cs="Arial"/>
          <w:sz w:val="22"/>
          <w:szCs w:val="22"/>
        </w:rPr>
      </w:pPr>
    </w:p>
    <w:p w14:paraId="7D3B1C95" w14:textId="77777777" w:rsidR="001D6DA3" w:rsidRPr="007E0BFD" w:rsidRDefault="001D6DA3" w:rsidP="00A36368">
      <w:pPr>
        <w:spacing w:line="360" w:lineRule="auto"/>
        <w:jc w:val="center"/>
        <w:rPr>
          <w:rFonts w:ascii="Arial" w:hAnsi="Arial" w:cs="Arial"/>
          <w:sz w:val="22"/>
          <w:szCs w:val="22"/>
        </w:rPr>
      </w:pPr>
    </w:p>
    <w:p w14:paraId="0E2BE945" w14:textId="77777777" w:rsidR="001D6DA3" w:rsidRPr="007E0BFD" w:rsidRDefault="001D6DA3" w:rsidP="00A36368">
      <w:pPr>
        <w:spacing w:line="360" w:lineRule="auto"/>
        <w:jc w:val="center"/>
        <w:rPr>
          <w:rFonts w:ascii="Arial" w:hAnsi="Arial" w:cs="Arial"/>
          <w:sz w:val="22"/>
          <w:szCs w:val="22"/>
        </w:rPr>
      </w:pPr>
    </w:p>
    <w:p w14:paraId="42330562" w14:textId="77777777" w:rsidR="001D6DA3" w:rsidRPr="007E0BFD" w:rsidRDefault="001D6DA3" w:rsidP="00A36368">
      <w:pPr>
        <w:spacing w:line="360" w:lineRule="auto"/>
        <w:jc w:val="center"/>
        <w:rPr>
          <w:rFonts w:ascii="Arial" w:hAnsi="Arial" w:cs="Arial"/>
          <w:sz w:val="22"/>
          <w:szCs w:val="22"/>
        </w:rPr>
      </w:pPr>
    </w:p>
    <w:p w14:paraId="4329B096" w14:textId="30FC76C3" w:rsidR="006D4FC3" w:rsidRPr="007E0BFD" w:rsidRDefault="006D4FC3" w:rsidP="00A36368">
      <w:pPr>
        <w:spacing w:line="360" w:lineRule="auto"/>
        <w:rPr>
          <w:rFonts w:ascii="Arial" w:hAnsi="Arial" w:cs="Arial"/>
          <w:b/>
          <w:bCs/>
          <w:sz w:val="22"/>
          <w:szCs w:val="22"/>
        </w:rPr>
      </w:pPr>
    </w:p>
    <w:sdt>
      <w:sdtPr>
        <w:rPr>
          <w:rFonts w:ascii="Arial" w:eastAsiaTheme="minorHAnsi" w:hAnsi="Arial" w:cs="Arial"/>
          <w:color w:val="auto"/>
          <w:kern w:val="2"/>
          <w:sz w:val="22"/>
          <w:szCs w:val="22"/>
          <w:lang w:eastAsia="en-US"/>
          <w14:ligatures w14:val="standardContextual"/>
        </w:rPr>
        <w:id w:val="268205139"/>
        <w:docPartObj>
          <w:docPartGallery w:val="Table of Contents"/>
          <w:docPartUnique/>
        </w:docPartObj>
      </w:sdtPr>
      <w:sdtEndPr>
        <w:rPr>
          <w:b/>
          <w:bCs/>
        </w:rPr>
      </w:sdtEndPr>
      <w:sdtContent>
        <w:p w14:paraId="2649C562" w14:textId="403273A0" w:rsidR="006D4FC3" w:rsidRPr="007E0BFD" w:rsidRDefault="006D4FC3" w:rsidP="00A36368">
          <w:pPr>
            <w:pStyle w:val="TOCHeading"/>
            <w:spacing w:line="360" w:lineRule="auto"/>
            <w:rPr>
              <w:rFonts w:ascii="Arial" w:eastAsiaTheme="minorHAnsi" w:hAnsi="Arial" w:cs="Arial"/>
              <w:color w:val="auto"/>
              <w:kern w:val="2"/>
              <w:sz w:val="22"/>
              <w:szCs w:val="22"/>
              <w:lang w:eastAsia="en-US"/>
              <w14:ligatures w14:val="standardContextual"/>
            </w:rPr>
          </w:pPr>
          <w:r w:rsidRPr="007E0BFD">
            <w:rPr>
              <w:rFonts w:ascii="Arial" w:hAnsi="Arial" w:cs="Arial"/>
              <w:color w:val="auto"/>
              <w:sz w:val="22"/>
              <w:szCs w:val="22"/>
            </w:rPr>
            <w:t>Contents</w:t>
          </w:r>
        </w:p>
        <w:p w14:paraId="3ECF3518" w14:textId="44CE8A97" w:rsidR="00A36368" w:rsidRPr="007E0BFD" w:rsidRDefault="006D4FC3" w:rsidP="00A36368">
          <w:pPr>
            <w:pStyle w:val="TOC1"/>
            <w:tabs>
              <w:tab w:val="right" w:leader="dot" w:pos="9350"/>
            </w:tabs>
            <w:spacing w:line="360" w:lineRule="auto"/>
            <w:rPr>
              <w:rFonts w:ascii="Arial" w:eastAsiaTheme="minorEastAsia" w:hAnsi="Arial" w:cs="Arial"/>
              <w:noProof/>
              <w:sz w:val="22"/>
              <w:szCs w:val="22"/>
              <w:lang w:eastAsia="en-GB"/>
            </w:rPr>
          </w:pPr>
          <w:r w:rsidRPr="007E0BFD">
            <w:rPr>
              <w:rFonts w:ascii="Arial" w:hAnsi="Arial" w:cs="Arial"/>
              <w:sz w:val="22"/>
              <w:szCs w:val="22"/>
            </w:rPr>
            <w:fldChar w:fldCharType="begin"/>
          </w:r>
          <w:r w:rsidRPr="007E0BFD">
            <w:rPr>
              <w:rFonts w:ascii="Arial" w:hAnsi="Arial" w:cs="Arial"/>
              <w:sz w:val="22"/>
              <w:szCs w:val="22"/>
            </w:rPr>
            <w:instrText xml:space="preserve"> TOC \o "1-3" \h \z \u </w:instrText>
          </w:r>
          <w:r w:rsidRPr="007E0BFD">
            <w:rPr>
              <w:rFonts w:ascii="Arial" w:hAnsi="Arial" w:cs="Arial"/>
              <w:sz w:val="22"/>
              <w:szCs w:val="22"/>
            </w:rPr>
            <w:fldChar w:fldCharType="separate"/>
          </w:r>
          <w:hyperlink w:anchor="_Toc234101036" w:history="1">
            <w:r w:rsidR="00A36368" w:rsidRPr="007E0BFD">
              <w:rPr>
                <w:rStyle w:val="Hyperlink"/>
                <w:rFonts w:ascii="Arial" w:hAnsi="Arial" w:cs="Arial"/>
                <w:noProof/>
                <w:color w:val="auto"/>
                <w:sz w:val="22"/>
                <w:szCs w:val="22"/>
              </w:rPr>
              <w:t>Introduction</w:t>
            </w:r>
            <w:r w:rsidR="00A36368" w:rsidRPr="007E0BFD">
              <w:rPr>
                <w:rFonts w:ascii="Arial" w:hAnsi="Arial" w:cs="Arial"/>
                <w:noProof/>
                <w:webHidden/>
                <w:sz w:val="22"/>
                <w:szCs w:val="22"/>
              </w:rPr>
              <w:tab/>
            </w:r>
            <w:r w:rsidR="00A36368" w:rsidRPr="007E0BFD">
              <w:rPr>
                <w:rFonts w:ascii="Arial" w:hAnsi="Arial" w:cs="Arial"/>
                <w:noProof/>
                <w:webHidden/>
                <w:sz w:val="22"/>
                <w:szCs w:val="22"/>
              </w:rPr>
              <w:fldChar w:fldCharType="begin"/>
            </w:r>
            <w:r w:rsidR="00A36368" w:rsidRPr="007E0BFD">
              <w:rPr>
                <w:rFonts w:ascii="Arial" w:hAnsi="Arial" w:cs="Arial"/>
                <w:noProof/>
                <w:webHidden/>
                <w:sz w:val="22"/>
                <w:szCs w:val="22"/>
              </w:rPr>
              <w:instrText xml:space="preserve"> PAGEREF _Toc234101036 \h </w:instrText>
            </w:r>
            <w:r w:rsidR="00A36368" w:rsidRPr="007E0BFD">
              <w:rPr>
                <w:rFonts w:ascii="Arial" w:hAnsi="Arial" w:cs="Arial"/>
                <w:noProof/>
                <w:webHidden/>
                <w:sz w:val="22"/>
                <w:szCs w:val="22"/>
              </w:rPr>
            </w:r>
            <w:r w:rsidR="00A36368" w:rsidRPr="007E0BFD">
              <w:rPr>
                <w:rFonts w:ascii="Arial" w:hAnsi="Arial" w:cs="Arial"/>
                <w:noProof/>
                <w:webHidden/>
                <w:sz w:val="22"/>
                <w:szCs w:val="22"/>
              </w:rPr>
              <w:fldChar w:fldCharType="separate"/>
            </w:r>
            <w:r w:rsidR="001E4969">
              <w:rPr>
                <w:rFonts w:ascii="Arial" w:hAnsi="Arial" w:cs="Arial"/>
                <w:noProof/>
                <w:webHidden/>
                <w:sz w:val="22"/>
                <w:szCs w:val="22"/>
              </w:rPr>
              <w:t>4</w:t>
            </w:r>
            <w:r w:rsidR="00A36368" w:rsidRPr="007E0BFD">
              <w:rPr>
                <w:rFonts w:ascii="Arial" w:hAnsi="Arial" w:cs="Arial"/>
                <w:noProof/>
                <w:webHidden/>
                <w:sz w:val="22"/>
                <w:szCs w:val="22"/>
              </w:rPr>
              <w:fldChar w:fldCharType="end"/>
            </w:r>
          </w:hyperlink>
        </w:p>
        <w:p w14:paraId="2E34A76C" w14:textId="03A1CAD3" w:rsidR="00A36368" w:rsidRPr="007E0BFD" w:rsidRDefault="00A36368" w:rsidP="00A36368">
          <w:pPr>
            <w:pStyle w:val="TOC1"/>
            <w:tabs>
              <w:tab w:val="right" w:leader="dot" w:pos="9350"/>
            </w:tabs>
            <w:spacing w:line="360" w:lineRule="auto"/>
            <w:rPr>
              <w:rFonts w:ascii="Arial" w:eastAsiaTheme="minorEastAsia" w:hAnsi="Arial" w:cs="Arial"/>
              <w:noProof/>
              <w:sz w:val="22"/>
              <w:szCs w:val="22"/>
              <w:lang w:eastAsia="en-GB"/>
            </w:rPr>
          </w:pPr>
          <w:hyperlink w:anchor="_Toc234101037" w:history="1">
            <w:r w:rsidRPr="007E0BFD">
              <w:rPr>
                <w:rStyle w:val="Hyperlink"/>
                <w:rFonts w:ascii="Arial" w:hAnsi="Arial" w:cs="Arial"/>
                <w:noProof/>
                <w:color w:val="auto"/>
                <w:sz w:val="22"/>
                <w:szCs w:val="22"/>
              </w:rPr>
              <w:t>1. Explanation of Key Factors</w:t>
            </w:r>
            <w:r w:rsidRPr="007E0BFD">
              <w:rPr>
                <w:rFonts w:ascii="Arial" w:hAnsi="Arial" w:cs="Arial"/>
                <w:noProof/>
                <w:webHidden/>
                <w:sz w:val="22"/>
                <w:szCs w:val="22"/>
              </w:rPr>
              <w:tab/>
            </w:r>
            <w:r w:rsidRPr="007E0BFD">
              <w:rPr>
                <w:rFonts w:ascii="Arial" w:hAnsi="Arial" w:cs="Arial"/>
                <w:noProof/>
                <w:webHidden/>
                <w:sz w:val="22"/>
                <w:szCs w:val="22"/>
              </w:rPr>
              <w:fldChar w:fldCharType="begin"/>
            </w:r>
            <w:r w:rsidRPr="007E0BFD">
              <w:rPr>
                <w:rFonts w:ascii="Arial" w:hAnsi="Arial" w:cs="Arial"/>
                <w:noProof/>
                <w:webHidden/>
                <w:sz w:val="22"/>
                <w:szCs w:val="22"/>
              </w:rPr>
              <w:instrText xml:space="preserve"> PAGEREF _Toc234101037 \h </w:instrText>
            </w:r>
            <w:r w:rsidRPr="007E0BFD">
              <w:rPr>
                <w:rFonts w:ascii="Arial" w:hAnsi="Arial" w:cs="Arial"/>
                <w:noProof/>
                <w:webHidden/>
                <w:sz w:val="22"/>
                <w:szCs w:val="22"/>
              </w:rPr>
            </w:r>
            <w:r w:rsidRPr="007E0BFD">
              <w:rPr>
                <w:rFonts w:ascii="Arial" w:hAnsi="Arial" w:cs="Arial"/>
                <w:noProof/>
                <w:webHidden/>
                <w:sz w:val="22"/>
                <w:szCs w:val="22"/>
              </w:rPr>
              <w:fldChar w:fldCharType="separate"/>
            </w:r>
            <w:r w:rsidR="001E4969">
              <w:rPr>
                <w:rFonts w:ascii="Arial" w:hAnsi="Arial" w:cs="Arial"/>
                <w:noProof/>
                <w:webHidden/>
                <w:sz w:val="22"/>
                <w:szCs w:val="22"/>
              </w:rPr>
              <w:t>4</w:t>
            </w:r>
            <w:r w:rsidRPr="007E0BFD">
              <w:rPr>
                <w:rFonts w:ascii="Arial" w:hAnsi="Arial" w:cs="Arial"/>
                <w:noProof/>
                <w:webHidden/>
                <w:sz w:val="22"/>
                <w:szCs w:val="22"/>
              </w:rPr>
              <w:fldChar w:fldCharType="end"/>
            </w:r>
          </w:hyperlink>
        </w:p>
        <w:p w14:paraId="3507A709" w14:textId="1D783250" w:rsidR="00A36368" w:rsidRPr="007E0BFD" w:rsidRDefault="00A36368" w:rsidP="00A36368">
          <w:pPr>
            <w:pStyle w:val="TOC1"/>
            <w:tabs>
              <w:tab w:val="right" w:leader="dot" w:pos="9350"/>
            </w:tabs>
            <w:spacing w:line="360" w:lineRule="auto"/>
            <w:rPr>
              <w:rFonts w:ascii="Arial" w:eastAsiaTheme="minorEastAsia" w:hAnsi="Arial" w:cs="Arial"/>
              <w:noProof/>
              <w:sz w:val="22"/>
              <w:szCs w:val="22"/>
              <w:lang w:eastAsia="en-GB"/>
            </w:rPr>
          </w:pPr>
          <w:hyperlink w:anchor="_Toc234101038" w:history="1">
            <w:r w:rsidRPr="007E0BFD">
              <w:rPr>
                <w:rStyle w:val="Hyperlink"/>
                <w:rFonts w:ascii="Arial" w:hAnsi="Arial" w:cs="Arial"/>
                <w:noProof/>
                <w:color w:val="auto"/>
                <w:sz w:val="22"/>
                <w:szCs w:val="22"/>
              </w:rPr>
              <w:t>2. Evaluation of Contemporary HR Practices</w:t>
            </w:r>
            <w:r w:rsidRPr="007E0BFD">
              <w:rPr>
                <w:rFonts w:ascii="Arial" w:hAnsi="Arial" w:cs="Arial"/>
                <w:noProof/>
                <w:webHidden/>
                <w:sz w:val="22"/>
                <w:szCs w:val="22"/>
              </w:rPr>
              <w:tab/>
            </w:r>
            <w:r w:rsidRPr="007E0BFD">
              <w:rPr>
                <w:rFonts w:ascii="Arial" w:hAnsi="Arial" w:cs="Arial"/>
                <w:noProof/>
                <w:webHidden/>
                <w:sz w:val="22"/>
                <w:szCs w:val="22"/>
              </w:rPr>
              <w:fldChar w:fldCharType="begin"/>
            </w:r>
            <w:r w:rsidRPr="007E0BFD">
              <w:rPr>
                <w:rFonts w:ascii="Arial" w:hAnsi="Arial" w:cs="Arial"/>
                <w:noProof/>
                <w:webHidden/>
                <w:sz w:val="22"/>
                <w:szCs w:val="22"/>
              </w:rPr>
              <w:instrText xml:space="preserve"> PAGEREF _Toc234101038 \h </w:instrText>
            </w:r>
            <w:r w:rsidRPr="007E0BFD">
              <w:rPr>
                <w:rFonts w:ascii="Arial" w:hAnsi="Arial" w:cs="Arial"/>
                <w:noProof/>
                <w:webHidden/>
                <w:sz w:val="22"/>
                <w:szCs w:val="22"/>
              </w:rPr>
            </w:r>
            <w:r w:rsidRPr="007E0BFD">
              <w:rPr>
                <w:rFonts w:ascii="Arial" w:hAnsi="Arial" w:cs="Arial"/>
                <w:noProof/>
                <w:webHidden/>
                <w:sz w:val="22"/>
                <w:szCs w:val="22"/>
              </w:rPr>
              <w:fldChar w:fldCharType="separate"/>
            </w:r>
            <w:r w:rsidR="001E4969">
              <w:rPr>
                <w:rFonts w:ascii="Arial" w:hAnsi="Arial" w:cs="Arial"/>
                <w:noProof/>
                <w:webHidden/>
                <w:sz w:val="22"/>
                <w:szCs w:val="22"/>
              </w:rPr>
              <w:t>6</w:t>
            </w:r>
            <w:r w:rsidRPr="007E0BFD">
              <w:rPr>
                <w:rFonts w:ascii="Arial" w:hAnsi="Arial" w:cs="Arial"/>
                <w:noProof/>
                <w:webHidden/>
                <w:sz w:val="22"/>
                <w:szCs w:val="22"/>
              </w:rPr>
              <w:fldChar w:fldCharType="end"/>
            </w:r>
          </w:hyperlink>
        </w:p>
        <w:p w14:paraId="019FE515" w14:textId="22517592" w:rsidR="00A36368" w:rsidRPr="007E0BFD" w:rsidRDefault="00A36368" w:rsidP="00A36368">
          <w:pPr>
            <w:pStyle w:val="TOC1"/>
            <w:tabs>
              <w:tab w:val="right" w:leader="dot" w:pos="9350"/>
            </w:tabs>
            <w:spacing w:line="360" w:lineRule="auto"/>
            <w:rPr>
              <w:rFonts w:ascii="Arial" w:eastAsiaTheme="minorEastAsia" w:hAnsi="Arial" w:cs="Arial"/>
              <w:noProof/>
              <w:sz w:val="22"/>
              <w:szCs w:val="22"/>
              <w:lang w:eastAsia="en-GB"/>
            </w:rPr>
          </w:pPr>
          <w:hyperlink w:anchor="_Toc234101039" w:history="1">
            <w:r w:rsidRPr="007E0BFD">
              <w:rPr>
                <w:rStyle w:val="Hyperlink"/>
                <w:rFonts w:ascii="Arial" w:hAnsi="Arial" w:cs="Arial"/>
                <w:noProof/>
                <w:color w:val="auto"/>
                <w:sz w:val="22"/>
                <w:szCs w:val="22"/>
              </w:rPr>
              <w:t>3. Critical Evaluation of Managerial Implementation</w:t>
            </w:r>
            <w:r w:rsidRPr="007E0BFD">
              <w:rPr>
                <w:rFonts w:ascii="Arial" w:hAnsi="Arial" w:cs="Arial"/>
                <w:noProof/>
                <w:webHidden/>
                <w:sz w:val="22"/>
                <w:szCs w:val="22"/>
              </w:rPr>
              <w:tab/>
            </w:r>
            <w:r w:rsidRPr="007E0BFD">
              <w:rPr>
                <w:rFonts w:ascii="Arial" w:hAnsi="Arial" w:cs="Arial"/>
                <w:noProof/>
                <w:webHidden/>
                <w:sz w:val="22"/>
                <w:szCs w:val="22"/>
              </w:rPr>
              <w:fldChar w:fldCharType="begin"/>
            </w:r>
            <w:r w:rsidRPr="007E0BFD">
              <w:rPr>
                <w:rFonts w:ascii="Arial" w:hAnsi="Arial" w:cs="Arial"/>
                <w:noProof/>
                <w:webHidden/>
                <w:sz w:val="22"/>
                <w:szCs w:val="22"/>
              </w:rPr>
              <w:instrText xml:space="preserve"> PAGEREF _Toc234101039 \h </w:instrText>
            </w:r>
            <w:r w:rsidRPr="007E0BFD">
              <w:rPr>
                <w:rFonts w:ascii="Arial" w:hAnsi="Arial" w:cs="Arial"/>
                <w:noProof/>
                <w:webHidden/>
                <w:sz w:val="22"/>
                <w:szCs w:val="22"/>
              </w:rPr>
            </w:r>
            <w:r w:rsidRPr="007E0BFD">
              <w:rPr>
                <w:rFonts w:ascii="Arial" w:hAnsi="Arial" w:cs="Arial"/>
                <w:noProof/>
                <w:webHidden/>
                <w:sz w:val="22"/>
                <w:szCs w:val="22"/>
              </w:rPr>
              <w:fldChar w:fldCharType="separate"/>
            </w:r>
            <w:r w:rsidR="001E4969">
              <w:rPr>
                <w:rFonts w:ascii="Arial" w:hAnsi="Arial" w:cs="Arial"/>
                <w:noProof/>
                <w:webHidden/>
                <w:sz w:val="22"/>
                <w:szCs w:val="22"/>
              </w:rPr>
              <w:t>7</w:t>
            </w:r>
            <w:r w:rsidRPr="007E0BFD">
              <w:rPr>
                <w:rFonts w:ascii="Arial" w:hAnsi="Arial" w:cs="Arial"/>
                <w:noProof/>
                <w:webHidden/>
                <w:sz w:val="22"/>
                <w:szCs w:val="22"/>
              </w:rPr>
              <w:fldChar w:fldCharType="end"/>
            </w:r>
          </w:hyperlink>
        </w:p>
        <w:p w14:paraId="6E23FDD0" w14:textId="04D040CE" w:rsidR="00A36368" w:rsidRPr="007E0BFD" w:rsidRDefault="00A36368" w:rsidP="00A36368">
          <w:pPr>
            <w:pStyle w:val="TOC1"/>
            <w:tabs>
              <w:tab w:val="right" w:leader="dot" w:pos="9350"/>
            </w:tabs>
            <w:spacing w:line="360" w:lineRule="auto"/>
            <w:rPr>
              <w:rFonts w:ascii="Arial" w:eastAsiaTheme="minorEastAsia" w:hAnsi="Arial" w:cs="Arial"/>
              <w:noProof/>
              <w:sz w:val="22"/>
              <w:szCs w:val="22"/>
              <w:lang w:eastAsia="en-GB"/>
            </w:rPr>
          </w:pPr>
          <w:hyperlink w:anchor="_Toc234101040" w:history="1">
            <w:r w:rsidRPr="007E0BFD">
              <w:rPr>
                <w:rStyle w:val="Hyperlink"/>
                <w:rFonts w:ascii="Arial" w:hAnsi="Arial" w:cs="Arial"/>
                <w:noProof/>
                <w:color w:val="auto"/>
                <w:sz w:val="22"/>
                <w:szCs w:val="22"/>
              </w:rPr>
              <w:t>Conclusion and Recommendations</w:t>
            </w:r>
            <w:r w:rsidRPr="007E0BFD">
              <w:rPr>
                <w:rFonts w:ascii="Arial" w:hAnsi="Arial" w:cs="Arial"/>
                <w:noProof/>
                <w:webHidden/>
                <w:sz w:val="22"/>
                <w:szCs w:val="22"/>
              </w:rPr>
              <w:tab/>
            </w:r>
            <w:r w:rsidRPr="007E0BFD">
              <w:rPr>
                <w:rFonts w:ascii="Arial" w:hAnsi="Arial" w:cs="Arial"/>
                <w:noProof/>
                <w:webHidden/>
                <w:sz w:val="22"/>
                <w:szCs w:val="22"/>
              </w:rPr>
              <w:fldChar w:fldCharType="begin"/>
            </w:r>
            <w:r w:rsidRPr="007E0BFD">
              <w:rPr>
                <w:rFonts w:ascii="Arial" w:hAnsi="Arial" w:cs="Arial"/>
                <w:noProof/>
                <w:webHidden/>
                <w:sz w:val="22"/>
                <w:szCs w:val="22"/>
              </w:rPr>
              <w:instrText xml:space="preserve"> PAGEREF _Toc234101040 \h </w:instrText>
            </w:r>
            <w:r w:rsidRPr="007E0BFD">
              <w:rPr>
                <w:rFonts w:ascii="Arial" w:hAnsi="Arial" w:cs="Arial"/>
                <w:noProof/>
                <w:webHidden/>
                <w:sz w:val="22"/>
                <w:szCs w:val="22"/>
              </w:rPr>
            </w:r>
            <w:r w:rsidRPr="007E0BFD">
              <w:rPr>
                <w:rFonts w:ascii="Arial" w:hAnsi="Arial" w:cs="Arial"/>
                <w:noProof/>
                <w:webHidden/>
                <w:sz w:val="22"/>
                <w:szCs w:val="22"/>
              </w:rPr>
              <w:fldChar w:fldCharType="separate"/>
            </w:r>
            <w:r w:rsidR="001E4969">
              <w:rPr>
                <w:rFonts w:ascii="Arial" w:hAnsi="Arial" w:cs="Arial"/>
                <w:noProof/>
                <w:webHidden/>
                <w:sz w:val="22"/>
                <w:szCs w:val="22"/>
              </w:rPr>
              <w:t>9</w:t>
            </w:r>
            <w:r w:rsidRPr="007E0BFD">
              <w:rPr>
                <w:rFonts w:ascii="Arial" w:hAnsi="Arial" w:cs="Arial"/>
                <w:noProof/>
                <w:webHidden/>
                <w:sz w:val="22"/>
                <w:szCs w:val="22"/>
              </w:rPr>
              <w:fldChar w:fldCharType="end"/>
            </w:r>
          </w:hyperlink>
        </w:p>
        <w:p w14:paraId="75CD14B0" w14:textId="1AE5A0EB" w:rsidR="00A36368" w:rsidRPr="007E0BFD" w:rsidRDefault="00A36368" w:rsidP="00A36368">
          <w:pPr>
            <w:pStyle w:val="TOC1"/>
            <w:tabs>
              <w:tab w:val="right" w:leader="dot" w:pos="9350"/>
            </w:tabs>
            <w:spacing w:line="360" w:lineRule="auto"/>
            <w:rPr>
              <w:rFonts w:ascii="Arial" w:eastAsiaTheme="minorEastAsia" w:hAnsi="Arial" w:cs="Arial"/>
              <w:noProof/>
              <w:sz w:val="22"/>
              <w:szCs w:val="22"/>
              <w:lang w:eastAsia="en-GB"/>
            </w:rPr>
          </w:pPr>
          <w:hyperlink w:anchor="_Toc234101041" w:history="1">
            <w:r w:rsidRPr="007E0BFD">
              <w:rPr>
                <w:rStyle w:val="Hyperlink"/>
                <w:rFonts w:ascii="Arial" w:hAnsi="Arial" w:cs="Arial"/>
                <w:noProof/>
                <w:color w:val="auto"/>
                <w:sz w:val="22"/>
                <w:szCs w:val="22"/>
              </w:rPr>
              <w:t>References</w:t>
            </w:r>
            <w:r w:rsidRPr="007E0BFD">
              <w:rPr>
                <w:rFonts w:ascii="Arial" w:hAnsi="Arial" w:cs="Arial"/>
                <w:noProof/>
                <w:webHidden/>
                <w:sz w:val="22"/>
                <w:szCs w:val="22"/>
              </w:rPr>
              <w:tab/>
            </w:r>
            <w:r w:rsidRPr="007E0BFD">
              <w:rPr>
                <w:rFonts w:ascii="Arial" w:hAnsi="Arial" w:cs="Arial"/>
                <w:noProof/>
                <w:webHidden/>
                <w:sz w:val="22"/>
                <w:szCs w:val="22"/>
              </w:rPr>
              <w:fldChar w:fldCharType="begin"/>
            </w:r>
            <w:r w:rsidRPr="007E0BFD">
              <w:rPr>
                <w:rFonts w:ascii="Arial" w:hAnsi="Arial" w:cs="Arial"/>
                <w:noProof/>
                <w:webHidden/>
                <w:sz w:val="22"/>
                <w:szCs w:val="22"/>
              </w:rPr>
              <w:instrText xml:space="preserve"> PAGEREF _Toc234101041 \h </w:instrText>
            </w:r>
            <w:r w:rsidRPr="007E0BFD">
              <w:rPr>
                <w:rFonts w:ascii="Arial" w:hAnsi="Arial" w:cs="Arial"/>
                <w:noProof/>
                <w:webHidden/>
                <w:sz w:val="22"/>
                <w:szCs w:val="22"/>
              </w:rPr>
            </w:r>
            <w:r w:rsidRPr="007E0BFD">
              <w:rPr>
                <w:rFonts w:ascii="Arial" w:hAnsi="Arial" w:cs="Arial"/>
                <w:noProof/>
                <w:webHidden/>
                <w:sz w:val="22"/>
                <w:szCs w:val="22"/>
              </w:rPr>
              <w:fldChar w:fldCharType="separate"/>
            </w:r>
            <w:r w:rsidR="001E4969">
              <w:rPr>
                <w:rFonts w:ascii="Arial" w:hAnsi="Arial" w:cs="Arial"/>
                <w:noProof/>
                <w:webHidden/>
                <w:sz w:val="22"/>
                <w:szCs w:val="22"/>
              </w:rPr>
              <w:t>10</w:t>
            </w:r>
            <w:r w:rsidRPr="007E0BFD">
              <w:rPr>
                <w:rFonts w:ascii="Arial" w:hAnsi="Arial" w:cs="Arial"/>
                <w:noProof/>
                <w:webHidden/>
                <w:sz w:val="22"/>
                <w:szCs w:val="22"/>
              </w:rPr>
              <w:fldChar w:fldCharType="end"/>
            </w:r>
          </w:hyperlink>
        </w:p>
        <w:p w14:paraId="7725F858" w14:textId="579FA08B" w:rsidR="006D4FC3" w:rsidRPr="007E0BFD" w:rsidRDefault="006D4FC3" w:rsidP="00A36368">
          <w:pPr>
            <w:spacing w:line="360" w:lineRule="auto"/>
            <w:rPr>
              <w:rFonts w:ascii="Arial" w:hAnsi="Arial" w:cs="Arial"/>
              <w:sz w:val="22"/>
              <w:szCs w:val="22"/>
            </w:rPr>
          </w:pPr>
          <w:r w:rsidRPr="007E0BFD">
            <w:rPr>
              <w:rFonts w:ascii="Arial" w:hAnsi="Arial" w:cs="Arial"/>
              <w:b/>
              <w:bCs/>
              <w:sz w:val="22"/>
              <w:szCs w:val="22"/>
            </w:rPr>
            <w:fldChar w:fldCharType="end"/>
          </w:r>
        </w:p>
      </w:sdtContent>
    </w:sdt>
    <w:p w14:paraId="5C242B7A" w14:textId="77777777" w:rsidR="006D4FC3" w:rsidRPr="007E0BFD" w:rsidRDefault="006D4FC3" w:rsidP="00A36368">
      <w:pPr>
        <w:spacing w:line="360" w:lineRule="auto"/>
        <w:rPr>
          <w:rFonts w:ascii="Arial" w:eastAsiaTheme="majorEastAsia" w:hAnsi="Arial" w:cs="Arial"/>
          <w:b/>
          <w:sz w:val="22"/>
          <w:szCs w:val="22"/>
        </w:rPr>
      </w:pPr>
      <w:bookmarkStart w:id="0" w:name="_Toc234089236"/>
      <w:r w:rsidRPr="007E0BFD">
        <w:rPr>
          <w:rFonts w:ascii="Arial" w:hAnsi="Arial" w:cs="Arial"/>
          <w:sz w:val="22"/>
          <w:szCs w:val="22"/>
        </w:rPr>
        <w:br w:type="page"/>
      </w:r>
    </w:p>
    <w:p w14:paraId="7CE4E110" w14:textId="043E1123" w:rsidR="00723CC9" w:rsidRPr="007E0BFD" w:rsidRDefault="00723CC9" w:rsidP="00A36368">
      <w:pPr>
        <w:pStyle w:val="Heading1"/>
        <w:spacing w:line="360" w:lineRule="auto"/>
        <w:jc w:val="both"/>
        <w:rPr>
          <w:rFonts w:cs="Arial"/>
          <w:color w:val="auto"/>
          <w:szCs w:val="22"/>
        </w:rPr>
      </w:pPr>
      <w:bookmarkStart w:id="1" w:name="_Toc234101036"/>
      <w:r w:rsidRPr="007E0BFD">
        <w:rPr>
          <w:rFonts w:cs="Arial"/>
          <w:color w:val="auto"/>
          <w:szCs w:val="22"/>
        </w:rPr>
        <w:t>Introduction</w:t>
      </w:r>
      <w:bookmarkEnd w:id="0"/>
      <w:bookmarkEnd w:id="1"/>
    </w:p>
    <w:p w14:paraId="1AC5B3A6" w14:textId="07854937" w:rsidR="007E3437" w:rsidRPr="007E0BFD" w:rsidRDefault="007E3437" w:rsidP="00A36368">
      <w:pPr>
        <w:spacing w:line="360" w:lineRule="auto"/>
        <w:jc w:val="both"/>
        <w:rPr>
          <w:rFonts w:ascii="Arial" w:hAnsi="Arial" w:cs="Arial"/>
          <w:sz w:val="22"/>
          <w:szCs w:val="22"/>
        </w:rPr>
      </w:pPr>
      <w:r w:rsidRPr="007E0BFD">
        <w:rPr>
          <w:rFonts w:ascii="Arial" w:hAnsi="Arial" w:cs="Arial"/>
          <w:sz w:val="22"/>
          <w:szCs w:val="22"/>
        </w:rPr>
        <w:t xml:space="preserve">Tesco PLC is a grocery </w:t>
      </w:r>
      <w:r w:rsidR="00AE5B1D" w:rsidRPr="007E0BFD">
        <w:rPr>
          <w:rFonts w:ascii="Arial" w:hAnsi="Arial" w:cs="Arial"/>
          <w:sz w:val="22"/>
          <w:szCs w:val="22"/>
        </w:rPr>
        <w:t>multinational</w:t>
      </w:r>
      <w:r w:rsidRPr="007E0BFD">
        <w:rPr>
          <w:rFonts w:ascii="Arial" w:hAnsi="Arial" w:cs="Arial"/>
          <w:sz w:val="22"/>
          <w:szCs w:val="22"/>
        </w:rPr>
        <w:t xml:space="preserve"> company based in Tesco House, Shire Park, Kestrel Way, Welwyn Garden City, Hertfordshire, UK. Tesco has over 340,000 employees and 3,724 Tesco stores throughout the United Kingdom, the Republic of Ireland, the Czech Republic, Hungary and Slovakia, according to its latest annual report. The One Stop convenience business also has over 1,000 company-owned and franchised stores in the UK. Tesco's financial year ending 28 February 2026 shows that they recorded a statutory revenue of £73.7 billion</w:t>
      </w:r>
      <w:r w:rsidR="00AE5B1D" w:rsidRPr="007E0BFD">
        <w:rPr>
          <w:rFonts w:ascii="Arial" w:hAnsi="Arial" w:cs="Arial"/>
          <w:sz w:val="22"/>
          <w:szCs w:val="22"/>
        </w:rPr>
        <w:t>,</w:t>
      </w:r>
      <w:r w:rsidRPr="007E0BFD">
        <w:rPr>
          <w:rFonts w:ascii="Arial" w:hAnsi="Arial" w:cs="Arial"/>
          <w:sz w:val="22"/>
          <w:szCs w:val="22"/>
        </w:rPr>
        <w:t xml:space="preserve"> indicating the extensive scale </w:t>
      </w:r>
      <w:r w:rsidR="00AE5B1D" w:rsidRPr="007E0BFD">
        <w:rPr>
          <w:rFonts w:ascii="Arial" w:hAnsi="Arial" w:cs="Arial"/>
          <w:sz w:val="22"/>
          <w:szCs w:val="22"/>
        </w:rPr>
        <w:t>at</w:t>
      </w:r>
      <w:r w:rsidRPr="007E0BFD">
        <w:rPr>
          <w:rFonts w:ascii="Arial" w:hAnsi="Arial" w:cs="Arial"/>
          <w:sz w:val="22"/>
          <w:szCs w:val="22"/>
        </w:rPr>
        <w:t xml:space="preserve"> which their HR policies need to be consistently applied (Tesco PLC, 2026).</w:t>
      </w:r>
    </w:p>
    <w:p w14:paraId="4A975EE3" w14:textId="6064EC2F"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The report examines the impact </w:t>
      </w:r>
      <w:r w:rsidR="00AB4C65" w:rsidRPr="007E0BFD">
        <w:rPr>
          <w:rFonts w:ascii="Arial" w:hAnsi="Arial" w:cs="Arial"/>
          <w:sz w:val="22"/>
          <w:szCs w:val="22"/>
        </w:rPr>
        <w:t>on</w:t>
      </w:r>
      <w:r w:rsidRPr="007E0BFD">
        <w:rPr>
          <w:rFonts w:ascii="Arial" w:hAnsi="Arial" w:cs="Arial"/>
          <w:sz w:val="22"/>
          <w:szCs w:val="22"/>
        </w:rPr>
        <w:t xml:space="preserve"> the workforce and sustainability of the business from fast changes in technology, workforce and DEI as they relate specifically to the business of Tesco. The report considers </w:t>
      </w:r>
      <w:r w:rsidR="00AB4C65" w:rsidRPr="007E0BFD">
        <w:rPr>
          <w:rFonts w:ascii="Arial" w:hAnsi="Arial" w:cs="Arial"/>
          <w:sz w:val="22"/>
          <w:szCs w:val="22"/>
        </w:rPr>
        <w:t>modern-day</w:t>
      </w:r>
      <w:r w:rsidRPr="007E0BFD">
        <w:rPr>
          <w:rFonts w:ascii="Arial" w:hAnsi="Arial" w:cs="Arial"/>
          <w:sz w:val="22"/>
          <w:szCs w:val="22"/>
        </w:rPr>
        <w:t xml:space="preserve"> workforce strategies, including people analytics, digital learning, employer branding, retention strategies, and designing an inclusive workforce and leadership development. The report then assesses the ability of managers in Tesco to promote and implement these strategies in an urgent and effective workforce.</w:t>
      </w:r>
    </w:p>
    <w:p w14:paraId="08F6AA7F" w14:textId="593A3214" w:rsidR="007E73A4" w:rsidRPr="007E0BFD" w:rsidRDefault="007E73A4" w:rsidP="00A36368">
      <w:pPr>
        <w:spacing w:line="360" w:lineRule="auto"/>
        <w:jc w:val="center"/>
        <w:rPr>
          <w:rFonts w:ascii="Arial" w:hAnsi="Arial" w:cs="Arial"/>
          <w:sz w:val="22"/>
          <w:szCs w:val="22"/>
        </w:rPr>
      </w:pPr>
      <w:r w:rsidRPr="007E0BFD">
        <w:rPr>
          <w:rFonts w:ascii="Arial" w:hAnsi="Arial" w:cs="Arial"/>
          <w:noProof/>
          <w:sz w:val="22"/>
          <w:szCs w:val="22"/>
        </w:rPr>
        <w:drawing>
          <wp:inline distT="0" distB="0" distL="0" distR="0" wp14:anchorId="126FB5DD" wp14:editId="1DD8886B">
            <wp:extent cx="3933825" cy="2212777"/>
            <wp:effectExtent l="0" t="0" r="0" b="0"/>
            <wp:docPr id="150981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7139" cy="2214641"/>
                    </a:xfrm>
                    <a:prstGeom prst="rect">
                      <a:avLst/>
                    </a:prstGeom>
                    <a:noFill/>
                  </pic:spPr>
                </pic:pic>
              </a:graphicData>
            </a:graphic>
          </wp:inline>
        </w:drawing>
      </w:r>
    </w:p>
    <w:p w14:paraId="7BA97E54" w14:textId="581E1AC9" w:rsidR="007E73A4" w:rsidRPr="007E0BFD" w:rsidRDefault="007E73A4" w:rsidP="00A36368">
      <w:pPr>
        <w:spacing w:line="360" w:lineRule="auto"/>
        <w:jc w:val="center"/>
        <w:rPr>
          <w:rFonts w:ascii="Arial" w:hAnsi="Arial" w:cs="Arial"/>
          <w:sz w:val="22"/>
          <w:szCs w:val="22"/>
        </w:rPr>
      </w:pPr>
      <w:r w:rsidRPr="007E0BFD">
        <w:rPr>
          <w:rFonts w:ascii="Arial" w:hAnsi="Arial" w:cs="Arial"/>
          <w:sz w:val="22"/>
          <w:szCs w:val="22"/>
        </w:rPr>
        <w:t xml:space="preserve">Figure 1: TESCO PLC </w:t>
      </w:r>
    </w:p>
    <w:p w14:paraId="7A418931" w14:textId="253C9B67" w:rsidR="007E73A4" w:rsidRPr="007E0BFD" w:rsidRDefault="007E73A4" w:rsidP="00DB0F11">
      <w:pPr>
        <w:spacing w:line="360" w:lineRule="auto"/>
        <w:jc w:val="center"/>
        <w:rPr>
          <w:rFonts w:ascii="Arial" w:hAnsi="Arial" w:cs="Arial"/>
          <w:sz w:val="22"/>
          <w:szCs w:val="22"/>
        </w:rPr>
      </w:pPr>
      <w:r w:rsidRPr="007E0BFD">
        <w:rPr>
          <w:rFonts w:ascii="Arial" w:hAnsi="Arial" w:cs="Arial"/>
          <w:sz w:val="22"/>
          <w:szCs w:val="22"/>
        </w:rPr>
        <w:t>Source: (Research Tree, 2024)</w:t>
      </w:r>
    </w:p>
    <w:p w14:paraId="62A85DA3" w14:textId="7055835C" w:rsidR="00723CC9" w:rsidRPr="007E0BFD" w:rsidRDefault="00723CC9" w:rsidP="00A36368">
      <w:pPr>
        <w:pStyle w:val="Heading1"/>
        <w:spacing w:line="360" w:lineRule="auto"/>
        <w:jc w:val="both"/>
        <w:rPr>
          <w:rFonts w:cs="Arial"/>
          <w:color w:val="auto"/>
          <w:szCs w:val="22"/>
        </w:rPr>
      </w:pPr>
      <w:bookmarkStart w:id="2" w:name="_Toc234089237"/>
      <w:bookmarkStart w:id="3" w:name="_Toc234101037"/>
      <w:r w:rsidRPr="007E0BFD">
        <w:rPr>
          <w:rFonts w:cs="Arial"/>
          <w:color w:val="auto"/>
          <w:szCs w:val="22"/>
        </w:rPr>
        <w:t>1. Explanation of Key Factors</w:t>
      </w:r>
      <w:bookmarkEnd w:id="2"/>
      <w:bookmarkEnd w:id="3"/>
    </w:p>
    <w:p w14:paraId="27DDC52A" w14:textId="6896781B"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For Tesco, threats posed by advancing technology </w:t>
      </w:r>
      <w:r w:rsidR="00AB4C65" w:rsidRPr="007E0BFD">
        <w:rPr>
          <w:rFonts w:ascii="Arial" w:hAnsi="Arial" w:cs="Arial"/>
          <w:sz w:val="22"/>
          <w:szCs w:val="22"/>
        </w:rPr>
        <w:t>are</w:t>
      </w:r>
      <w:r w:rsidRPr="007E0BFD">
        <w:rPr>
          <w:rFonts w:ascii="Arial" w:hAnsi="Arial" w:cs="Arial"/>
          <w:sz w:val="22"/>
          <w:szCs w:val="22"/>
        </w:rPr>
        <w:t xml:space="preserve"> a particularly acute issue. This is because the nature of work is becoming more automated and more </w:t>
      </w:r>
      <w:r w:rsidR="00AB4C65" w:rsidRPr="007E0BFD">
        <w:rPr>
          <w:rFonts w:ascii="Arial" w:hAnsi="Arial" w:cs="Arial"/>
          <w:sz w:val="22"/>
          <w:szCs w:val="22"/>
        </w:rPr>
        <w:t>digitised</w:t>
      </w:r>
      <w:r w:rsidRPr="007E0BFD">
        <w:rPr>
          <w:rFonts w:ascii="Arial" w:hAnsi="Arial" w:cs="Arial"/>
          <w:sz w:val="22"/>
          <w:szCs w:val="22"/>
        </w:rPr>
        <w:t xml:space="preserve">. Tesco relies on a business model that focuses (among other things) on digital shopping, supply chain management, digital stock management, Clubcard data, self-service technologies, and scheduling. These technologies can make processes easier and improve customer satisfaction, but self-service technology may require HR to upskill employees to the needed level of digital confidence. Budhwar et al. (2022) suggest that the digital HR and AI support of a workforce may help make more HR-related business decisions, but it creates </w:t>
      </w:r>
      <w:r w:rsidR="00AB4C65" w:rsidRPr="007E0BFD">
        <w:rPr>
          <w:rFonts w:ascii="Arial" w:hAnsi="Arial" w:cs="Arial"/>
          <w:sz w:val="22"/>
          <w:szCs w:val="22"/>
        </w:rPr>
        <w:t>several</w:t>
      </w:r>
      <w:r w:rsidRPr="007E0BFD">
        <w:rPr>
          <w:rFonts w:ascii="Arial" w:hAnsi="Arial" w:cs="Arial"/>
          <w:sz w:val="22"/>
          <w:szCs w:val="22"/>
        </w:rPr>
        <w:t xml:space="preserve"> issues for HR with respect to trust and the larger scope of the workforce and work itself. The larger issue facing Tesco is </w:t>
      </w:r>
      <w:r w:rsidR="00AB4C65" w:rsidRPr="007E0BFD">
        <w:rPr>
          <w:rFonts w:ascii="Arial" w:hAnsi="Arial" w:cs="Arial"/>
          <w:sz w:val="22"/>
          <w:szCs w:val="22"/>
        </w:rPr>
        <w:t>whether</w:t>
      </w:r>
      <w:r w:rsidRPr="007E0BFD">
        <w:rPr>
          <w:rFonts w:ascii="Arial" w:hAnsi="Arial" w:cs="Arial"/>
          <w:sz w:val="22"/>
          <w:szCs w:val="22"/>
        </w:rPr>
        <w:t xml:space="preserve"> self-service technology and sophisticated scheduling help Tesco if store employees, warehouse staff, and store management do not perceive the technologies to be sophisticated enough, or do not feel as if they would be replaced, managed, or made unnecessary. If HR does not support technological change through dedicated communication and training, it will decrease the level of acceptance of the changes and increase the level of resistance to the changes.</w:t>
      </w:r>
    </w:p>
    <w:p w14:paraId="459EAD9B" w14:textId="67416BA3"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Acquisition and retention of talent become especially important given the characteristics of the UK’s retail sector – it is </w:t>
      </w:r>
      <w:r w:rsidR="00AB4C65" w:rsidRPr="007E0BFD">
        <w:rPr>
          <w:rFonts w:ascii="Arial" w:hAnsi="Arial" w:cs="Arial"/>
          <w:sz w:val="22"/>
          <w:szCs w:val="22"/>
        </w:rPr>
        <w:t>labour-intensive</w:t>
      </w:r>
      <w:r w:rsidRPr="007E0BFD">
        <w:rPr>
          <w:rFonts w:ascii="Arial" w:hAnsi="Arial" w:cs="Arial"/>
          <w:sz w:val="22"/>
          <w:szCs w:val="22"/>
        </w:rPr>
        <w:t xml:space="preserve"> and has thin margins, while customers have high expectations and there is fierce competition to attract skilled employees. The 2024 CIPD resourcing and talent planning report (CIPD, 2024) shows that 69% of those surveyed felt that competition for qualified talent had increased, while 56% felt that it was more difficult to retain talent. The implications for Tesco are the need to recruit store staff, drivers, warehouse staff, pharmacists, managers, data experts and technology staff. The Office for National Statistics (ONS, 2026) shows there were 2.5 unemployed persons for each job vacancy published between February and April of 2026, indicating that there will be increased competition for jobs, even with a reduction in unfilled vacancies. Talent shortage slows the growth of an </w:t>
      </w:r>
      <w:r w:rsidR="00AB4C65" w:rsidRPr="007E0BFD">
        <w:rPr>
          <w:rFonts w:ascii="Arial" w:hAnsi="Arial" w:cs="Arial"/>
          <w:sz w:val="22"/>
          <w:szCs w:val="22"/>
        </w:rPr>
        <w:t>organisation</w:t>
      </w:r>
      <w:r w:rsidRPr="007E0BFD">
        <w:rPr>
          <w:rFonts w:ascii="Arial" w:hAnsi="Arial" w:cs="Arial"/>
          <w:sz w:val="22"/>
          <w:szCs w:val="22"/>
        </w:rPr>
        <w:t>, while high turnover leads to high recruitment costs, inconsistent service, and low retention of knowledge.</w:t>
      </w:r>
    </w:p>
    <w:p w14:paraId="3594268C" w14:textId="05B914ED"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With the focus on talent retention, Tesco has already responded by improving pay and benefits. The 2025 Annual Report states that Tesco is committing £180 million to improve pay for staff</w:t>
      </w:r>
      <w:r w:rsidR="00AB4C65" w:rsidRPr="007E0BFD">
        <w:rPr>
          <w:rFonts w:ascii="Arial" w:hAnsi="Arial" w:cs="Arial"/>
          <w:sz w:val="22"/>
          <w:szCs w:val="22"/>
        </w:rPr>
        <w:t>,</w:t>
      </w:r>
      <w:r w:rsidRPr="007E0BFD">
        <w:rPr>
          <w:rFonts w:ascii="Arial" w:hAnsi="Arial" w:cs="Arial"/>
          <w:sz w:val="22"/>
          <w:szCs w:val="22"/>
        </w:rPr>
        <w:t xml:space="preserve"> with UK stores receiving the improved pay</w:t>
      </w:r>
      <w:r w:rsidR="00AB4C65" w:rsidRPr="007E0BFD">
        <w:rPr>
          <w:rFonts w:ascii="Arial" w:hAnsi="Arial" w:cs="Arial"/>
          <w:sz w:val="22"/>
          <w:szCs w:val="22"/>
        </w:rPr>
        <w:t>,</w:t>
      </w:r>
      <w:r w:rsidRPr="007E0BFD">
        <w:rPr>
          <w:rFonts w:ascii="Arial" w:hAnsi="Arial" w:cs="Arial"/>
          <w:sz w:val="22"/>
          <w:szCs w:val="22"/>
        </w:rPr>
        <w:t xml:space="preserve"> with an increase to a minimum of £12.64 per hour from the end of August 2025. The Annual report states that the percentage of employees who stated Tesco was a great place to work increased from 84% in 2024 to 85% in 2025 (Tesco PLC, 2025). Although these numbers are representative of positive employee engagement, HR has a significant challenge </w:t>
      </w:r>
      <w:r w:rsidR="00AB4C65" w:rsidRPr="007E0BFD">
        <w:rPr>
          <w:rFonts w:ascii="Arial" w:hAnsi="Arial" w:cs="Arial"/>
          <w:sz w:val="22"/>
          <w:szCs w:val="22"/>
        </w:rPr>
        <w:t>in</w:t>
      </w:r>
      <w:r w:rsidRPr="007E0BFD">
        <w:rPr>
          <w:rFonts w:ascii="Arial" w:hAnsi="Arial" w:cs="Arial"/>
          <w:sz w:val="22"/>
          <w:szCs w:val="22"/>
        </w:rPr>
        <w:t xml:space="preserve"> retaining employees in this sector. As retail employees continue to struggle with customer aggression, the cost-of-living crisis, and limited opportunities for career advancement, unless HR and managers address employees’ daily work experience, retail employees are unlikely to see an improvement in their quality of work.</w:t>
      </w:r>
    </w:p>
    <w:p w14:paraId="715C3066" w14:textId="77777777" w:rsidR="007E3437" w:rsidRPr="007E0BFD" w:rsidRDefault="007E3437" w:rsidP="00A36368">
      <w:pPr>
        <w:spacing w:line="360" w:lineRule="auto"/>
        <w:jc w:val="both"/>
        <w:rPr>
          <w:rFonts w:ascii="Arial" w:hAnsi="Arial" w:cs="Arial"/>
          <w:sz w:val="22"/>
          <w:szCs w:val="22"/>
        </w:rPr>
      </w:pPr>
    </w:p>
    <w:p w14:paraId="3541F6EC" w14:textId="5A2F0D2F" w:rsidR="007E3437" w:rsidRPr="007E0BFD" w:rsidRDefault="007E3437" w:rsidP="00A36368">
      <w:pPr>
        <w:spacing w:line="360" w:lineRule="auto"/>
        <w:jc w:val="both"/>
        <w:rPr>
          <w:rFonts w:ascii="Arial" w:hAnsi="Arial" w:cs="Arial"/>
          <w:sz w:val="22"/>
          <w:szCs w:val="22"/>
        </w:rPr>
      </w:pPr>
      <w:r w:rsidRPr="007E0BFD">
        <w:rPr>
          <w:rFonts w:ascii="Arial" w:hAnsi="Arial" w:cs="Arial"/>
          <w:sz w:val="22"/>
          <w:szCs w:val="22"/>
        </w:rPr>
        <w:t>Ensuring equity, diversity and inclusion, or EDI, as a programmatic area of responsibility</w:t>
      </w:r>
      <w:r w:rsidR="00AE5B1D" w:rsidRPr="007E0BFD">
        <w:rPr>
          <w:rFonts w:ascii="Arial" w:hAnsi="Arial" w:cs="Arial"/>
          <w:sz w:val="22"/>
          <w:szCs w:val="22"/>
        </w:rPr>
        <w:t>,</w:t>
      </w:r>
      <w:r w:rsidRPr="007E0BFD">
        <w:rPr>
          <w:rFonts w:ascii="Arial" w:hAnsi="Arial" w:cs="Arial"/>
          <w:sz w:val="22"/>
          <w:szCs w:val="22"/>
        </w:rPr>
        <w:t xml:space="preserve"> should be considered a separate one </w:t>
      </w:r>
      <w:r w:rsidR="00AE5B1D" w:rsidRPr="007E0BFD">
        <w:rPr>
          <w:rFonts w:ascii="Arial" w:hAnsi="Arial" w:cs="Arial"/>
          <w:sz w:val="22"/>
          <w:szCs w:val="22"/>
        </w:rPr>
        <w:t>from organisational</w:t>
      </w:r>
      <w:r w:rsidRPr="007E0BFD">
        <w:rPr>
          <w:rFonts w:ascii="Arial" w:hAnsi="Arial" w:cs="Arial"/>
          <w:sz w:val="22"/>
          <w:szCs w:val="22"/>
        </w:rPr>
        <w:t xml:space="preserve"> responsibilities. Diversity is about your gender, representation of </w:t>
      </w:r>
      <w:r w:rsidR="00AE5B1D" w:rsidRPr="007E0BFD">
        <w:rPr>
          <w:rFonts w:ascii="Arial" w:hAnsi="Arial" w:cs="Arial"/>
          <w:sz w:val="22"/>
          <w:szCs w:val="22"/>
        </w:rPr>
        <w:t>ethnicity</w:t>
      </w:r>
      <w:r w:rsidRPr="007E0BFD">
        <w:rPr>
          <w:rFonts w:ascii="Arial" w:hAnsi="Arial" w:cs="Arial"/>
          <w:sz w:val="22"/>
          <w:szCs w:val="22"/>
        </w:rPr>
        <w:t>, age, disability, social background and identities. Equality is about opportunities provided</w:t>
      </w:r>
      <w:r w:rsidR="00AE5B1D" w:rsidRPr="007E0BFD">
        <w:rPr>
          <w:rFonts w:ascii="Arial" w:hAnsi="Arial" w:cs="Arial"/>
          <w:sz w:val="22"/>
          <w:szCs w:val="22"/>
        </w:rPr>
        <w:t>,</w:t>
      </w:r>
      <w:r w:rsidRPr="007E0BFD">
        <w:rPr>
          <w:rFonts w:ascii="Arial" w:hAnsi="Arial" w:cs="Arial"/>
          <w:sz w:val="22"/>
          <w:szCs w:val="22"/>
        </w:rPr>
        <w:t xml:space="preserve"> and equitable opportunities are about providing targeted support, reasonable adjustment and development opportunities for the employees who will need them to get a fair deal. Inclusion implies a respect for employees, psychological safety, opportunities to voice their opinions and be part of decisions about their work. Openness to workers, fairness and diversity of the employee population can increase workers' attachment to the organisation and innovation in the organisation (Le, Palmer Johnson and Fujimoto, 2021; Chaudhry, Paquibut and Tunio, 2021).</w:t>
      </w:r>
    </w:p>
    <w:p w14:paraId="634E59E6" w14:textId="0F774C35" w:rsidR="00723CC9" w:rsidRPr="007E0BFD" w:rsidRDefault="00723CC9" w:rsidP="00A36368">
      <w:pPr>
        <w:pStyle w:val="Heading1"/>
        <w:spacing w:line="360" w:lineRule="auto"/>
        <w:jc w:val="both"/>
        <w:rPr>
          <w:rFonts w:cs="Arial"/>
          <w:color w:val="auto"/>
          <w:szCs w:val="22"/>
        </w:rPr>
      </w:pPr>
      <w:bookmarkStart w:id="4" w:name="_Toc234089238"/>
      <w:bookmarkStart w:id="5" w:name="_Toc234101038"/>
      <w:r w:rsidRPr="007E0BFD">
        <w:rPr>
          <w:rFonts w:cs="Arial"/>
          <w:color w:val="auto"/>
          <w:szCs w:val="22"/>
        </w:rPr>
        <w:t>2. Evaluation of Contemporary HR Practices</w:t>
      </w:r>
      <w:bookmarkEnd w:id="4"/>
      <w:bookmarkEnd w:id="5"/>
    </w:p>
    <w:p w14:paraId="3A1230C7" w14:textId="3C91FC96"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Investing in digital HR systems and people analytics should be the priority for Tesco. According to CIPD (2025), people analytics </w:t>
      </w:r>
      <w:r w:rsidR="00AB4C65" w:rsidRPr="007E0BFD">
        <w:rPr>
          <w:rFonts w:ascii="Arial" w:hAnsi="Arial" w:cs="Arial"/>
          <w:sz w:val="22"/>
          <w:szCs w:val="22"/>
        </w:rPr>
        <w:t>involves</w:t>
      </w:r>
      <w:r w:rsidRPr="007E0BFD">
        <w:rPr>
          <w:rFonts w:ascii="Arial" w:hAnsi="Arial" w:cs="Arial"/>
          <w:sz w:val="22"/>
          <w:szCs w:val="22"/>
        </w:rPr>
        <w:t xml:space="preserve"> the analysis of people data in order to address business challenges. This can include improving morale and retention by locating engagement drivers and identifying groups that are at risk of high attrition. At Tesco, people analytics can assist HR in determining which stores, or departments, have high turnover, low training completion, high absence or </w:t>
      </w:r>
      <w:r w:rsidR="00AB4C65" w:rsidRPr="007E0BFD">
        <w:rPr>
          <w:rFonts w:ascii="Arial" w:hAnsi="Arial" w:cs="Arial"/>
          <w:sz w:val="22"/>
          <w:szCs w:val="22"/>
        </w:rPr>
        <w:t>low</w:t>
      </w:r>
      <w:r w:rsidRPr="007E0BFD">
        <w:rPr>
          <w:rFonts w:ascii="Arial" w:hAnsi="Arial" w:cs="Arial"/>
          <w:sz w:val="22"/>
          <w:szCs w:val="22"/>
        </w:rPr>
        <w:t xml:space="preserve"> engagement. This can better enable managers to devise interventions that are more specific than HR campaigns. This practice supports evidence-based decision-making and links workforce problems to business performance.</w:t>
      </w:r>
    </w:p>
    <w:p w14:paraId="213FFF27" w14:textId="6A5C3975"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As with everything, people analytics </w:t>
      </w:r>
      <w:r w:rsidR="00AB4C65" w:rsidRPr="007E0BFD">
        <w:rPr>
          <w:rFonts w:ascii="Arial" w:hAnsi="Arial" w:cs="Arial"/>
          <w:sz w:val="22"/>
          <w:szCs w:val="22"/>
        </w:rPr>
        <w:t>comes</w:t>
      </w:r>
      <w:r w:rsidRPr="007E0BFD">
        <w:rPr>
          <w:rFonts w:ascii="Arial" w:hAnsi="Arial" w:cs="Arial"/>
          <w:sz w:val="22"/>
          <w:szCs w:val="22"/>
        </w:rPr>
        <w:t xml:space="preserve"> with </w:t>
      </w:r>
      <w:r w:rsidR="00AB4C65" w:rsidRPr="007E0BFD">
        <w:rPr>
          <w:rFonts w:ascii="Arial" w:hAnsi="Arial" w:cs="Arial"/>
          <w:sz w:val="22"/>
          <w:szCs w:val="22"/>
        </w:rPr>
        <w:t>its</w:t>
      </w:r>
      <w:r w:rsidRPr="007E0BFD">
        <w:rPr>
          <w:rFonts w:ascii="Arial" w:hAnsi="Arial" w:cs="Arial"/>
          <w:sz w:val="22"/>
          <w:szCs w:val="22"/>
        </w:rPr>
        <w:t xml:space="preserve"> own challenges. If colleagues believe that analytics are only for the purposes of people watching or putting employees under pressure, trust is bound to decline. On the contrary, Malik et al. (2022) state that AI-enabled HR tools can increase the cost-effectiveness of HR and the employee experience, but only when the systems are designed with the employee in mind, as opposed to the employee being an element of the system. For Tesco, this means analytics should be transparent and ethical, with a focus on support and care, and not load employees up with an ill-defined “fair” workload. Again, dashboards should not be the sole focus for managers, as employee experience contains many elements that are not found in analytics. Some of them are the informal aspects of team climate, mutual respect, and fairness.</w:t>
      </w:r>
    </w:p>
    <w:p w14:paraId="4DE0B7C9" w14:textId="7D3EAE34"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A second practice is supported </w:t>
      </w:r>
      <w:r w:rsidR="00AB4C65" w:rsidRPr="007E0BFD">
        <w:rPr>
          <w:rFonts w:ascii="Arial" w:hAnsi="Arial" w:cs="Arial"/>
          <w:sz w:val="22"/>
          <w:szCs w:val="22"/>
        </w:rPr>
        <w:t xml:space="preserve">by </w:t>
      </w:r>
      <w:r w:rsidRPr="007E0BFD">
        <w:rPr>
          <w:rFonts w:ascii="Arial" w:hAnsi="Arial" w:cs="Arial"/>
          <w:sz w:val="22"/>
          <w:szCs w:val="22"/>
        </w:rPr>
        <w:t xml:space="preserve">employer branding and </w:t>
      </w:r>
      <w:r w:rsidR="00AB4C65" w:rsidRPr="007E0BFD">
        <w:rPr>
          <w:rFonts w:ascii="Arial" w:hAnsi="Arial" w:cs="Arial"/>
          <w:sz w:val="22"/>
          <w:szCs w:val="22"/>
        </w:rPr>
        <w:t>strategic</w:t>
      </w:r>
      <w:r w:rsidRPr="007E0BFD">
        <w:rPr>
          <w:rFonts w:ascii="Arial" w:hAnsi="Arial" w:cs="Arial"/>
          <w:sz w:val="22"/>
          <w:szCs w:val="22"/>
        </w:rPr>
        <w:t xml:space="preserve"> workforce planning. Tesco’s employer brand can focus on career advancement, flexibility, apprenticeships, improvement of skills and benefits. This is useful, considering retail work is mostly perceived as low-paid and temporary; therefore, Tesco must prove that </w:t>
      </w:r>
      <w:r w:rsidR="00AB4C65" w:rsidRPr="007E0BFD">
        <w:rPr>
          <w:rFonts w:ascii="Arial" w:hAnsi="Arial" w:cs="Arial"/>
          <w:sz w:val="22"/>
          <w:szCs w:val="22"/>
        </w:rPr>
        <w:t>its</w:t>
      </w:r>
      <w:r w:rsidRPr="007E0BFD">
        <w:rPr>
          <w:rFonts w:ascii="Arial" w:hAnsi="Arial" w:cs="Arial"/>
          <w:sz w:val="22"/>
          <w:szCs w:val="22"/>
        </w:rPr>
        <w:t xml:space="preserve"> work offers sustainable, long-term careers, as opposed to just </w:t>
      </w:r>
      <w:r w:rsidR="00AB4C65" w:rsidRPr="007E0BFD">
        <w:rPr>
          <w:rFonts w:ascii="Arial" w:hAnsi="Arial" w:cs="Arial"/>
          <w:sz w:val="22"/>
          <w:szCs w:val="22"/>
        </w:rPr>
        <w:t>entry-level</w:t>
      </w:r>
      <w:r w:rsidRPr="007E0BFD">
        <w:rPr>
          <w:rFonts w:ascii="Arial" w:hAnsi="Arial" w:cs="Arial"/>
          <w:sz w:val="22"/>
          <w:szCs w:val="22"/>
        </w:rPr>
        <w:t xml:space="preserve"> work. With </w:t>
      </w:r>
      <w:r w:rsidR="00AB4C65" w:rsidRPr="007E0BFD">
        <w:rPr>
          <w:rFonts w:ascii="Arial" w:hAnsi="Arial" w:cs="Arial"/>
          <w:sz w:val="22"/>
          <w:szCs w:val="22"/>
        </w:rPr>
        <w:t>strategic</w:t>
      </w:r>
      <w:r w:rsidRPr="007E0BFD">
        <w:rPr>
          <w:rFonts w:ascii="Arial" w:hAnsi="Arial" w:cs="Arial"/>
          <w:sz w:val="22"/>
          <w:szCs w:val="22"/>
        </w:rPr>
        <w:t xml:space="preserve"> workforce planning, Tesco can anticipate skills gaps in areas of digital retail, supply chains, customer services and management. This is especially </w:t>
      </w:r>
      <w:r w:rsidR="00AB4C65" w:rsidRPr="007E0BFD">
        <w:rPr>
          <w:rFonts w:ascii="Arial" w:hAnsi="Arial" w:cs="Arial"/>
          <w:sz w:val="22"/>
          <w:szCs w:val="22"/>
        </w:rPr>
        <w:t>relevant</w:t>
      </w:r>
      <w:r w:rsidRPr="007E0BFD">
        <w:rPr>
          <w:rFonts w:ascii="Arial" w:hAnsi="Arial" w:cs="Arial"/>
          <w:sz w:val="22"/>
          <w:szCs w:val="22"/>
        </w:rPr>
        <w:t xml:space="preserve"> since retail work in the UK has been under pressure as the British Retail Consortium has indicated that the average number of retail jobs for 2025 </w:t>
      </w:r>
      <w:r w:rsidR="00AB4C65" w:rsidRPr="007E0BFD">
        <w:rPr>
          <w:rFonts w:ascii="Arial" w:hAnsi="Arial" w:cs="Arial"/>
          <w:sz w:val="22"/>
          <w:szCs w:val="22"/>
        </w:rPr>
        <w:t>will be</w:t>
      </w:r>
      <w:r w:rsidRPr="007E0BFD">
        <w:rPr>
          <w:rFonts w:ascii="Arial" w:hAnsi="Arial" w:cs="Arial"/>
          <w:sz w:val="22"/>
          <w:szCs w:val="22"/>
        </w:rPr>
        <w:t xml:space="preserve"> 68,000 </w:t>
      </w:r>
      <w:r w:rsidR="00AB4C65" w:rsidRPr="007E0BFD">
        <w:rPr>
          <w:rFonts w:ascii="Arial" w:hAnsi="Arial" w:cs="Arial"/>
          <w:sz w:val="22"/>
          <w:szCs w:val="22"/>
        </w:rPr>
        <w:t>fewer</w:t>
      </w:r>
      <w:r w:rsidRPr="007E0BFD">
        <w:rPr>
          <w:rFonts w:ascii="Arial" w:hAnsi="Arial" w:cs="Arial"/>
          <w:sz w:val="22"/>
          <w:szCs w:val="22"/>
        </w:rPr>
        <w:t xml:space="preserve"> than in 2024 (BRC, 2026).</w:t>
      </w:r>
    </w:p>
    <w:p w14:paraId="13062CBA" w14:textId="520AEE9E"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A third practice focuses on managing employee engagement and retention through awards, wellbeing, and flexibility, and investing in employee packages that combine pay, family leave, flexible benefits, virtual GPs, EAP support, and colleague discounts. Improving these benefits will help employees feel appreciated and lower employee turnover (Tesco PLC, 2025). </w:t>
      </w:r>
    </w:p>
    <w:p w14:paraId="5162B77D" w14:textId="269ABEED"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The main focus should be on the right treatment of employees, and reward alone will not help to retain employees. The correct reward will help to attract employees. Tesco will need to support the retention of employees through the right line management, the correct allocation of workloads, and the provision of psychological safety and opportunities to progress. If benefits are not easily accessed or are communicated poorly, their impact will be minimal. Therefore, Tesco should track retention through colleague feedback, exit interviews, absence records, and promotion records. This will help HR to understand if colleagues are leaving due to the pay, management, the shifts, the workload, a lack of opportunities, or poor inclusion.</w:t>
      </w:r>
    </w:p>
    <w:p w14:paraId="1ADAFB5A" w14:textId="24ECFA27" w:rsidR="00723CC9" w:rsidRPr="007E0BFD" w:rsidRDefault="00723CC9" w:rsidP="00A36368">
      <w:pPr>
        <w:pStyle w:val="Heading1"/>
        <w:spacing w:line="360" w:lineRule="auto"/>
        <w:jc w:val="both"/>
        <w:rPr>
          <w:rFonts w:cs="Arial"/>
          <w:color w:val="auto"/>
          <w:szCs w:val="22"/>
        </w:rPr>
      </w:pPr>
      <w:bookmarkStart w:id="6" w:name="_Toc234089239"/>
      <w:bookmarkStart w:id="7" w:name="_Toc234101039"/>
      <w:r w:rsidRPr="007E0BFD">
        <w:rPr>
          <w:rFonts w:cs="Arial"/>
          <w:color w:val="auto"/>
          <w:szCs w:val="22"/>
        </w:rPr>
        <w:t>3. Critical Evaluation of Managerial Implementation</w:t>
      </w:r>
      <w:bookmarkEnd w:id="6"/>
      <w:bookmarkEnd w:id="7"/>
    </w:p>
    <w:p w14:paraId="617598CB" w14:textId="131CAF45"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Departmental managers are pivotal for rapid rollout since HR practices are dispensed through line managers. HR can write the policy, but managers decide if digital training is provided, if shift rotas are equitable, if performance reviews are substantive, if inclusion is a daily imperative. The scale of Tesco’s operations means that policy won’t translate unless it is consistently implemented. What looks like a robust policy at the corporate level may end up </w:t>
      </w:r>
      <w:r w:rsidR="00AB4C65" w:rsidRPr="007E0BFD">
        <w:rPr>
          <w:rFonts w:ascii="Arial" w:hAnsi="Arial" w:cs="Arial"/>
          <w:sz w:val="22"/>
          <w:szCs w:val="22"/>
        </w:rPr>
        <w:t xml:space="preserve">as </w:t>
      </w:r>
      <w:r w:rsidRPr="007E0BFD">
        <w:rPr>
          <w:rFonts w:ascii="Arial" w:hAnsi="Arial" w:cs="Arial"/>
          <w:sz w:val="22"/>
          <w:szCs w:val="22"/>
        </w:rPr>
        <w:t>an ineffective policy at the store level if managers have no time, no confidence, or no incentive. Tesco must therefore incorporate the HR policy in its managerial performance targets, with specific and measurable goals related to employee turnover, absence, employee engagement, training, internal promotions and inclusion.</w:t>
      </w:r>
    </w:p>
    <w:p w14:paraId="74670E17" w14:textId="791D4646"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 xml:space="preserve">Leadership accountability must be real and not tokenistic. Each department or store manager must have a people scorecard with indicators of policy deployment, colleague development, retention and DEI. A people scorecard may, for example, include a store manager’s completion of digital learning, the number and quality of internal promotions, the results of employee engagement surveys, turnover of newly hired colleagues and equitable access to training and overtime. </w:t>
      </w:r>
    </w:p>
    <w:p w14:paraId="2326497C" w14:textId="359B1710" w:rsidR="00F12CAE" w:rsidRPr="007E0BFD" w:rsidRDefault="00F12CAE" w:rsidP="00A36368">
      <w:pPr>
        <w:spacing w:line="360" w:lineRule="auto"/>
        <w:jc w:val="center"/>
        <w:rPr>
          <w:rFonts w:ascii="Arial" w:hAnsi="Arial" w:cs="Arial"/>
          <w:sz w:val="22"/>
          <w:szCs w:val="22"/>
        </w:rPr>
      </w:pPr>
      <w:r w:rsidRPr="007E0BFD">
        <w:rPr>
          <w:rFonts w:ascii="Arial" w:hAnsi="Arial" w:cs="Arial"/>
          <w:noProof/>
          <w:sz w:val="22"/>
          <w:szCs w:val="22"/>
        </w:rPr>
        <w:drawing>
          <wp:inline distT="0" distB="0" distL="0" distR="0" wp14:anchorId="5981237C" wp14:editId="577E3067">
            <wp:extent cx="3362325" cy="2241550"/>
            <wp:effectExtent l="0" t="0" r="9525" b="6350"/>
            <wp:docPr id="607858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4941" cy="2243294"/>
                    </a:xfrm>
                    <a:prstGeom prst="rect">
                      <a:avLst/>
                    </a:prstGeom>
                    <a:noFill/>
                  </pic:spPr>
                </pic:pic>
              </a:graphicData>
            </a:graphic>
          </wp:inline>
        </w:drawing>
      </w:r>
    </w:p>
    <w:p w14:paraId="547D1637" w14:textId="577BEFF6" w:rsidR="00F12CAE" w:rsidRPr="007E0BFD" w:rsidRDefault="00F12CAE" w:rsidP="00A36368">
      <w:pPr>
        <w:spacing w:line="360" w:lineRule="auto"/>
        <w:jc w:val="center"/>
        <w:rPr>
          <w:rFonts w:ascii="Arial" w:hAnsi="Arial" w:cs="Arial"/>
          <w:sz w:val="22"/>
          <w:szCs w:val="22"/>
        </w:rPr>
      </w:pPr>
      <w:r w:rsidRPr="007E0BFD">
        <w:rPr>
          <w:rFonts w:ascii="Arial" w:hAnsi="Arial" w:cs="Arial"/>
          <w:sz w:val="22"/>
          <w:szCs w:val="22"/>
        </w:rPr>
        <w:t xml:space="preserve">Figure 2: HR Strategy Management </w:t>
      </w:r>
    </w:p>
    <w:p w14:paraId="0BE0192B" w14:textId="61D69DE5" w:rsidR="00F12CAE" w:rsidRPr="007E0BFD" w:rsidRDefault="00F12CAE" w:rsidP="00A36368">
      <w:pPr>
        <w:spacing w:line="360" w:lineRule="auto"/>
        <w:jc w:val="center"/>
        <w:rPr>
          <w:rFonts w:ascii="Arial" w:hAnsi="Arial" w:cs="Arial"/>
          <w:sz w:val="22"/>
          <w:szCs w:val="22"/>
        </w:rPr>
      </w:pPr>
      <w:r w:rsidRPr="007E0BFD">
        <w:rPr>
          <w:rFonts w:ascii="Arial" w:hAnsi="Arial" w:cs="Arial"/>
          <w:sz w:val="22"/>
          <w:szCs w:val="22"/>
        </w:rPr>
        <w:t>Source: (Boon, no date)</w:t>
      </w:r>
    </w:p>
    <w:p w14:paraId="4B4DBE75" w14:textId="56E38CFC" w:rsidR="00723CC9" w:rsidRPr="007E0BFD" w:rsidRDefault="00723CC9" w:rsidP="00A36368">
      <w:pPr>
        <w:spacing w:line="360" w:lineRule="auto"/>
        <w:jc w:val="both"/>
        <w:rPr>
          <w:rFonts w:ascii="Arial" w:hAnsi="Arial" w:cs="Arial"/>
          <w:sz w:val="22"/>
          <w:szCs w:val="22"/>
        </w:rPr>
      </w:pPr>
      <w:r w:rsidRPr="007E0BFD">
        <w:rPr>
          <w:rFonts w:ascii="Arial" w:hAnsi="Arial" w:cs="Arial"/>
          <w:sz w:val="22"/>
          <w:szCs w:val="22"/>
        </w:rPr>
        <w:t>Both quantitative and qualitative measures should be incorporated when monitoring process implementation and performance measurement. Examples of qualitative indicators include listening groups and exit interviews, while quantitative indicators could be time-to-hire, turnover and absence data, as well as completion rates for training, promotion statistics, gender pay data, engagement and grievance data. Tesco will also have to ensure that its analytics offer insights to make timely interventions, as reliance on data could lead to a lack of focus on colleague voice; this is of paramount importance (CIPD, 2025).</w:t>
      </w:r>
    </w:p>
    <w:p w14:paraId="7F8325E2" w14:textId="1FE08C7A" w:rsidR="007E3437" w:rsidRPr="007E0BFD" w:rsidRDefault="007E3437" w:rsidP="00A36368">
      <w:pPr>
        <w:spacing w:line="360" w:lineRule="auto"/>
        <w:jc w:val="both"/>
        <w:rPr>
          <w:rStyle w:val="Heading1Char"/>
          <w:color w:val="auto"/>
        </w:rPr>
      </w:pPr>
      <w:r w:rsidRPr="007E0BFD">
        <w:rPr>
          <w:rStyle w:val="Heading1Char"/>
          <w:color w:val="auto"/>
        </w:rPr>
        <w:t>4. Theoretical Approach and HR Action Plan</w:t>
      </w:r>
    </w:p>
    <w:p w14:paraId="388DEBF6" w14:textId="22FEA4C4" w:rsidR="005D394A" w:rsidRPr="007E0BFD" w:rsidRDefault="005D394A" w:rsidP="005D394A">
      <w:pPr>
        <w:spacing w:line="360" w:lineRule="auto"/>
        <w:jc w:val="both"/>
        <w:rPr>
          <w:rFonts w:ascii="Arial" w:hAnsi="Arial" w:cs="Arial"/>
          <w:sz w:val="22"/>
          <w:szCs w:val="22"/>
        </w:rPr>
      </w:pPr>
      <w:r w:rsidRPr="007E0BFD">
        <w:rPr>
          <w:rFonts w:ascii="Arial" w:hAnsi="Arial" w:cs="Arial"/>
          <w:sz w:val="22"/>
          <w:szCs w:val="22"/>
        </w:rPr>
        <w:t xml:space="preserve">The proposed action plan is a mixture of Taylorism and a humanistic management approach. Taylor's scientific approach puts the main focus on standardisation, measurement of tasks, managerial control, and the discovery of efficient working practices (1911). Selected aspects of the Taylorist philosophy can help aid Tesco's consistent training in a digital environment, as well as having standardised responsibilities, a uniform recruitment process and measurable metrics. An overly Taylorist approach can leave workers feeling </w:t>
      </w:r>
      <w:r w:rsidR="00AE5B1D" w:rsidRPr="007E0BFD">
        <w:rPr>
          <w:rFonts w:ascii="Arial" w:hAnsi="Arial" w:cs="Arial"/>
          <w:sz w:val="22"/>
          <w:szCs w:val="22"/>
        </w:rPr>
        <w:t>stressed</w:t>
      </w:r>
      <w:r w:rsidRPr="007E0BFD">
        <w:rPr>
          <w:rFonts w:ascii="Arial" w:hAnsi="Arial" w:cs="Arial"/>
          <w:sz w:val="22"/>
          <w:szCs w:val="22"/>
        </w:rPr>
        <w:t>, replaceable, or treated as a production resource rather than a person.</w:t>
      </w:r>
    </w:p>
    <w:p w14:paraId="3B2DBB3A" w14:textId="6D15C8BE" w:rsidR="005D394A" w:rsidRPr="007E0BFD" w:rsidRDefault="005D394A" w:rsidP="005D394A">
      <w:pPr>
        <w:spacing w:line="360" w:lineRule="auto"/>
        <w:jc w:val="both"/>
        <w:rPr>
          <w:rFonts w:ascii="Arial" w:hAnsi="Arial" w:cs="Arial"/>
          <w:sz w:val="22"/>
          <w:szCs w:val="22"/>
        </w:rPr>
      </w:pPr>
      <w:r w:rsidRPr="007E0BFD">
        <w:rPr>
          <w:rFonts w:ascii="Arial" w:hAnsi="Arial" w:cs="Arial"/>
          <w:sz w:val="22"/>
          <w:szCs w:val="22"/>
        </w:rPr>
        <w:t xml:space="preserve">Therefore the humanistic approach should continue to be the prevailing approach. The idea of humanistic HR management acknowledges the fact that the employee is a human being, is human as an individual who has the right to dignity, fairness, to be developed, to be independent, to become part of the whole, and </w:t>
      </w:r>
      <w:r w:rsidR="00AE5B1D" w:rsidRPr="007E0BFD">
        <w:rPr>
          <w:rFonts w:ascii="Arial" w:hAnsi="Arial" w:cs="Arial"/>
          <w:sz w:val="22"/>
          <w:szCs w:val="22"/>
        </w:rPr>
        <w:t xml:space="preserve">to </w:t>
      </w:r>
      <w:r w:rsidRPr="007E0BFD">
        <w:rPr>
          <w:rFonts w:ascii="Arial" w:hAnsi="Arial" w:cs="Arial"/>
          <w:sz w:val="22"/>
          <w:szCs w:val="22"/>
        </w:rPr>
        <w:t xml:space="preserve">be able to meaningfully participate. There is a body of research which indicates that, in combination, employee well-being, resilience, voice and common-good values are pivotal to </w:t>
      </w:r>
      <w:r w:rsidR="00AE5B1D" w:rsidRPr="007E0BFD">
        <w:rPr>
          <w:rFonts w:ascii="Arial" w:hAnsi="Arial" w:cs="Arial"/>
          <w:sz w:val="22"/>
          <w:szCs w:val="22"/>
        </w:rPr>
        <w:t>making</w:t>
      </w:r>
      <w:r w:rsidRPr="007E0BFD">
        <w:rPr>
          <w:rFonts w:ascii="Arial" w:hAnsi="Arial" w:cs="Arial"/>
          <w:sz w:val="22"/>
          <w:szCs w:val="22"/>
        </w:rPr>
        <w:t xml:space="preserve"> HR systems more sustainable that focus on organisational performance alone (Aust, Matthews and Muller-Camen, 2020; Lu et al., 2023). When work meets psychological needs in addition to control and financial rewards, employee engagement is increased as well (Pincus 2023). Therefore, Tesco should adopt Taylorist Measurement in monitoring its HR Practices implementation, though it should have to be a Humanistic HR Practices design and implementation.</w:t>
      </w:r>
    </w:p>
    <w:p w14:paraId="4BAC48B1" w14:textId="51BD1A41" w:rsidR="00723CC9" w:rsidRPr="007E0BFD" w:rsidRDefault="007E3437" w:rsidP="00A36368">
      <w:pPr>
        <w:pStyle w:val="Heading1"/>
        <w:spacing w:line="360" w:lineRule="auto"/>
        <w:jc w:val="both"/>
        <w:rPr>
          <w:rFonts w:cs="Arial"/>
          <w:color w:val="auto"/>
          <w:szCs w:val="22"/>
        </w:rPr>
      </w:pPr>
      <w:bookmarkStart w:id="8" w:name="_Toc234089240"/>
      <w:bookmarkStart w:id="9" w:name="_Toc234101040"/>
      <w:r w:rsidRPr="007E0BFD">
        <w:rPr>
          <w:rFonts w:cs="Arial"/>
          <w:color w:val="auto"/>
          <w:szCs w:val="22"/>
        </w:rPr>
        <w:t>5</w:t>
      </w:r>
      <w:r w:rsidR="00DB0F11" w:rsidRPr="007E0BFD">
        <w:rPr>
          <w:rFonts w:cs="Arial"/>
          <w:color w:val="auto"/>
          <w:szCs w:val="22"/>
        </w:rPr>
        <w:t xml:space="preserve">. </w:t>
      </w:r>
      <w:r w:rsidR="00723CC9" w:rsidRPr="007E0BFD">
        <w:rPr>
          <w:rFonts w:cs="Arial"/>
          <w:color w:val="auto"/>
          <w:szCs w:val="22"/>
        </w:rPr>
        <w:t>Conclusion and Recommendations</w:t>
      </w:r>
      <w:bookmarkEnd w:id="8"/>
      <w:bookmarkEnd w:id="9"/>
    </w:p>
    <w:p w14:paraId="7DDEAB3E" w14:textId="7A55403D" w:rsidR="005D394A" w:rsidRPr="007E0BFD" w:rsidRDefault="005D394A" w:rsidP="005D394A">
      <w:pPr>
        <w:spacing w:line="360" w:lineRule="auto"/>
        <w:jc w:val="both"/>
        <w:rPr>
          <w:rFonts w:ascii="Arial" w:hAnsi="Arial" w:cs="Arial"/>
          <w:sz w:val="22"/>
          <w:szCs w:val="22"/>
        </w:rPr>
      </w:pPr>
      <w:r w:rsidRPr="007E0BFD">
        <w:rPr>
          <w:rFonts w:ascii="Arial" w:hAnsi="Arial" w:cs="Arial"/>
          <w:sz w:val="22"/>
          <w:szCs w:val="22"/>
        </w:rPr>
        <w:t xml:space="preserve">The report identifies the link between technological change and talent retention and EDI as intertwined concerns and challenges within HR. While digital systems can help to increase efficiency, they can also bring about a decrease in employee trust if they are not properly communicated or trained. Likewise, while better remuneration and benefits go a long </w:t>
      </w:r>
      <w:r w:rsidR="00AE5B1D" w:rsidRPr="007E0BFD">
        <w:rPr>
          <w:rFonts w:ascii="Arial" w:hAnsi="Arial" w:cs="Arial"/>
          <w:sz w:val="22"/>
          <w:szCs w:val="22"/>
        </w:rPr>
        <w:t>way</w:t>
      </w:r>
      <w:r w:rsidRPr="007E0BFD">
        <w:rPr>
          <w:rFonts w:ascii="Arial" w:hAnsi="Arial" w:cs="Arial"/>
          <w:sz w:val="22"/>
          <w:szCs w:val="22"/>
        </w:rPr>
        <w:t xml:space="preserve"> towards attracting and retaining players, insufficient schedules, poor management, </w:t>
      </w:r>
      <w:r w:rsidR="00AE5B1D" w:rsidRPr="007E0BFD">
        <w:rPr>
          <w:rFonts w:ascii="Arial" w:hAnsi="Arial" w:cs="Arial"/>
          <w:sz w:val="22"/>
          <w:szCs w:val="22"/>
        </w:rPr>
        <w:t>overwork</w:t>
      </w:r>
      <w:r w:rsidRPr="007E0BFD">
        <w:rPr>
          <w:rFonts w:ascii="Arial" w:hAnsi="Arial" w:cs="Arial"/>
          <w:sz w:val="22"/>
          <w:szCs w:val="22"/>
        </w:rPr>
        <w:t>, and lack of opportunities for progression can not be remedied with increased pay and benefits. The inclusion initiatives undertaken by Tesco do show commitment to inclusion, but for changes to occur</w:t>
      </w:r>
      <w:r w:rsidR="00AE5B1D" w:rsidRPr="007E0BFD">
        <w:rPr>
          <w:rFonts w:ascii="Arial" w:hAnsi="Arial" w:cs="Arial"/>
          <w:sz w:val="22"/>
          <w:szCs w:val="22"/>
        </w:rPr>
        <w:t>,</w:t>
      </w:r>
      <w:r w:rsidRPr="007E0BFD">
        <w:rPr>
          <w:rFonts w:ascii="Arial" w:hAnsi="Arial" w:cs="Arial"/>
          <w:sz w:val="22"/>
          <w:szCs w:val="22"/>
        </w:rPr>
        <w:t xml:space="preserve"> there is a need for greater equality and progression for women across the organisation and </w:t>
      </w:r>
      <w:r w:rsidR="00AE5B1D" w:rsidRPr="007E0BFD">
        <w:rPr>
          <w:rFonts w:ascii="Arial" w:hAnsi="Arial" w:cs="Arial"/>
          <w:sz w:val="22"/>
          <w:szCs w:val="22"/>
        </w:rPr>
        <w:t>in</w:t>
      </w:r>
      <w:r w:rsidRPr="007E0BFD">
        <w:rPr>
          <w:rFonts w:ascii="Arial" w:hAnsi="Arial" w:cs="Arial"/>
          <w:sz w:val="22"/>
          <w:szCs w:val="22"/>
        </w:rPr>
        <w:t xml:space="preserve"> women-led organisations.</w:t>
      </w:r>
    </w:p>
    <w:p w14:paraId="61C1797D" w14:textId="295662C1" w:rsidR="00F12CAE" w:rsidRPr="007E0BFD" w:rsidRDefault="005D394A" w:rsidP="005D394A">
      <w:pPr>
        <w:spacing w:line="360" w:lineRule="auto"/>
        <w:jc w:val="both"/>
        <w:rPr>
          <w:rFonts w:ascii="Arial" w:hAnsi="Arial" w:cs="Arial"/>
          <w:sz w:val="22"/>
          <w:szCs w:val="22"/>
        </w:rPr>
      </w:pPr>
      <w:r w:rsidRPr="007E0BFD">
        <w:rPr>
          <w:rFonts w:ascii="Arial" w:hAnsi="Arial" w:cs="Arial"/>
          <w:sz w:val="22"/>
          <w:szCs w:val="22"/>
        </w:rPr>
        <w:t>The recommendations are directly based on these findings. First, consumer-level digital training and explanation of the use of people analytics should be given, as the analysis found digital anxiety, skill gaps and concerns about surveillance. Second, it should include clarity around career paths</w:t>
      </w:r>
      <w:r w:rsidR="00AE5B1D" w:rsidRPr="007E0BFD">
        <w:rPr>
          <w:rFonts w:ascii="Arial" w:hAnsi="Arial" w:cs="Arial"/>
          <w:sz w:val="22"/>
          <w:szCs w:val="22"/>
        </w:rPr>
        <w:t>,</w:t>
      </w:r>
      <w:r w:rsidRPr="007E0BFD">
        <w:rPr>
          <w:rFonts w:ascii="Arial" w:hAnsi="Arial" w:cs="Arial"/>
          <w:sz w:val="22"/>
          <w:szCs w:val="22"/>
        </w:rPr>
        <w:t xml:space="preserve"> mentoring and stay interviews, as progression and management quality were included in the retention conversation as significant employee conversations. Third, due to the EDI analysis identifying unequal senior representation, and because they are identified in the EEA as this being a key area that requires focused attention, the recruitment, promotion audits</w:t>
      </w:r>
      <w:r w:rsidR="00AE5B1D" w:rsidRPr="007E0BFD">
        <w:rPr>
          <w:rFonts w:ascii="Arial" w:hAnsi="Arial" w:cs="Arial"/>
          <w:sz w:val="22"/>
          <w:szCs w:val="22"/>
        </w:rPr>
        <w:t>,</w:t>
      </w:r>
      <w:r w:rsidRPr="007E0BFD">
        <w:rPr>
          <w:rFonts w:ascii="Arial" w:hAnsi="Arial" w:cs="Arial"/>
          <w:sz w:val="22"/>
          <w:szCs w:val="22"/>
        </w:rPr>
        <w:t xml:space="preserve"> and leadership sponsorship should be implemented in a structured way. Fourth, managerial coaching and people-management scorecards should be rolled out as the report proved that the consistency and application of HR policies </w:t>
      </w:r>
      <w:r w:rsidR="00AE5B1D" w:rsidRPr="007E0BFD">
        <w:rPr>
          <w:rFonts w:ascii="Arial" w:hAnsi="Arial" w:cs="Arial"/>
          <w:sz w:val="22"/>
          <w:szCs w:val="22"/>
        </w:rPr>
        <w:t>are</w:t>
      </w:r>
      <w:r w:rsidRPr="007E0BFD">
        <w:rPr>
          <w:rFonts w:ascii="Arial" w:hAnsi="Arial" w:cs="Arial"/>
          <w:sz w:val="22"/>
          <w:szCs w:val="22"/>
        </w:rPr>
        <w:t xml:space="preserve"> in the hands of line managers. Lastly, quantitative performance data should be put into context with </w:t>
      </w:r>
      <w:r w:rsidR="00AE5B1D" w:rsidRPr="007E0BFD">
        <w:rPr>
          <w:rFonts w:ascii="Arial" w:hAnsi="Arial" w:cs="Arial"/>
          <w:sz w:val="22"/>
          <w:szCs w:val="22"/>
        </w:rPr>
        <w:t>employees'</w:t>
      </w:r>
      <w:r w:rsidRPr="007E0BFD">
        <w:rPr>
          <w:rFonts w:ascii="Arial" w:hAnsi="Arial" w:cs="Arial"/>
          <w:sz w:val="22"/>
          <w:szCs w:val="22"/>
        </w:rPr>
        <w:t xml:space="preserve"> forums and qualitative feedback. Such a Taylorist and humanistic approach would ensure that Tesco could run in the same way whilst being mindful of employee dignity, voice, inclusion and wellbeing.</w:t>
      </w:r>
    </w:p>
    <w:p w14:paraId="0C3FE4BD" w14:textId="48D1E218" w:rsidR="00015FC3" w:rsidRPr="007E0BFD" w:rsidRDefault="00015FC3" w:rsidP="00A36368">
      <w:pPr>
        <w:pStyle w:val="Heading1"/>
        <w:spacing w:line="360" w:lineRule="auto"/>
        <w:rPr>
          <w:rFonts w:cs="Arial"/>
          <w:color w:val="auto"/>
          <w:szCs w:val="22"/>
        </w:rPr>
      </w:pPr>
      <w:bookmarkStart w:id="10" w:name="_Toc234101041"/>
      <w:r w:rsidRPr="007E0BFD">
        <w:rPr>
          <w:rFonts w:cs="Arial"/>
          <w:color w:val="auto"/>
          <w:szCs w:val="22"/>
        </w:rPr>
        <w:t>References</w:t>
      </w:r>
      <w:bookmarkEnd w:id="10"/>
    </w:p>
    <w:p w14:paraId="328BECAC" w14:textId="72174D84" w:rsidR="00561DA1" w:rsidRPr="007E0BFD" w:rsidRDefault="00561DA1" w:rsidP="00A36368">
      <w:pPr>
        <w:spacing w:line="360" w:lineRule="auto"/>
        <w:jc w:val="both"/>
        <w:rPr>
          <w:rFonts w:ascii="Arial" w:hAnsi="Arial" w:cs="Arial"/>
          <w:sz w:val="22"/>
          <w:szCs w:val="22"/>
        </w:rPr>
      </w:pPr>
      <w:r w:rsidRPr="007E0BFD">
        <w:rPr>
          <w:rFonts w:ascii="Arial" w:hAnsi="Arial" w:cs="Arial"/>
          <w:sz w:val="22"/>
          <w:szCs w:val="22"/>
        </w:rPr>
        <w:t>Boon, C. (no date)</w:t>
      </w:r>
      <w:r w:rsidR="00AE5B1D" w:rsidRPr="007E0BFD">
        <w:rPr>
          <w:rFonts w:ascii="Arial" w:hAnsi="Arial" w:cs="Arial"/>
          <w:sz w:val="22"/>
          <w:szCs w:val="22"/>
        </w:rPr>
        <w:t>.</w:t>
      </w:r>
      <w:r w:rsidRPr="007E0BFD">
        <w:rPr>
          <w:rFonts w:ascii="Arial" w:hAnsi="Arial" w:cs="Arial"/>
          <w:sz w:val="22"/>
          <w:szCs w:val="22"/>
        </w:rPr>
        <w:t xml:space="preserve"> </w:t>
      </w:r>
      <w:r w:rsidRPr="007E0BFD">
        <w:rPr>
          <w:rStyle w:val="Emphasis"/>
          <w:rFonts w:ascii="Arial" w:hAnsi="Arial" w:cs="Arial"/>
          <w:sz w:val="22"/>
          <w:szCs w:val="22"/>
        </w:rPr>
        <w:t>How to best approach HR strategy implementation</w:t>
      </w:r>
      <w:r w:rsidRPr="007E0BFD">
        <w:rPr>
          <w:rFonts w:ascii="Arial" w:hAnsi="Arial" w:cs="Arial"/>
          <w:sz w:val="22"/>
          <w:szCs w:val="22"/>
        </w:rPr>
        <w:t xml:space="preserve">. AIHR. Available at: </w:t>
      </w:r>
      <w:hyperlink r:id="rId11" w:tgtFrame="_new" w:history="1">
        <w:r w:rsidRPr="007E0BFD">
          <w:rPr>
            <w:rStyle w:val="Hyperlink"/>
            <w:rFonts w:ascii="Arial" w:hAnsi="Arial" w:cs="Arial"/>
            <w:color w:val="auto"/>
            <w:sz w:val="22"/>
            <w:szCs w:val="22"/>
          </w:rPr>
          <w:t>https://www.aihr.com/blog/hr-strategy-implementation/</w:t>
        </w:r>
      </w:hyperlink>
      <w:r w:rsidRPr="007E0BFD">
        <w:rPr>
          <w:rFonts w:ascii="Arial" w:hAnsi="Arial" w:cs="Arial"/>
          <w:sz w:val="22"/>
          <w:szCs w:val="22"/>
        </w:rPr>
        <w:t xml:space="preserve"> (Accessed: 4 July 2026).</w:t>
      </w:r>
    </w:p>
    <w:p w14:paraId="3D03586D" w14:textId="77777777" w:rsidR="00561DA1" w:rsidRPr="007E0BFD" w:rsidRDefault="00561DA1" w:rsidP="00A36368">
      <w:pPr>
        <w:pStyle w:val="pdq2pgselectionanchorcontainer"/>
        <w:spacing w:line="360" w:lineRule="auto"/>
        <w:jc w:val="both"/>
        <w:rPr>
          <w:rFonts w:ascii="Arial" w:hAnsi="Arial" w:cs="Arial"/>
          <w:sz w:val="22"/>
          <w:szCs w:val="22"/>
        </w:rPr>
      </w:pPr>
      <w:r w:rsidRPr="007E0BFD">
        <w:rPr>
          <w:rFonts w:ascii="Arial" w:hAnsi="Arial" w:cs="Arial"/>
          <w:sz w:val="22"/>
          <w:szCs w:val="22"/>
        </w:rPr>
        <w:t xml:space="preserve">British Retail Consortium (BRC) (2026) ‘Retail job losses risk a “jobless generation”’. Available at: </w:t>
      </w:r>
      <w:hyperlink r:id="rId12" w:tgtFrame="_new" w:history="1">
        <w:r w:rsidRPr="007E0BFD">
          <w:rPr>
            <w:rStyle w:val="Hyperlink"/>
            <w:rFonts w:ascii="Arial" w:hAnsi="Arial" w:cs="Arial"/>
            <w:color w:val="auto"/>
            <w:sz w:val="22"/>
            <w:szCs w:val="22"/>
          </w:rPr>
          <w:t>https://brc.org.uk/news-and-events/news/corporate-affairs/2026/ungated/retail-job-losses-risk-a-jobless-generation/</w:t>
        </w:r>
      </w:hyperlink>
      <w:r w:rsidRPr="007E0BFD">
        <w:rPr>
          <w:rFonts w:ascii="Arial" w:hAnsi="Arial" w:cs="Arial"/>
          <w:sz w:val="22"/>
          <w:szCs w:val="22"/>
        </w:rPr>
        <w:t xml:space="preserve"> (Accessed: 4 July 2026).</w:t>
      </w:r>
    </w:p>
    <w:p w14:paraId="4464348D"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Budhwar, P., Chowdhury, S., Wood, G., Aguinis, H., Bamber, G.J., Beltran, J.R., Boselie, P., Cooke, F.L., Decker, S., DeNisi, A. and Dey, P.K. (2022) ‘Artificial intelligence – challenges and opportunities for international HRM: a review and research agenda’, </w:t>
      </w:r>
      <w:r w:rsidRPr="007E0BFD">
        <w:rPr>
          <w:rStyle w:val="Emphasis"/>
          <w:rFonts w:ascii="Arial" w:hAnsi="Arial" w:cs="Arial"/>
          <w:sz w:val="22"/>
          <w:szCs w:val="22"/>
        </w:rPr>
        <w:t>The International Journal of Human Resource Management</w:t>
      </w:r>
      <w:r w:rsidRPr="007E0BFD">
        <w:rPr>
          <w:rFonts w:ascii="Arial" w:hAnsi="Arial" w:cs="Arial"/>
          <w:sz w:val="22"/>
          <w:szCs w:val="22"/>
        </w:rPr>
        <w:t xml:space="preserve">, 33(6), pp. 1065–1097. Available at: </w:t>
      </w:r>
      <w:hyperlink r:id="rId13" w:tgtFrame="_new" w:history="1">
        <w:r w:rsidRPr="007E0BFD">
          <w:rPr>
            <w:rStyle w:val="Hyperlink"/>
            <w:rFonts w:ascii="Arial" w:hAnsi="Arial" w:cs="Arial"/>
            <w:color w:val="auto"/>
            <w:sz w:val="22"/>
            <w:szCs w:val="22"/>
          </w:rPr>
          <w:t>https://doi.org/10.1080/09585192.2022.2035161</w:t>
        </w:r>
      </w:hyperlink>
    </w:p>
    <w:p w14:paraId="5340CEBA"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CIPD (2022) </w:t>
      </w:r>
      <w:r w:rsidRPr="007E0BFD">
        <w:rPr>
          <w:rStyle w:val="Emphasis"/>
          <w:rFonts w:ascii="Arial" w:hAnsi="Arial" w:cs="Arial"/>
          <w:sz w:val="22"/>
          <w:szCs w:val="22"/>
        </w:rPr>
        <w:t>Inclusion at work 2022</w:t>
      </w:r>
      <w:r w:rsidRPr="007E0BFD">
        <w:rPr>
          <w:rFonts w:ascii="Arial" w:hAnsi="Arial" w:cs="Arial"/>
          <w:sz w:val="22"/>
          <w:szCs w:val="22"/>
        </w:rPr>
        <w:t xml:space="preserve">. London: Chartered Institute of Personnel and Development. Available at: </w:t>
      </w:r>
      <w:hyperlink r:id="rId14" w:tgtFrame="_new" w:history="1">
        <w:r w:rsidRPr="007E0BFD">
          <w:rPr>
            <w:rStyle w:val="Hyperlink"/>
            <w:rFonts w:ascii="Arial" w:hAnsi="Arial" w:cs="Arial"/>
            <w:color w:val="auto"/>
            <w:sz w:val="22"/>
            <w:szCs w:val="22"/>
          </w:rPr>
          <w:t>https://www.cipd.org/en/knowledge/reports/inclusion-work/</w:t>
        </w:r>
      </w:hyperlink>
      <w:r w:rsidRPr="007E0BFD">
        <w:rPr>
          <w:rFonts w:ascii="Arial" w:hAnsi="Arial" w:cs="Arial"/>
          <w:sz w:val="22"/>
          <w:szCs w:val="22"/>
        </w:rPr>
        <w:t xml:space="preserve"> (Accessed: 4 July 2026).</w:t>
      </w:r>
    </w:p>
    <w:p w14:paraId="784796AD"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CIPD (2024) </w:t>
      </w:r>
      <w:r w:rsidRPr="007E0BFD">
        <w:rPr>
          <w:rStyle w:val="Emphasis"/>
          <w:rFonts w:ascii="Arial" w:hAnsi="Arial" w:cs="Arial"/>
          <w:sz w:val="22"/>
          <w:szCs w:val="22"/>
        </w:rPr>
        <w:t>Resourcing and talent planning report 2024</w:t>
      </w:r>
      <w:r w:rsidRPr="007E0BFD">
        <w:rPr>
          <w:rFonts w:ascii="Arial" w:hAnsi="Arial" w:cs="Arial"/>
          <w:sz w:val="22"/>
          <w:szCs w:val="22"/>
        </w:rPr>
        <w:t xml:space="preserve">. London: Chartered Institute of Personnel and Development. Available at: </w:t>
      </w:r>
      <w:hyperlink r:id="rId15" w:tgtFrame="_new" w:history="1">
        <w:r w:rsidRPr="007E0BFD">
          <w:rPr>
            <w:rStyle w:val="Hyperlink"/>
            <w:rFonts w:ascii="Arial" w:hAnsi="Arial" w:cs="Arial"/>
            <w:color w:val="auto"/>
            <w:sz w:val="22"/>
            <w:szCs w:val="22"/>
          </w:rPr>
          <w:t>https://www.cipd.org/globalassets/media/knowledge/knowledge-hub/reports/2024-pdfs/8662-resource-and-talent-planning-2024-report-web.pdf</w:t>
        </w:r>
      </w:hyperlink>
      <w:r w:rsidRPr="007E0BFD">
        <w:rPr>
          <w:rFonts w:ascii="Arial" w:hAnsi="Arial" w:cs="Arial"/>
          <w:sz w:val="22"/>
          <w:szCs w:val="22"/>
        </w:rPr>
        <w:t xml:space="preserve"> (Accessed: 4 July 2026).</w:t>
      </w:r>
    </w:p>
    <w:p w14:paraId="6D6C5445"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CIPD (2025) </w:t>
      </w:r>
      <w:r w:rsidRPr="007E0BFD">
        <w:rPr>
          <w:rStyle w:val="Emphasis"/>
          <w:rFonts w:ascii="Arial" w:hAnsi="Arial" w:cs="Arial"/>
          <w:sz w:val="22"/>
          <w:szCs w:val="22"/>
        </w:rPr>
        <w:t>People analytics</w:t>
      </w:r>
      <w:r w:rsidRPr="007E0BFD">
        <w:rPr>
          <w:rFonts w:ascii="Arial" w:hAnsi="Arial" w:cs="Arial"/>
          <w:sz w:val="22"/>
          <w:szCs w:val="22"/>
        </w:rPr>
        <w:t xml:space="preserve">. London: Chartered Institute of Personnel and Development. Available at: </w:t>
      </w:r>
      <w:hyperlink r:id="rId16" w:tgtFrame="_new" w:history="1">
        <w:r w:rsidRPr="007E0BFD">
          <w:rPr>
            <w:rStyle w:val="Hyperlink"/>
            <w:rFonts w:ascii="Arial" w:hAnsi="Arial" w:cs="Arial"/>
            <w:color w:val="auto"/>
            <w:sz w:val="22"/>
            <w:szCs w:val="22"/>
          </w:rPr>
          <w:t>https://www.cipd.org/en/knowledge/factsheets/analytics-factsheet/</w:t>
        </w:r>
      </w:hyperlink>
      <w:r w:rsidRPr="007E0BFD">
        <w:rPr>
          <w:rFonts w:ascii="Arial" w:hAnsi="Arial" w:cs="Arial"/>
          <w:sz w:val="22"/>
          <w:szCs w:val="22"/>
        </w:rPr>
        <w:t xml:space="preserve"> (Accessed: 4 July 2026).</w:t>
      </w:r>
    </w:p>
    <w:p w14:paraId="6FE9CAC8"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CIPD (2026) </w:t>
      </w:r>
      <w:r w:rsidRPr="007E0BFD">
        <w:rPr>
          <w:rStyle w:val="Emphasis"/>
          <w:rFonts w:ascii="Arial" w:hAnsi="Arial" w:cs="Arial"/>
          <w:sz w:val="22"/>
          <w:szCs w:val="22"/>
        </w:rPr>
        <w:t>Equality, diversity and inclusion in the workplace</w:t>
      </w:r>
      <w:r w:rsidRPr="007E0BFD">
        <w:rPr>
          <w:rFonts w:ascii="Arial" w:hAnsi="Arial" w:cs="Arial"/>
          <w:sz w:val="22"/>
          <w:szCs w:val="22"/>
        </w:rPr>
        <w:t xml:space="preserve">. London: Chartered Institute of Personnel and Development. Available at: </w:t>
      </w:r>
      <w:hyperlink r:id="rId17" w:tgtFrame="_new" w:history="1">
        <w:r w:rsidRPr="007E0BFD">
          <w:rPr>
            <w:rStyle w:val="Hyperlink"/>
            <w:rFonts w:ascii="Arial" w:hAnsi="Arial" w:cs="Arial"/>
            <w:color w:val="auto"/>
            <w:sz w:val="22"/>
            <w:szCs w:val="22"/>
          </w:rPr>
          <w:t>https://www.cipd.org/en/knowledge/factsheets/diversity-factsheet/</w:t>
        </w:r>
      </w:hyperlink>
      <w:r w:rsidRPr="007E0BFD">
        <w:rPr>
          <w:rFonts w:ascii="Arial" w:hAnsi="Arial" w:cs="Arial"/>
          <w:sz w:val="22"/>
          <w:szCs w:val="22"/>
        </w:rPr>
        <w:t xml:space="preserve"> (Accessed: 4 July 2026).</w:t>
      </w:r>
    </w:p>
    <w:p w14:paraId="77155443"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GOV.UK (2026) </w:t>
      </w:r>
      <w:r w:rsidRPr="007E0BFD">
        <w:rPr>
          <w:rStyle w:val="Emphasis"/>
          <w:rFonts w:ascii="Arial" w:hAnsi="Arial" w:cs="Arial"/>
          <w:sz w:val="22"/>
          <w:szCs w:val="22"/>
        </w:rPr>
        <w:t>TESCO STORES LIMITED: Gender pay gap report 2025 to 2026</w:t>
      </w:r>
      <w:r w:rsidRPr="007E0BFD">
        <w:rPr>
          <w:rFonts w:ascii="Arial" w:hAnsi="Arial" w:cs="Arial"/>
          <w:sz w:val="22"/>
          <w:szCs w:val="22"/>
        </w:rPr>
        <w:t xml:space="preserve">. Available at: </w:t>
      </w:r>
      <w:hyperlink r:id="rId18" w:tgtFrame="_new" w:history="1">
        <w:r w:rsidRPr="007E0BFD">
          <w:rPr>
            <w:rStyle w:val="Hyperlink"/>
            <w:rFonts w:ascii="Arial" w:hAnsi="Arial" w:cs="Arial"/>
            <w:color w:val="auto"/>
            <w:sz w:val="22"/>
            <w:szCs w:val="22"/>
          </w:rPr>
          <w:t>https://gender-pay-gap.service.gov.uk/employers/12141</w:t>
        </w:r>
      </w:hyperlink>
      <w:r w:rsidRPr="007E0BFD">
        <w:rPr>
          <w:rFonts w:ascii="Arial" w:hAnsi="Arial" w:cs="Arial"/>
          <w:sz w:val="22"/>
          <w:szCs w:val="22"/>
        </w:rPr>
        <w:t xml:space="preserve"> (Accessed: 4 July 2026).</w:t>
      </w:r>
    </w:p>
    <w:p w14:paraId="084E870E" w14:textId="0F68465A" w:rsidR="00561DA1" w:rsidRPr="007E0BFD" w:rsidRDefault="00561DA1" w:rsidP="00561DA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0BFD">
        <w:rPr>
          <w:rFonts w:ascii="Arial" w:eastAsia="Times New Roman" w:hAnsi="Arial" w:cs="Arial"/>
          <w:kern w:val="0"/>
          <w:sz w:val="22"/>
          <w:szCs w:val="22"/>
          <w:lang w:eastAsia="en-GB"/>
          <w14:ligatures w14:val="none"/>
        </w:rPr>
        <w:t>Le, H., Palmer Johnson, C. and Fujimoto, Y. (2021) ‘</w:t>
      </w:r>
      <w:r w:rsidR="00AE5B1D" w:rsidRPr="007E0BFD">
        <w:rPr>
          <w:rFonts w:ascii="Arial" w:eastAsia="Times New Roman" w:hAnsi="Arial" w:cs="Arial"/>
          <w:kern w:val="0"/>
          <w:sz w:val="22"/>
          <w:szCs w:val="22"/>
          <w:lang w:eastAsia="en-GB"/>
          <w14:ligatures w14:val="none"/>
        </w:rPr>
        <w:t>Organisational</w:t>
      </w:r>
      <w:r w:rsidRPr="007E0BFD">
        <w:rPr>
          <w:rFonts w:ascii="Arial" w:eastAsia="Times New Roman" w:hAnsi="Arial" w:cs="Arial"/>
          <w:kern w:val="0"/>
          <w:sz w:val="22"/>
          <w:szCs w:val="22"/>
          <w:lang w:eastAsia="en-GB"/>
          <w14:ligatures w14:val="none"/>
        </w:rPr>
        <w:t xml:space="preserve"> justice and climate for inclusion’, </w:t>
      </w:r>
      <w:r w:rsidRPr="007E0BFD">
        <w:rPr>
          <w:rFonts w:ascii="Arial" w:eastAsia="Times New Roman" w:hAnsi="Arial" w:cs="Arial"/>
          <w:i/>
          <w:iCs/>
          <w:kern w:val="0"/>
          <w:sz w:val="22"/>
          <w:szCs w:val="22"/>
          <w:lang w:eastAsia="en-GB"/>
          <w14:ligatures w14:val="none"/>
        </w:rPr>
        <w:t>Personnel Review</w:t>
      </w:r>
      <w:r w:rsidRPr="007E0BFD">
        <w:rPr>
          <w:rFonts w:ascii="Arial" w:eastAsia="Times New Roman" w:hAnsi="Arial" w:cs="Arial"/>
          <w:kern w:val="0"/>
          <w:sz w:val="22"/>
          <w:szCs w:val="22"/>
          <w:lang w:eastAsia="en-GB"/>
          <w14:ligatures w14:val="none"/>
        </w:rPr>
        <w:t xml:space="preserve">, 50(1), pp. 1–20. Available at: </w:t>
      </w:r>
      <w:hyperlink r:id="rId19" w:tgtFrame="_new" w:history="1">
        <w:r w:rsidRPr="007E0BFD">
          <w:rPr>
            <w:rFonts w:ascii="Arial" w:eastAsia="Times New Roman" w:hAnsi="Arial" w:cs="Arial"/>
            <w:kern w:val="0"/>
            <w:sz w:val="22"/>
            <w:szCs w:val="22"/>
            <w:u w:val="single"/>
            <w:lang w:eastAsia="en-GB"/>
            <w14:ligatures w14:val="none"/>
          </w:rPr>
          <w:t>https://doi.org/10.1108/PR-10-2019-0546</w:t>
        </w:r>
      </w:hyperlink>
    </w:p>
    <w:p w14:paraId="479FC92D" w14:textId="77777777" w:rsidR="00561DA1" w:rsidRPr="007E0BFD" w:rsidRDefault="00561DA1" w:rsidP="00561DA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0BFD">
        <w:rPr>
          <w:rFonts w:ascii="Arial" w:eastAsia="Times New Roman" w:hAnsi="Arial" w:cs="Arial"/>
          <w:kern w:val="0"/>
          <w:sz w:val="22"/>
          <w:szCs w:val="22"/>
          <w:lang w:eastAsia="en-GB"/>
          <w14:ligatures w14:val="none"/>
        </w:rPr>
        <w:t xml:space="preserve">Lu, Y., Zhang, M.M., Yang, M.M. and Wang, Y. (2023) ‘Sustainable human resource management practices, employee resilience, and employee outcomes: Toward common good values’, </w:t>
      </w:r>
      <w:r w:rsidRPr="007E0BFD">
        <w:rPr>
          <w:rFonts w:ascii="Arial" w:eastAsia="Times New Roman" w:hAnsi="Arial" w:cs="Arial"/>
          <w:i/>
          <w:iCs/>
          <w:kern w:val="0"/>
          <w:sz w:val="22"/>
          <w:szCs w:val="22"/>
          <w:lang w:eastAsia="en-GB"/>
          <w14:ligatures w14:val="none"/>
        </w:rPr>
        <w:t>Human Resource Management</w:t>
      </w:r>
      <w:r w:rsidRPr="007E0BFD">
        <w:rPr>
          <w:rFonts w:ascii="Arial" w:eastAsia="Times New Roman" w:hAnsi="Arial" w:cs="Arial"/>
          <w:kern w:val="0"/>
          <w:sz w:val="22"/>
          <w:szCs w:val="22"/>
          <w:lang w:eastAsia="en-GB"/>
          <w14:ligatures w14:val="none"/>
        </w:rPr>
        <w:t xml:space="preserve">, 62(3), pp. 331–353. Available at: </w:t>
      </w:r>
      <w:hyperlink r:id="rId20" w:tgtFrame="_new" w:history="1">
        <w:r w:rsidRPr="007E0BFD">
          <w:rPr>
            <w:rFonts w:ascii="Arial" w:eastAsia="Times New Roman" w:hAnsi="Arial" w:cs="Arial"/>
            <w:kern w:val="0"/>
            <w:sz w:val="22"/>
            <w:szCs w:val="22"/>
            <w:u w:val="single"/>
            <w:lang w:eastAsia="en-GB"/>
            <w14:ligatures w14:val="none"/>
          </w:rPr>
          <w:t>https://doi.org/10.1002/hrm.22153</w:t>
        </w:r>
      </w:hyperlink>
    </w:p>
    <w:p w14:paraId="57F599D0"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Malik, A., Budhwar, P., Patel, C. and Srikanth, N.R. (2022) ‘May the bots be with you! Delivering HR cost-effectiveness and individualised employee experiences in an MNE, </w:t>
      </w:r>
      <w:r w:rsidRPr="007E0BFD">
        <w:rPr>
          <w:rStyle w:val="Emphasis"/>
          <w:rFonts w:ascii="Arial" w:hAnsi="Arial" w:cs="Arial"/>
          <w:sz w:val="22"/>
          <w:szCs w:val="22"/>
        </w:rPr>
        <w:t>The International Journal of Human Resource Management</w:t>
      </w:r>
      <w:r w:rsidRPr="007E0BFD">
        <w:rPr>
          <w:rFonts w:ascii="Arial" w:hAnsi="Arial" w:cs="Arial"/>
          <w:sz w:val="22"/>
          <w:szCs w:val="22"/>
        </w:rPr>
        <w:t>, 33(6), pp. 1148–1178. Available at: https://doi.org/10.1080/09585192.2020.1859582</w:t>
      </w:r>
    </w:p>
    <w:p w14:paraId="041AB1EF"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Office for National Statistics (ONS) (2026) </w:t>
      </w:r>
      <w:r w:rsidRPr="007E0BFD">
        <w:rPr>
          <w:rStyle w:val="Emphasis"/>
          <w:rFonts w:ascii="Arial" w:hAnsi="Arial" w:cs="Arial"/>
          <w:sz w:val="22"/>
          <w:szCs w:val="22"/>
        </w:rPr>
        <w:t>Vacancies and jobs in the UK: June 2026</w:t>
      </w:r>
      <w:r w:rsidRPr="007E0BFD">
        <w:rPr>
          <w:rFonts w:ascii="Arial" w:hAnsi="Arial" w:cs="Arial"/>
          <w:sz w:val="22"/>
          <w:szCs w:val="22"/>
        </w:rPr>
        <w:t xml:space="preserve">. Available at: </w:t>
      </w:r>
      <w:hyperlink r:id="rId21" w:tgtFrame="_new" w:history="1">
        <w:r w:rsidRPr="007E0BFD">
          <w:rPr>
            <w:rStyle w:val="Hyperlink"/>
            <w:rFonts w:ascii="Arial" w:hAnsi="Arial" w:cs="Arial"/>
            <w:color w:val="auto"/>
            <w:sz w:val="22"/>
            <w:szCs w:val="22"/>
          </w:rPr>
          <w:t>https://www.ons.gov.uk/employmentandlabourmarket/peopleinwork/employmentandemployeetypes/bulletins/jobsandvacanciesintheuk/june2026</w:t>
        </w:r>
      </w:hyperlink>
      <w:r w:rsidRPr="007E0BFD">
        <w:rPr>
          <w:rFonts w:ascii="Arial" w:hAnsi="Arial" w:cs="Arial"/>
          <w:sz w:val="22"/>
          <w:szCs w:val="22"/>
        </w:rPr>
        <w:t xml:space="preserve"> (Accessed: 4 July 2026).</w:t>
      </w:r>
    </w:p>
    <w:p w14:paraId="0F28CA7C" w14:textId="1055FD84" w:rsidR="00561DA1" w:rsidRPr="007E0BFD" w:rsidRDefault="00561DA1" w:rsidP="00561DA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7E0BFD">
        <w:rPr>
          <w:rFonts w:ascii="Arial" w:eastAsia="Times New Roman" w:hAnsi="Arial" w:cs="Arial"/>
          <w:kern w:val="0"/>
          <w:sz w:val="22"/>
          <w:szCs w:val="22"/>
          <w:lang w:eastAsia="en-GB"/>
          <w14:ligatures w14:val="none"/>
        </w:rPr>
        <w:t xml:space="preserve">Onyeador, I.N., Hudson, S.T.J. and Lewis, N.A. Jr (2021) ‘Moving beyond implicit bias training: Policy insights for increasing </w:t>
      </w:r>
      <w:r w:rsidR="00AE5B1D" w:rsidRPr="007E0BFD">
        <w:rPr>
          <w:rFonts w:ascii="Arial" w:eastAsia="Times New Roman" w:hAnsi="Arial" w:cs="Arial"/>
          <w:kern w:val="0"/>
          <w:sz w:val="22"/>
          <w:szCs w:val="22"/>
          <w:lang w:eastAsia="en-GB"/>
          <w14:ligatures w14:val="none"/>
        </w:rPr>
        <w:t>organisational</w:t>
      </w:r>
      <w:r w:rsidRPr="007E0BFD">
        <w:rPr>
          <w:rFonts w:ascii="Arial" w:eastAsia="Times New Roman" w:hAnsi="Arial" w:cs="Arial"/>
          <w:kern w:val="0"/>
          <w:sz w:val="22"/>
          <w:szCs w:val="22"/>
          <w:lang w:eastAsia="en-GB"/>
          <w14:ligatures w14:val="none"/>
        </w:rPr>
        <w:t xml:space="preserve"> diversity’, </w:t>
      </w:r>
      <w:r w:rsidRPr="007E0BFD">
        <w:rPr>
          <w:rFonts w:ascii="Arial" w:eastAsia="Times New Roman" w:hAnsi="Arial" w:cs="Arial"/>
          <w:i/>
          <w:iCs/>
          <w:kern w:val="0"/>
          <w:sz w:val="22"/>
          <w:szCs w:val="22"/>
          <w:lang w:eastAsia="en-GB"/>
          <w14:ligatures w14:val="none"/>
        </w:rPr>
        <w:t xml:space="preserve">Policy Insights from the </w:t>
      </w:r>
      <w:r w:rsidR="00AE5B1D" w:rsidRPr="007E0BFD">
        <w:rPr>
          <w:rFonts w:ascii="Arial" w:eastAsia="Times New Roman" w:hAnsi="Arial" w:cs="Arial"/>
          <w:i/>
          <w:iCs/>
          <w:kern w:val="0"/>
          <w:sz w:val="22"/>
          <w:szCs w:val="22"/>
          <w:lang w:eastAsia="en-GB"/>
          <w14:ligatures w14:val="none"/>
        </w:rPr>
        <w:t>Behavioural</w:t>
      </w:r>
      <w:r w:rsidRPr="007E0BFD">
        <w:rPr>
          <w:rFonts w:ascii="Arial" w:eastAsia="Times New Roman" w:hAnsi="Arial" w:cs="Arial"/>
          <w:i/>
          <w:iCs/>
          <w:kern w:val="0"/>
          <w:sz w:val="22"/>
          <w:szCs w:val="22"/>
          <w:lang w:eastAsia="en-GB"/>
          <w14:ligatures w14:val="none"/>
        </w:rPr>
        <w:t xml:space="preserve"> and Brain Sciences</w:t>
      </w:r>
      <w:r w:rsidRPr="007E0BFD">
        <w:rPr>
          <w:rFonts w:ascii="Arial" w:eastAsia="Times New Roman" w:hAnsi="Arial" w:cs="Arial"/>
          <w:kern w:val="0"/>
          <w:sz w:val="22"/>
          <w:szCs w:val="22"/>
          <w:lang w:eastAsia="en-GB"/>
          <w14:ligatures w14:val="none"/>
        </w:rPr>
        <w:t xml:space="preserve">, 8(1), pp. 19–26. Available at: </w:t>
      </w:r>
      <w:hyperlink r:id="rId22" w:tgtFrame="_new" w:history="1">
        <w:r w:rsidRPr="007E0BFD">
          <w:rPr>
            <w:rFonts w:ascii="Arial" w:eastAsia="Times New Roman" w:hAnsi="Arial" w:cs="Arial"/>
            <w:kern w:val="0"/>
            <w:sz w:val="22"/>
            <w:szCs w:val="22"/>
            <w:u w:val="single"/>
            <w:lang w:eastAsia="en-GB"/>
            <w14:ligatures w14:val="none"/>
          </w:rPr>
          <w:t>https://doi.org/10.1177/2372732220983840</w:t>
        </w:r>
      </w:hyperlink>
    </w:p>
    <w:p w14:paraId="2AECB46A"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Peretz, H. (2024) ‘Sustainable human resource management and employees’ performance: the impact of national culture’, </w:t>
      </w:r>
      <w:r w:rsidRPr="007E0BFD">
        <w:rPr>
          <w:rStyle w:val="Emphasis"/>
          <w:rFonts w:ascii="Arial" w:hAnsi="Arial" w:cs="Arial"/>
          <w:sz w:val="22"/>
          <w:szCs w:val="22"/>
        </w:rPr>
        <w:t>Sustainability</w:t>
      </w:r>
      <w:r w:rsidRPr="007E0BFD">
        <w:rPr>
          <w:rFonts w:ascii="Arial" w:hAnsi="Arial" w:cs="Arial"/>
          <w:sz w:val="22"/>
          <w:szCs w:val="22"/>
        </w:rPr>
        <w:t xml:space="preserve">, 16(17), Article 7281. Available at: </w:t>
      </w:r>
      <w:hyperlink r:id="rId23" w:tgtFrame="_new" w:history="1">
        <w:r w:rsidRPr="007E0BFD">
          <w:rPr>
            <w:rStyle w:val="Hyperlink"/>
            <w:rFonts w:ascii="Arial" w:hAnsi="Arial" w:cs="Arial"/>
            <w:color w:val="auto"/>
            <w:sz w:val="22"/>
            <w:szCs w:val="22"/>
          </w:rPr>
          <w:t>https://doi.org/10.3390/su16177281</w:t>
        </w:r>
      </w:hyperlink>
    </w:p>
    <w:p w14:paraId="55D21748" w14:textId="77777777" w:rsidR="00561DA1" w:rsidRPr="007E0BFD" w:rsidRDefault="00561DA1" w:rsidP="00A36368">
      <w:pPr>
        <w:spacing w:line="360" w:lineRule="auto"/>
        <w:jc w:val="both"/>
        <w:rPr>
          <w:rFonts w:ascii="Arial" w:hAnsi="Arial" w:cs="Arial"/>
          <w:sz w:val="22"/>
          <w:szCs w:val="22"/>
        </w:rPr>
      </w:pPr>
      <w:r w:rsidRPr="007E0BFD">
        <w:rPr>
          <w:rFonts w:ascii="Arial" w:hAnsi="Arial" w:cs="Arial"/>
          <w:sz w:val="22"/>
          <w:szCs w:val="22"/>
        </w:rPr>
        <w:t xml:space="preserve">Research Tree (2024) </w:t>
      </w:r>
      <w:r w:rsidRPr="007E0BFD">
        <w:rPr>
          <w:rStyle w:val="Emphasis"/>
          <w:rFonts w:ascii="Arial" w:hAnsi="Arial" w:cs="Arial"/>
          <w:sz w:val="22"/>
          <w:szCs w:val="22"/>
        </w:rPr>
        <w:t>Tesco PLC - Preliminary Results 2023/24</w:t>
      </w:r>
      <w:r w:rsidRPr="007E0BFD">
        <w:rPr>
          <w:rFonts w:ascii="Arial" w:hAnsi="Arial" w:cs="Arial"/>
          <w:sz w:val="22"/>
          <w:szCs w:val="22"/>
        </w:rPr>
        <w:t xml:space="preserve">. 10 April. Organised by BRR Media. Available at: </w:t>
      </w:r>
      <w:hyperlink r:id="rId24" w:tgtFrame="_new" w:history="1">
        <w:r w:rsidRPr="007E0BFD">
          <w:rPr>
            <w:rStyle w:val="Hyperlink"/>
            <w:rFonts w:ascii="Arial" w:hAnsi="Arial" w:cs="Arial"/>
            <w:color w:val="auto"/>
            <w:sz w:val="22"/>
            <w:szCs w:val="22"/>
          </w:rPr>
          <w:t>https://www.research-tree.com/events/brr-media/tesco-plc-preliminary-results-2023-24/2195</w:t>
        </w:r>
      </w:hyperlink>
      <w:r w:rsidRPr="007E0BFD">
        <w:rPr>
          <w:rFonts w:ascii="Arial" w:hAnsi="Arial" w:cs="Arial"/>
          <w:sz w:val="22"/>
          <w:szCs w:val="22"/>
        </w:rPr>
        <w:t xml:space="preserve"> (Accessed: 4 July 2026).</w:t>
      </w:r>
    </w:p>
    <w:p w14:paraId="77D3F7A6" w14:textId="77777777" w:rsidR="00561DA1" w:rsidRPr="007E0BFD" w:rsidRDefault="00561DA1" w:rsidP="00A36368">
      <w:pPr>
        <w:pStyle w:val="NormalWeb"/>
        <w:spacing w:line="360" w:lineRule="auto"/>
        <w:jc w:val="both"/>
        <w:rPr>
          <w:rFonts w:ascii="Arial" w:hAnsi="Arial" w:cs="Arial"/>
          <w:sz w:val="22"/>
          <w:szCs w:val="22"/>
        </w:rPr>
      </w:pPr>
      <w:r w:rsidRPr="007E0BFD">
        <w:rPr>
          <w:rFonts w:ascii="Arial" w:hAnsi="Arial" w:cs="Arial"/>
          <w:sz w:val="22"/>
          <w:szCs w:val="22"/>
        </w:rPr>
        <w:t xml:space="preserve">Tesco PLC (2025) </w:t>
      </w:r>
      <w:r w:rsidRPr="007E0BFD">
        <w:rPr>
          <w:rStyle w:val="Emphasis"/>
          <w:rFonts w:ascii="Arial" w:hAnsi="Arial" w:cs="Arial"/>
          <w:sz w:val="22"/>
          <w:szCs w:val="22"/>
        </w:rPr>
        <w:t>Annual Report and Financial Statements 2025</w:t>
      </w:r>
      <w:r w:rsidRPr="007E0BFD">
        <w:rPr>
          <w:rFonts w:ascii="Arial" w:hAnsi="Arial" w:cs="Arial"/>
          <w:sz w:val="22"/>
          <w:szCs w:val="22"/>
        </w:rPr>
        <w:t xml:space="preserve">. Welwyn Garden City: Tesco PLC. Available at: </w:t>
      </w:r>
      <w:hyperlink r:id="rId25" w:tgtFrame="_new" w:history="1">
        <w:r w:rsidRPr="007E0BFD">
          <w:rPr>
            <w:rStyle w:val="Hyperlink"/>
            <w:rFonts w:ascii="Arial" w:hAnsi="Arial" w:cs="Arial"/>
            <w:color w:val="auto"/>
            <w:sz w:val="22"/>
            <w:szCs w:val="22"/>
          </w:rPr>
          <w:t>https://www.tescoplc.com/media/ky0bfwpo/tesco_ar25_interactive.pdf</w:t>
        </w:r>
      </w:hyperlink>
      <w:r w:rsidRPr="007E0BFD">
        <w:rPr>
          <w:rFonts w:ascii="Arial" w:hAnsi="Arial" w:cs="Arial"/>
          <w:sz w:val="22"/>
          <w:szCs w:val="22"/>
        </w:rPr>
        <w:t xml:space="preserve"> (Accessed: 4 July 2026).</w:t>
      </w:r>
    </w:p>
    <w:p w14:paraId="19D09AFC" w14:textId="77777777" w:rsidR="00561DA1" w:rsidRPr="007E0BFD" w:rsidRDefault="00561DA1" w:rsidP="00A36368">
      <w:pPr>
        <w:pStyle w:val="NormalWeb"/>
        <w:spacing w:line="360" w:lineRule="auto"/>
        <w:jc w:val="both"/>
      </w:pPr>
      <w:r w:rsidRPr="007E0BFD">
        <w:rPr>
          <w:rFonts w:ascii="Arial" w:hAnsi="Arial" w:cs="Arial"/>
          <w:sz w:val="22"/>
          <w:szCs w:val="22"/>
        </w:rPr>
        <w:t xml:space="preserve">Vrontis, D., Christofi, M., Pereira, V., Tarba, S., Makrides, A. and Trichina, E. (2022) ‘Artificial intelligence, robotics, advanced technologies and human resource management: a systematic review’, </w:t>
      </w:r>
      <w:r w:rsidRPr="007E0BFD">
        <w:rPr>
          <w:rStyle w:val="Emphasis"/>
          <w:rFonts w:ascii="Arial" w:hAnsi="Arial" w:cs="Arial"/>
          <w:sz w:val="22"/>
          <w:szCs w:val="22"/>
        </w:rPr>
        <w:t>The International Journal of Human Resource Management</w:t>
      </w:r>
      <w:r w:rsidRPr="007E0BFD">
        <w:rPr>
          <w:rFonts w:ascii="Arial" w:hAnsi="Arial" w:cs="Arial"/>
          <w:sz w:val="22"/>
          <w:szCs w:val="22"/>
        </w:rPr>
        <w:t xml:space="preserve">, 33(6), pp. 1237–1266. Available at: </w:t>
      </w:r>
      <w:hyperlink r:id="rId26" w:tgtFrame="_new" w:history="1">
        <w:r w:rsidRPr="007E0BFD">
          <w:rPr>
            <w:rStyle w:val="Hyperlink"/>
            <w:rFonts w:ascii="Arial" w:hAnsi="Arial" w:cs="Arial"/>
            <w:color w:val="auto"/>
            <w:sz w:val="22"/>
            <w:szCs w:val="22"/>
          </w:rPr>
          <w:t>https://doi.org/10.1080/09585192.2020.1871398</w:t>
        </w:r>
      </w:hyperlink>
    </w:p>
    <w:p w14:paraId="516F4637" w14:textId="77777777" w:rsidR="003930B5" w:rsidRPr="007E0BFD" w:rsidRDefault="003930B5" w:rsidP="00561DA1">
      <w:pPr>
        <w:pStyle w:val="NormalWeb"/>
        <w:spacing w:line="360" w:lineRule="auto"/>
        <w:jc w:val="both"/>
        <w:rPr>
          <w:rFonts w:ascii="Arial" w:hAnsi="Arial" w:cs="Arial"/>
          <w:sz w:val="22"/>
          <w:szCs w:val="22"/>
        </w:rPr>
      </w:pPr>
    </w:p>
    <w:sectPr w:rsidR="003930B5" w:rsidRPr="007E0BFD">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ED914A" w14:textId="77777777" w:rsidR="00405ACC" w:rsidRPr="00162706" w:rsidRDefault="00405ACC" w:rsidP="0033467C">
      <w:pPr>
        <w:spacing w:after="0" w:line="240" w:lineRule="auto"/>
      </w:pPr>
      <w:r w:rsidRPr="00162706">
        <w:separator/>
      </w:r>
    </w:p>
  </w:endnote>
  <w:endnote w:type="continuationSeparator" w:id="0">
    <w:p w14:paraId="65E2C7C7" w14:textId="77777777" w:rsidR="00405ACC" w:rsidRPr="00162706" w:rsidRDefault="00405ACC" w:rsidP="0033467C">
      <w:pPr>
        <w:spacing w:after="0" w:line="240" w:lineRule="auto"/>
      </w:pPr>
      <w:r w:rsidRPr="0016270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1308240380"/>
      <w:docPartObj>
        <w:docPartGallery w:val="Page Numbers (Bottom of Page)"/>
        <w:docPartUnique/>
      </w:docPartObj>
    </w:sdtPr>
    <w:sdtEndPr/>
    <w:sdtContent>
      <w:p w14:paraId="61B14D89" w14:textId="7CF18834" w:rsidR="00A36368" w:rsidRPr="00162706" w:rsidRDefault="00A36368">
        <w:pPr>
          <w:pStyle w:val="Footer"/>
          <w:jc w:val="right"/>
          <w:rPr>
            <w:rFonts w:ascii="Arial" w:hAnsi="Arial" w:cs="Arial"/>
            <w:sz w:val="22"/>
            <w:szCs w:val="22"/>
          </w:rPr>
        </w:pPr>
        <w:r w:rsidRPr="00162706">
          <w:rPr>
            <w:rFonts w:ascii="Arial" w:hAnsi="Arial" w:cs="Arial"/>
            <w:sz w:val="22"/>
            <w:szCs w:val="22"/>
          </w:rPr>
          <w:fldChar w:fldCharType="begin"/>
        </w:r>
        <w:r w:rsidRPr="00162706">
          <w:rPr>
            <w:rFonts w:ascii="Arial" w:hAnsi="Arial" w:cs="Arial"/>
            <w:sz w:val="22"/>
            <w:szCs w:val="22"/>
          </w:rPr>
          <w:instrText xml:space="preserve"> PAGE   \* MERGEFORMAT </w:instrText>
        </w:r>
        <w:r w:rsidRPr="00162706">
          <w:rPr>
            <w:rFonts w:ascii="Arial" w:hAnsi="Arial" w:cs="Arial"/>
            <w:sz w:val="22"/>
            <w:szCs w:val="22"/>
          </w:rPr>
          <w:fldChar w:fldCharType="separate"/>
        </w:r>
        <w:r w:rsidRPr="00162706">
          <w:rPr>
            <w:rFonts w:ascii="Arial" w:hAnsi="Arial" w:cs="Arial"/>
            <w:sz w:val="22"/>
            <w:szCs w:val="22"/>
          </w:rPr>
          <w:t>2</w:t>
        </w:r>
        <w:r w:rsidRPr="00162706">
          <w:rPr>
            <w:rFonts w:ascii="Arial" w:hAnsi="Arial" w:cs="Arial"/>
            <w:sz w:val="22"/>
            <w:szCs w:val="22"/>
          </w:rPr>
          <w:fldChar w:fldCharType="end"/>
        </w:r>
      </w:p>
    </w:sdtContent>
  </w:sdt>
  <w:p w14:paraId="04A9D8A5" w14:textId="77777777" w:rsidR="00A36368" w:rsidRPr="00162706" w:rsidRDefault="00A36368">
    <w:pPr>
      <w:pStyle w:val="Footer"/>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6EE4F" w14:textId="77777777" w:rsidR="00405ACC" w:rsidRPr="00162706" w:rsidRDefault="00405ACC" w:rsidP="0033467C">
      <w:pPr>
        <w:spacing w:after="0" w:line="240" w:lineRule="auto"/>
      </w:pPr>
      <w:r w:rsidRPr="00162706">
        <w:separator/>
      </w:r>
    </w:p>
  </w:footnote>
  <w:footnote w:type="continuationSeparator" w:id="0">
    <w:p w14:paraId="5C8AE32F" w14:textId="77777777" w:rsidR="00405ACC" w:rsidRPr="00162706" w:rsidRDefault="00405ACC" w:rsidP="0033467C">
      <w:pPr>
        <w:spacing w:after="0" w:line="240" w:lineRule="auto"/>
      </w:pPr>
      <w:r w:rsidRPr="0016270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A051D0" w14:textId="5CA8C1F3" w:rsidR="0033467C" w:rsidRPr="00162706" w:rsidRDefault="0033467C">
    <w:pPr>
      <w:pStyle w:val="Header"/>
      <w:jc w:val="right"/>
    </w:pPr>
  </w:p>
  <w:p w14:paraId="10DE4950" w14:textId="77777777" w:rsidR="0033467C" w:rsidRPr="00162706" w:rsidRDefault="003346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hideSpellingErrors/>
  <w:hideGrammaticalError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67C"/>
    <w:rsid w:val="00015FC3"/>
    <w:rsid w:val="00032764"/>
    <w:rsid w:val="00162706"/>
    <w:rsid w:val="001D3581"/>
    <w:rsid w:val="001D6DA3"/>
    <w:rsid w:val="001E4969"/>
    <w:rsid w:val="00230DDF"/>
    <w:rsid w:val="002D2770"/>
    <w:rsid w:val="00311317"/>
    <w:rsid w:val="00321E5E"/>
    <w:rsid w:val="0033467C"/>
    <w:rsid w:val="003930B5"/>
    <w:rsid w:val="00405ACC"/>
    <w:rsid w:val="00406AFB"/>
    <w:rsid w:val="00561DA1"/>
    <w:rsid w:val="005D394A"/>
    <w:rsid w:val="006D4FC3"/>
    <w:rsid w:val="00723CC9"/>
    <w:rsid w:val="007C02A9"/>
    <w:rsid w:val="007D2D69"/>
    <w:rsid w:val="007D543D"/>
    <w:rsid w:val="007E0BFD"/>
    <w:rsid w:val="007E3437"/>
    <w:rsid w:val="007E73A4"/>
    <w:rsid w:val="00863BDB"/>
    <w:rsid w:val="008D6EF0"/>
    <w:rsid w:val="00926E22"/>
    <w:rsid w:val="009C1CEA"/>
    <w:rsid w:val="009C2BDF"/>
    <w:rsid w:val="00A36368"/>
    <w:rsid w:val="00A908EA"/>
    <w:rsid w:val="00AB4C65"/>
    <w:rsid w:val="00AE5B1D"/>
    <w:rsid w:val="00B373E4"/>
    <w:rsid w:val="00D954C1"/>
    <w:rsid w:val="00DB0F11"/>
    <w:rsid w:val="00E24EEC"/>
    <w:rsid w:val="00E9200F"/>
    <w:rsid w:val="00ED5E7A"/>
    <w:rsid w:val="00F01769"/>
    <w:rsid w:val="00F12CAE"/>
    <w:rsid w:val="00F61ACC"/>
    <w:rsid w:val="00F948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4D28D"/>
  <w15:chartTrackingRefBased/>
  <w15:docId w15:val="{3198C11D-E718-455A-A10B-6C8EBC5D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23CC9"/>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3346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46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46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46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46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46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46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46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CC9"/>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3346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46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46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46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46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46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46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467C"/>
    <w:rPr>
      <w:rFonts w:eastAsiaTheme="majorEastAsia" w:cstheme="majorBidi"/>
      <w:color w:val="272727" w:themeColor="text1" w:themeTint="D8"/>
    </w:rPr>
  </w:style>
  <w:style w:type="paragraph" w:styleId="Title">
    <w:name w:val="Title"/>
    <w:basedOn w:val="Normal"/>
    <w:next w:val="Normal"/>
    <w:link w:val="TitleChar"/>
    <w:uiPriority w:val="10"/>
    <w:qFormat/>
    <w:rsid w:val="003346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46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46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46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467C"/>
    <w:pPr>
      <w:spacing w:before="160"/>
      <w:jc w:val="center"/>
    </w:pPr>
    <w:rPr>
      <w:i/>
      <w:iCs/>
      <w:color w:val="404040" w:themeColor="text1" w:themeTint="BF"/>
    </w:rPr>
  </w:style>
  <w:style w:type="character" w:customStyle="1" w:styleId="QuoteChar">
    <w:name w:val="Quote Char"/>
    <w:basedOn w:val="DefaultParagraphFont"/>
    <w:link w:val="Quote"/>
    <w:uiPriority w:val="29"/>
    <w:rsid w:val="0033467C"/>
    <w:rPr>
      <w:i/>
      <w:iCs/>
      <w:color w:val="404040" w:themeColor="text1" w:themeTint="BF"/>
    </w:rPr>
  </w:style>
  <w:style w:type="paragraph" w:styleId="ListParagraph">
    <w:name w:val="List Paragraph"/>
    <w:basedOn w:val="Normal"/>
    <w:uiPriority w:val="34"/>
    <w:qFormat/>
    <w:rsid w:val="0033467C"/>
    <w:pPr>
      <w:ind w:left="720"/>
      <w:contextualSpacing/>
    </w:pPr>
  </w:style>
  <w:style w:type="character" w:styleId="IntenseEmphasis">
    <w:name w:val="Intense Emphasis"/>
    <w:basedOn w:val="DefaultParagraphFont"/>
    <w:uiPriority w:val="21"/>
    <w:qFormat/>
    <w:rsid w:val="0033467C"/>
    <w:rPr>
      <w:i/>
      <w:iCs/>
      <w:color w:val="0F4761" w:themeColor="accent1" w:themeShade="BF"/>
    </w:rPr>
  </w:style>
  <w:style w:type="paragraph" w:styleId="IntenseQuote">
    <w:name w:val="Intense Quote"/>
    <w:basedOn w:val="Normal"/>
    <w:next w:val="Normal"/>
    <w:link w:val="IntenseQuoteChar"/>
    <w:uiPriority w:val="30"/>
    <w:qFormat/>
    <w:rsid w:val="003346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467C"/>
    <w:rPr>
      <w:i/>
      <w:iCs/>
      <w:color w:val="0F4761" w:themeColor="accent1" w:themeShade="BF"/>
    </w:rPr>
  </w:style>
  <w:style w:type="character" w:styleId="IntenseReference">
    <w:name w:val="Intense Reference"/>
    <w:basedOn w:val="DefaultParagraphFont"/>
    <w:uiPriority w:val="32"/>
    <w:qFormat/>
    <w:rsid w:val="0033467C"/>
    <w:rPr>
      <w:b/>
      <w:bCs/>
      <w:smallCaps/>
      <w:color w:val="0F4761" w:themeColor="accent1" w:themeShade="BF"/>
      <w:spacing w:val="5"/>
    </w:rPr>
  </w:style>
  <w:style w:type="paragraph" w:styleId="Header">
    <w:name w:val="header"/>
    <w:basedOn w:val="Normal"/>
    <w:link w:val="HeaderChar"/>
    <w:uiPriority w:val="99"/>
    <w:unhideWhenUsed/>
    <w:rsid w:val="003346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467C"/>
  </w:style>
  <w:style w:type="paragraph" w:styleId="Footer">
    <w:name w:val="footer"/>
    <w:basedOn w:val="Normal"/>
    <w:link w:val="FooterChar"/>
    <w:uiPriority w:val="99"/>
    <w:unhideWhenUsed/>
    <w:rsid w:val="003346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67C"/>
  </w:style>
  <w:style w:type="paragraph" w:customStyle="1" w:styleId="pdq2pgselectionanchorcontainer">
    <w:name w:val="pdq2pg_selectionanchorcontainer"/>
    <w:basedOn w:val="Normal"/>
    <w:rsid w:val="00723C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723CC9"/>
    <w:rPr>
      <w:color w:val="0000FF"/>
      <w:u w:val="single"/>
    </w:rPr>
  </w:style>
  <w:style w:type="paragraph" w:styleId="NormalWeb">
    <w:name w:val="Normal (Web)"/>
    <w:basedOn w:val="Normal"/>
    <w:uiPriority w:val="99"/>
    <w:unhideWhenUsed/>
    <w:rsid w:val="00723CC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23CC9"/>
    <w:rPr>
      <w:i/>
      <w:iCs/>
    </w:rPr>
  </w:style>
  <w:style w:type="paragraph" w:styleId="TOCHeading">
    <w:name w:val="TOC Heading"/>
    <w:basedOn w:val="Heading1"/>
    <w:next w:val="Normal"/>
    <w:uiPriority w:val="39"/>
    <w:unhideWhenUsed/>
    <w:qFormat/>
    <w:rsid w:val="00723CC9"/>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723C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13" Type="http://schemas.openxmlformats.org/officeDocument/2006/relationships/hyperlink" Target="https://doi.org/10.1080/09585192.2022.2035161" TargetMode="External" /><Relationship Id="rId18" Type="http://schemas.openxmlformats.org/officeDocument/2006/relationships/hyperlink" Target="https://gender-pay-gap.service.gov.uk/employers/12141" TargetMode="External" /><Relationship Id="rId26" Type="http://schemas.openxmlformats.org/officeDocument/2006/relationships/hyperlink" Target="https://doi.org/10.1080/09585192.2020.1871398" TargetMode="External" /><Relationship Id="rId3" Type="http://schemas.openxmlformats.org/officeDocument/2006/relationships/settings" Target="settings.xml" /><Relationship Id="rId21" Type="http://schemas.openxmlformats.org/officeDocument/2006/relationships/hyperlink" Target="https://www.ons.gov.uk/employmentandlabourmarket/peopleinwork/employmentandemployeetypes/bulletins/jobsandvacanciesintheuk/june2026?utm_source=chatgpt.com" TargetMode="External" /><Relationship Id="rId7" Type="http://schemas.openxmlformats.org/officeDocument/2006/relationships/image" Target="media/image1.png" /><Relationship Id="rId12" Type="http://schemas.openxmlformats.org/officeDocument/2006/relationships/hyperlink" Target="https://brc.org.uk/news-and-events/news/corporate-affairs/2026/ungated/retail-job-losses-risk-a-jobless-generation/?utm_source=chatgpt.com" TargetMode="External" /><Relationship Id="rId17" Type="http://schemas.openxmlformats.org/officeDocument/2006/relationships/hyperlink" Target="https://www.cipd.org/en/knowledge/factsheets/diversity-factsheet/?utm_source=chatgpt.com" TargetMode="External" /><Relationship Id="rId25" Type="http://schemas.openxmlformats.org/officeDocument/2006/relationships/hyperlink" Target="https://www.tescoplc.com/media/ky0bfwpo/tesco_ar25_interactive.pdf?utm_source=chatgpt.com" TargetMode="External" /><Relationship Id="rId2" Type="http://schemas.openxmlformats.org/officeDocument/2006/relationships/styles" Target="styles.xml" /><Relationship Id="rId16" Type="http://schemas.openxmlformats.org/officeDocument/2006/relationships/hyperlink" Target="https://www.cipd.org/en/knowledge/factsheets/analytics-factsheet/?utm_source=chatgpt.com" TargetMode="External" /><Relationship Id="rId20" Type="http://schemas.openxmlformats.org/officeDocument/2006/relationships/hyperlink" Target="https://doi.org/10.1002/hrm.22153?utm_source=chatgpt.com"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aihr.com/blog/hr-strategy-implementation/?utm_source=chatgpt.com" TargetMode="External" /><Relationship Id="rId24" Type="http://schemas.openxmlformats.org/officeDocument/2006/relationships/hyperlink" Target="https://www.research-tree.com/events/brr-media/tesco-plc-preliminary-results-2023-24/2195?utm_source=chatgpt.com" TargetMode="External" /><Relationship Id="rId5" Type="http://schemas.openxmlformats.org/officeDocument/2006/relationships/footnotes" Target="footnotes.xml" /><Relationship Id="rId15" Type="http://schemas.openxmlformats.org/officeDocument/2006/relationships/hyperlink" Target="https://www.cipd.org/globalassets/media/knowledge/knowledge-hub/reports/2024-pdfs/8662-resource-and-talent-planning-2024-report-web.pdf?utm_source=chatgpt.com" TargetMode="External" /><Relationship Id="rId23" Type="http://schemas.openxmlformats.org/officeDocument/2006/relationships/hyperlink" Target="https://doi.org/10.3390/su16177281"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doi.org/10.1108/PR-10-2019-0546" TargetMode="Externa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s://www.cipd.org/en/knowledge/reports/inclusion-work/?utm_source=chatgpt.com" TargetMode="External" /><Relationship Id="rId22" Type="http://schemas.openxmlformats.org/officeDocument/2006/relationships/hyperlink" Target="https://doi.org/10.1177/2372732220983840" TargetMode="External" /><Relationship Id="rId27" Type="http://schemas.openxmlformats.org/officeDocument/2006/relationships/header" Target="header1.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9F124-33B0-4732-B610-598BC7272E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3369</Words>
  <Characters>19209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Zaffar Hussain</cp:lastModifiedBy>
  <cp:revision>2</cp:revision>
  <dcterms:created xsi:type="dcterms:W3CDTF">2026-07-10T18:49:00Z</dcterms:created>
  <dcterms:modified xsi:type="dcterms:W3CDTF">2026-07-10T18:49:00Z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1cb5a80c-0d19-4692-ad15-65ad4e27ab6b</vt:lpwstr>
  </property>
</Properties>
</file>