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8B3AE" w14:textId="77777777" w:rsidR="009301D9" w:rsidRDefault="009301D9" w:rsidP="009301D9">
      <w:pPr>
        <w:spacing w:line="259" w:lineRule="auto"/>
        <w:jc w:val="left"/>
        <w:rPr>
          <w:b/>
          <w:bCs/>
        </w:rPr>
      </w:pPr>
      <w:r>
        <w:rPr>
          <w:noProof/>
        </w:rPr>
        <w:drawing>
          <wp:inline distT="0" distB="0" distL="0" distR="0" wp14:anchorId="05474F45" wp14:editId="1BB8BE25">
            <wp:extent cx="2827655" cy="1094509"/>
            <wp:effectExtent l="0" t="0" r="0" b="0"/>
            <wp:docPr id="140882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433" b="14887"/>
                    <a:stretch>
                      <a:fillRect/>
                    </a:stretch>
                  </pic:blipFill>
                  <pic:spPr bwMode="auto">
                    <a:xfrm>
                      <a:off x="0" y="0"/>
                      <a:ext cx="2833128" cy="1096627"/>
                    </a:xfrm>
                    <a:prstGeom prst="rect">
                      <a:avLst/>
                    </a:prstGeom>
                    <a:noFill/>
                    <a:ln>
                      <a:noFill/>
                    </a:ln>
                    <a:extLst>
                      <a:ext uri="{53640926-AAD7-44D8-BBD7-CCE9431645EC}">
                        <a14:shadowObscured xmlns:a14="http://schemas.microsoft.com/office/drawing/2010/main"/>
                      </a:ext>
                    </a:extLst>
                  </pic:spPr>
                </pic:pic>
              </a:graphicData>
            </a:graphic>
          </wp:inline>
        </w:drawing>
      </w:r>
    </w:p>
    <w:p w14:paraId="22F1F88C" w14:textId="77777777" w:rsidR="009301D9" w:rsidRDefault="009301D9" w:rsidP="009301D9">
      <w:pPr>
        <w:spacing w:line="259" w:lineRule="auto"/>
        <w:jc w:val="center"/>
        <w:rPr>
          <w:b/>
          <w:bCs/>
          <w:sz w:val="28"/>
          <w:szCs w:val="28"/>
          <w:lang w:val="en-GB"/>
        </w:rPr>
      </w:pPr>
    </w:p>
    <w:p w14:paraId="37D8E0A3" w14:textId="77777777" w:rsidR="009301D9" w:rsidRDefault="009301D9" w:rsidP="009301D9">
      <w:pPr>
        <w:spacing w:line="276" w:lineRule="auto"/>
        <w:rPr>
          <w:b/>
          <w:bCs/>
          <w:sz w:val="28"/>
          <w:szCs w:val="28"/>
          <w:lang w:val="en-GB"/>
        </w:rPr>
      </w:pPr>
    </w:p>
    <w:p w14:paraId="162E9586" w14:textId="77777777" w:rsidR="009301D9" w:rsidRDefault="009301D9" w:rsidP="009301D9">
      <w:pPr>
        <w:spacing w:line="276" w:lineRule="auto"/>
        <w:jc w:val="center"/>
        <w:rPr>
          <w:b/>
          <w:bCs/>
          <w:sz w:val="28"/>
          <w:szCs w:val="28"/>
          <w:lang w:val="en-GB"/>
        </w:rPr>
      </w:pPr>
    </w:p>
    <w:p w14:paraId="142AF406" w14:textId="77777777" w:rsidR="009301D9" w:rsidRPr="00E759F1" w:rsidRDefault="009301D9" w:rsidP="009301D9">
      <w:pPr>
        <w:spacing w:before="120" w:after="120"/>
        <w:jc w:val="center"/>
        <w:rPr>
          <w:b/>
          <w:bCs/>
          <w:sz w:val="28"/>
          <w:szCs w:val="28"/>
        </w:rPr>
      </w:pPr>
      <w:r w:rsidRPr="00E759F1">
        <w:rPr>
          <w:b/>
          <w:bCs/>
          <w:sz w:val="28"/>
          <w:szCs w:val="28"/>
          <w:lang w:val="en-GB"/>
        </w:rPr>
        <w:t xml:space="preserve">Programme: </w:t>
      </w:r>
      <w:r w:rsidRPr="00E759F1">
        <w:rPr>
          <w:sz w:val="28"/>
          <w:szCs w:val="28"/>
          <w:lang w:val="en-GB"/>
        </w:rPr>
        <w:t>MSc Public Health and Social Care in Practice</w:t>
      </w:r>
    </w:p>
    <w:p w14:paraId="4EE04273" w14:textId="27406F0B" w:rsidR="009301D9" w:rsidRPr="00E759F1" w:rsidRDefault="009301D9" w:rsidP="009301D9">
      <w:pPr>
        <w:spacing w:before="120" w:after="120"/>
        <w:rPr>
          <w:rFonts w:eastAsia="Arial" w:cs="Arial"/>
          <w:sz w:val="28"/>
          <w:szCs w:val="28"/>
        </w:rPr>
      </w:pPr>
      <w:r w:rsidRPr="00E759F1">
        <w:rPr>
          <w:b/>
          <w:bCs/>
          <w:sz w:val="28"/>
          <w:szCs w:val="28"/>
          <w:lang w:val="en-IN"/>
        </w:rPr>
        <w:t xml:space="preserve">Module: </w:t>
      </w:r>
      <w:r w:rsidRPr="00E759F1">
        <w:rPr>
          <w:sz w:val="28"/>
          <w:szCs w:val="28"/>
          <w:lang w:val="en-IN"/>
        </w:rPr>
        <w:t>Quality Assurance and Service Improvements</w:t>
      </w:r>
      <w:r w:rsidRPr="00E759F1">
        <w:rPr>
          <w:sz w:val="28"/>
          <w:szCs w:val="28"/>
          <w:lang w:val="en-IN"/>
        </w:rPr>
        <w:t xml:space="preserve"> (</w:t>
      </w:r>
      <w:r w:rsidRPr="00E759F1">
        <w:rPr>
          <w:rFonts w:eastAsia="Arial" w:cs="Arial"/>
          <w:sz w:val="28"/>
          <w:szCs w:val="28"/>
        </w:rPr>
        <w:t>LCHS7006</w:t>
      </w:r>
      <w:r w:rsidRPr="00E759F1">
        <w:rPr>
          <w:rFonts w:eastAsia="Arial" w:cs="Arial"/>
          <w:sz w:val="28"/>
          <w:szCs w:val="28"/>
        </w:rPr>
        <w:t>)</w:t>
      </w:r>
    </w:p>
    <w:p w14:paraId="0C621F6E" w14:textId="7E7F58BE" w:rsidR="009301D9" w:rsidRPr="00E759F1" w:rsidRDefault="009301D9" w:rsidP="009301D9">
      <w:pPr>
        <w:spacing w:before="120" w:after="120"/>
        <w:jc w:val="center"/>
        <w:rPr>
          <w:sz w:val="28"/>
          <w:szCs w:val="28"/>
        </w:rPr>
      </w:pPr>
      <w:r w:rsidRPr="00E759F1">
        <w:rPr>
          <w:b/>
          <w:bCs/>
          <w:sz w:val="28"/>
          <w:szCs w:val="28"/>
          <w:lang w:val="en-IN"/>
        </w:rPr>
        <w:t>Lecturer:</w:t>
      </w:r>
      <w:r w:rsidRPr="00E759F1">
        <w:rPr>
          <w:sz w:val="28"/>
          <w:szCs w:val="28"/>
          <w:lang w:val="en-IN"/>
        </w:rPr>
        <w:t xml:space="preserve"> </w:t>
      </w:r>
      <w:r w:rsidRPr="00E759F1">
        <w:rPr>
          <w:sz w:val="28"/>
          <w:szCs w:val="28"/>
        </w:rPr>
        <w:t>Dr Fahad Khan</w:t>
      </w:r>
    </w:p>
    <w:p w14:paraId="2B5C76C9" w14:textId="7C5F3D5A" w:rsidR="009301D9" w:rsidRPr="00E759F1" w:rsidRDefault="009301D9" w:rsidP="009301D9">
      <w:pPr>
        <w:spacing w:before="120" w:after="120"/>
        <w:jc w:val="center"/>
        <w:rPr>
          <w:i/>
          <w:iCs/>
          <w:sz w:val="28"/>
          <w:szCs w:val="28"/>
        </w:rPr>
      </w:pPr>
      <w:r w:rsidRPr="00E759F1">
        <w:rPr>
          <w:b/>
          <w:bCs/>
          <w:sz w:val="28"/>
          <w:szCs w:val="28"/>
        </w:rPr>
        <w:t>Assignment Title:</w:t>
      </w:r>
      <w:r w:rsidRPr="00E759F1">
        <w:rPr>
          <w:sz w:val="28"/>
          <w:szCs w:val="28"/>
        </w:rPr>
        <w:t xml:space="preserve"> Component 2</w:t>
      </w:r>
      <w:r w:rsidRPr="00E759F1">
        <w:rPr>
          <w:sz w:val="28"/>
          <w:szCs w:val="28"/>
        </w:rPr>
        <w:t xml:space="preserve"> - </w:t>
      </w:r>
      <w:r w:rsidRPr="00E759F1">
        <w:rPr>
          <w:sz w:val="28"/>
          <w:szCs w:val="28"/>
        </w:rPr>
        <w:t>Service Improvement Report</w:t>
      </w:r>
      <w:r w:rsidRPr="00E759F1">
        <w:rPr>
          <w:sz w:val="28"/>
          <w:szCs w:val="28"/>
        </w:rPr>
        <w:t xml:space="preserve"> on </w:t>
      </w:r>
      <w:r w:rsidRPr="00E759F1">
        <w:rPr>
          <w:i/>
          <w:iCs/>
          <w:sz w:val="28"/>
          <w:szCs w:val="28"/>
        </w:rPr>
        <w:t>“</w:t>
      </w:r>
      <w:r w:rsidRPr="00E759F1">
        <w:rPr>
          <w:i/>
          <w:iCs/>
          <w:sz w:val="28"/>
          <w:szCs w:val="28"/>
        </w:rPr>
        <w:t>Quality Assurance and Clinical Governance at Shrewsbury and Telford Hospital NHS Trust</w:t>
      </w:r>
      <w:r w:rsidRPr="00E759F1">
        <w:rPr>
          <w:i/>
          <w:iCs/>
          <w:sz w:val="28"/>
          <w:szCs w:val="28"/>
        </w:rPr>
        <w:t>”</w:t>
      </w:r>
    </w:p>
    <w:p w14:paraId="1545BCDD" w14:textId="77777777" w:rsidR="009301D9" w:rsidRPr="00E759F1" w:rsidRDefault="009301D9" w:rsidP="009301D9">
      <w:pPr>
        <w:spacing w:before="120" w:after="120"/>
        <w:jc w:val="center"/>
        <w:rPr>
          <w:b/>
          <w:bCs/>
          <w:sz w:val="28"/>
          <w:szCs w:val="28"/>
        </w:rPr>
      </w:pPr>
      <w:r w:rsidRPr="00E759F1">
        <w:rPr>
          <w:b/>
          <w:bCs/>
          <w:sz w:val="28"/>
          <w:szCs w:val="28"/>
        </w:rPr>
        <w:t xml:space="preserve">Student Name: </w:t>
      </w:r>
      <w:r w:rsidRPr="00E759F1">
        <w:rPr>
          <w:sz w:val="28"/>
          <w:szCs w:val="28"/>
        </w:rPr>
        <w:t>Ami Patel</w:t>
      </w:r>
      <w:r w:rsidRPr="00E759F1">
        <w:rPr>
          <w:b/>
          <w:bCs/>
          <w:sz w:val="28"/>
          <w:szCs w:val="28"/>
        </w:rPr>
        <w:t xml:space="preserve"> </w:t>
      </w:r>
    </w:p>
    <w:p w14:paraId="2F6B1479" w14:textId="77777777" w:rsidR="009301D9" w:rsidRPr="00E759F1" w:rsidRDefault="009301D9" w:rsidP="009301D9">
      <w:pPr>
        <w:spacing w:before="120" w:after="120"/>
        <w:jc w:val="center"/>
        <w:rPr>
          <w:b/>
          <w:bCs/>
          <w:sz w:val="28"/>
          <w:szCs w:val="28"/>
        </w:rPr>
      </w:pPr>
      <w:r w:rsidRPr="00E759F1">
        <w:rPr>
          <w:b/>
          <w:bCs/>
          <w:sz w:val="28"/>
          <w:szCs w:val="28"/>
        </w:rPr>
        <w:t xml:space="preserve">Student Number: </w:t>
      </w:r>
      <w:r w:rsidRPr="00E759F1">
        <w:rPr>
          <w:sz w:val="28"/>
          <w:szCs w:val="28"/>
        </w:rPr>
        <w:t>2508221</w:t>
      </w:r>
    </w:p>
    <w:p w14:paraId="39FD238C" w14:textId="55B5DFA4" w:rsidR="009301D9" w:rsidRPr="00E759F1" w:rsidRDefault="009301D9" w:rsidP="009301D9">
      <w:pPr>
        <w:spacing w:before="120" w:after="120"/>
        <w:jc w:val="center"/>
        <w:rPr>
          <w:b/>
          <w:bCs/>
          <w:sz w:val="28"/>
          <w:szCs w:val="28"/>
        </w:rPr>
      </w:pPr>
      <w:r w:rsidRPr="00E759F1">
        <w:rPr>
          <w:b/>
          <w:bCs/>
          <w:sz w:val="28"/>
          <w:szCs w:val="28"/>
        </w:rPr>
        <w:t xml:space="preserve">Word Count: </w:t>
      </w:r>
      <w:r w:rsidRPr="00E759F1">
        <w:rPr>
          <w:sz w:val="28"/>
          <w:szCs w:val="28"/>
        </w:rPr>
        <w:t>3012</w:t>
      </w:r>
    </w:p>
    <w:p w14:paraId="3F49978A" w14:textId="79E65CA5" w:rsidR="009301D9" w:rsidRPr="00E759F1" w:rsidRDefault="009301D9" w:rsidP="009301D9">
      <w:pPr>
        <w:spacing w:before="120" w:after="120"/>
        <w:jc w:val="center"/>
        <w:rPr>
          <w:b/>
          <w:bCs/>
          <w:sz w:val="28"/>
          <w:szCs w:val="28"/>
        </w:rPr>
      </w:pPr>
      <w:r w:rsidRPr="00E759F1">
        <w:rPr>
          <w:b/>
          <w:bCs/>
          <w:sz w:val="28"/>
          <w:szCs w:val="28"/>
        </w:rPr>
        <w:t xml:space="preserve">Submission Date: </w:t>
      </w:r>
      <w:r w:rsidRPr="00E759F1">
        <w:rPr>
          <w:sz w:val="28"/>
          <w:szCs w:val="28"/>
        </w:rPr>
        <w:t>2</w:t>
      </w:r>
      <w:r w:rsidRPr="00E759F1">
        <w:rPr>
          <w:sz w:val="28"/>
          <w:szCs w:val="28"/>
          <w:vertAlign w:val="superscript"/>
        </w:rPr>
        <w:t>nd</w:t>
      </w:r>
      <w:r w:rsidRPr="00E759F1">
        <w:rPr>
          <w:sz w:val="28"/>
          <w:szCs w:val="28"/>
        </w:rPr>
        <w:t xml:space="preserve"> April </w:t>
      </w:r>
      <w:r w:rsidRPr="00E759F1">
        <w:rPr>
          <w:sz w:val="28"/>
          <w:szCs w:val="28"/>
        </w:rPr>
        <w:t>2026</w:t>
      </w:r>
    </w:p>
    <w:p w14:paraId="74444DAE" w14:textId="77777777" w:rsidR="009301D9" w:rsidRDefault="009301D9" w:rsidP="009301D9"/>
    <w:p w14:paraId="6FCAC28B" w14:textId="77777777" w:rsidR="009301D9" w:rsidRDefault="009301D9" w:rsidP="009301D9">
      <w:pPr>
        <w:jc w:val="center"/>
        <w:rPr>
          <w:rFonts w:cs="Arial"/>
          <w:b/>
          <w:bCs/>
          <w:sz w:val="30"/>
          <w:szCs w:val="30"/>
        </w:rPr>
      </w:pPr>
    </w:p>
    <w:p w14:paraId="3019C900" w14:textId="77777777" w:rsidR="009301D9" w:rsidRDefault="009301D9" w:rsidP="009301D9">
      <w:pPr>
        <w:jc w:val="center"/>
        <w:rPr>
          <w:rFonts w:cs="Arial"/>
          <w:b/>
          <w:bCs/>
          <w:sz w:val="30"/>
          <w:szCs w:val="30"/>
        </w:rPr>
      </w:pPr>
    </w:p>
    <w:p w14:paraId="1B9D90AF" w14:textId="77777777" w:rsidR="009301D9" w:rsidRDefault="009301D9" w:rsidP="009301D9">
      <w:pPr>
        <w:jc w:val="center"/>
        <w:rPr>
          <w:rFonts w:cs="Arial"/>
          <w:b/>
          <w:bCs/>
          <w:sz w:val="30"/>
          <w:szCs w:val="30"/>
        </w:rPr>
      </w:pPr>
    </w:p>
    <w:p w14:paraId="35A85C62" w14:textId="77777777" w:rsidR="009301D9" w:rsidRDefault="009301D9" w:rsidP="009301D9">
      <w:pPr>
        <w:jc w:val="center"/>
        <w:rPr>
          <w:rFonts w:cs="Arial"/>
          <w:b/>
          <w:bCs/>
          <w:sz w:val="30"/>
          <w:szCs w:val="30"/>
        </w:rPr>
      </w:pPr>
    </w:p>
    <w:p w14:paraId="6D610294" w14:textId="77777777" w:rsidR="00F31DE6" w:rsidRPr="00F31DE6" w:rsidRDefault="00F31DE6">
      <w:pPr>
        <w:spacing w:line="259" w:lineRule="auto"/>
        <w:jc w:val="left"/>
        <w:rPr>
          <w:rFonts w:cs="Arial"/>
        </w:rPr>
      </w:pPr>
      <w:r w:rsidRPr="00F31DE6">
        <w:rPr>
          <w:rFonts w:cs="Arial"/>
        </w:rPr>
        <w:br w:type="page"/>
      </w:r>
    </w:p>
    <w:sdt>
      <w:sdtPr>
        <w:rPr>
          <w:rFonts w:cs="Arial"/>
        </w:rPr>
        <w:id w:val="447438186"/>
        <w:docPartObj>
          <w:docPartGallery w:val="Table of Contents"/>
          <w:docPartUnique/>
        </w:docPartObj>
      </w:sdtPr>
      <w:sdtEndPr>
        <w:rPr>
          <w:rFonts w:eastAsiaTheme="minorEastAsia"/>
          <w:smallCaps w:val="0"/>
          <w:noProof/>
          <w:color w:val="000000" w:themeColor="text1"/>
          <w:sz w:val="24"/>
          <w:szCs w:val="24"/>
        </w:rPr>
      </w:sdtEndPr>
      <w:sdtContent>
        <w:p w14:paraId="05F2EE30" w14:textId="6327EA56" w:rsidR="00F31DE6" w:rsidRPr="00F31DE6" w:rsidRDefault="00F31DE6" w:rsidP="009301D9">
          <w:pPr>
            <w:pStyle w:val="TOCHeading"/>
            <w:numPr>
              <w:ilvl w:val="0"/>
              <w:numId w:val="0"/>
            </w:numPr>
            <w:ind w:left="432" w:hanging="432"/>
            <w:rPr>
              <w:rFonts w:cs="Arial"/>
            </w:rPr>
          </w:pPr>
          <w:r w:rsidRPr="00F31DE6">
            <w:rPr>
              <w:rFonts w:cs="Arial"/>
            </w:rPr>
            <w:t>Table of Contents</w:t>
          </w:r>
        </w:p>
        <w:p w14:paraId="763C3ADD" w14:textId="3F6D480E" w:rsidR="009301D9" w:rsidRPr="00E759F1" w:rsidRDefault="00F31DE6">
          <w:pPr>
            <w:pStyle w:val="TOC1"/>
            <w:tabs>
              <w:tab w:val="left" w:pos="480"/>
              <w:tab w:val="right" w:leader="dot" w:pos="9016"/>
            </w:tabs>
            <w:rPr>
              <w:rFonts w:asciiTheme="minorHAnsi" w:hAnsiTheme="minorHAnsi"/>
              <w:noProof/>
              <w:color w:val="auto"/>
              <w:kern w:val="2"/>
              <w:sz w:val="24"/>
              <w:szCs w:val="24"/>
              <w:lang w:eastAsia="zh-CN" w:bidi="bn-IN"/>
              <w14:ligatures w14:val="standardContextual"/>
            </w:rPr>
          </w:pPr>
          <w:r w:rsidRPr="00E759F1">
            <w:rPr>
              <w:rFonts w:cs="Arial"/>
              <w:sz w:val="24"/>
              <w:szCs w:val="24"/>
            </w:rPr>
            <w:fldChar w:fldCharType="begin"/>
          </w:r>
          <w:r w:rsidRPr="00E759F1">
            <w:rPr>
              <w:rFonts w:cs="Arial"/>
              <w:sz w:val="24"/>
              <w:szCs w:val="24"/>
            </w:rPr>
            <w:instrText xml:space="preserve"> TOC \o "1-3" \h \z \u </w:instrText>
          </w:r>
          <w:r w:rsidRPr="00E759F1">
            <w:rPr>
              <w:rFonts w:cs="Arial"/>
              <w:sz w:val="24"/>
              <w:szCs w:val="24"/>
            </w:rPr>
            <w:fldChar w:fldCharType="separate"/>
          </w:r>
          <w:hyperlink w:anchor="_Toc226013482" w:history="1">
            <w:r w:rsidR="009301D9" w:rsidRPr="00E759F1">
              <w:rPr>
                <w:rStyle w:val="Hyperlink"/>
                <w:rFonts w:cs="Arial"/>
                <w:noProof/>
                <w:sz w:val="24"/>
                <w:szCs w:val="24"/>
              </w:rPr>
              <w:t>1</w:t>
            </w:r>
            <w:r w:rsidR="009301D9" w:rsidRPr="00E759F1">
              <w:rPr>
                <w:rFonts w:asciiTheme="minorHAnsi" w:hAnsiTheme="minorHAnsi"/>
                <w:noProof/>
                <w:color w:val="auto"/>
                <w:kern w:val="2"/>
                <w:sz w:val="24"/>
                <w:szCs w:val="24"/>
                <w:lang w:eastAsia="zh-CN" w:bidi="bn-IN"/>
                <w14:ligatures w14:val="standardContextual"/>
              </w:rPr>
              <w:tab/>
            </w:r>
            <w:r w:rsidR="009301D9" w:rsidRPr="00E759F1">
              <w:rPr>
                <w:rStyle w:val="Hyperlink"/>
                <w:rFonts w:cs="Arial"/>
                <w:noProof/>
                <w:sz w:val="24"/>
                <w:szCs w:val="24"/>
              </w:rPr>
              <w:t>Introduction</w:t>
            </w:r>
            <w:r w:rsidR="009301D9" w:rsidRPr="00E759F1">
              <w:rPr>
                <w:noProof/>
                <w:webHidden/>
                <w:sz w:val="24"/>
                <w:szCs w:val="24"/>
              </w:rPr>
              <w:tab/>
            </w:r>
            <w:r w:rsidR="009301D9" w:rsidRPr="00E759F1">
              <w:rPr>
                <w:noProof/>
                <w:webHidden/>
                <w:sz w:val="24"/>
                <w:szCs w:val="24"/>
              </w:rPr>
              <w:fldChar w:fldCharType="begin"/>
            </w:r>
            <w:r w:rsidR="009301D9" w:rsidRPr="00E759F1">
              <w:rPr>
                <w:noProof/>
                <w:webHidden/>
                <w:sz w:val="24"/>
                <w:szCs w:val="24"/>
              </w:rPr>
              <w:instrText xml:space="preserve"> PAGEREF _Toc226013482 \h </w:instrText>
            </w:r>
            <w:r w:rsidR="009301D9" w:rsidRPr="00E759F1">
              <w:rPr>
                <w:noProof/>
                <w:webHidden/>
                <w:sz w:val="24"/>
                <w:szCs w:val="24"/>
              </w:rPr>
            </w:r>
            <w:r w:rsidR="009301D9" w:rsidRPr="00E759F1">
              <w:rPr>
                <w:noProof/>
                <w:webHidden/>
                <w:sz w:val="24"/>
                <w:szCs w:val="24"/>
              </w:rPr>
              <w:fldChar w:fldCharType="separate"/>
            </w:r>
            <w:r w:rsidR="009301D9" w:rsidRPr="00E759F1">
              <w:rPr>
                <w:noProof/>
                <w:webHidden/>
                <w:sz w:val="24"/>
                <w:szCs w:val="24"/>
              </w:rPr>
              <w:t>3</w:t>
            </w:r>
            <w:r w:rsidR="009301D9" w:rsidRPr="00E759F1">
              <w:rPr>
                <w:noProof/>
                <w:webHidden/>
                <w:sz w:val="24"/>
                <w:szCs w:val="24"/>
              </w:rPr>
              <w:fldChar w:fldCharType="end"/>
            </w:r>
          </w:hyperlink>
        </w:p>
        <w:p w14:paraId="7FAB2C96" w14:textId="5AEFE2B9" w:rsidR="009301D9" w:rsidRPr="00E759F1" w:rsidRDefault="009301D9">
          <w:pPr>
            <w:pStyle w:val="TOC1"/>
            <w:tabs>
              <w:tab w:val="left" w:pos="480"/>
              <w:tab w:val="right" w:leader="dot" w:pos="9016"/>
            </w:tabs>
            <w:rPr>
              <w:rFonts w:asciiTheme="minorHAnsi" w:hAnsiTheme="minorHAnsi"/>
              <w:noProof/>
              <w:color w:val="auto"/>
              <w:kern w:val="2"/>
              <w:sz w:val="24"/>
              <w:szCs w:val="24"/>
              <w:lang w:eastAsia="zh-CN" w:bidi="bn-IN"/>
              <w14:ligatures w14:val="standardContextual"/>
            </w:rPr>
          </w:pPr>
          <w:hyperlink w:anchor="_Toc226013483" w:history="1">
            <w:r w:rsidRPr="00E759F1">
              <w:rPr>
                <w:rStyle w:val="Hyperlink"/>
                <w:rFonts w:cs="Arial"/>
                <w:noProof/>
                <w:sz w:val="24"/>
                <w:szCs w:val="24"/>
              </w:rPr>
              <w:t>2</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A systematic analysis of the SaTH failures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_Toc226013483 \h </w:instrText>
            </w:r>
            <w:r w:rsidRPr="00E759F1">
              <w:rPr>
                <w:noProof/>
                <w:webHidden/>
                <w:sz w:val="24"/>
                <w:szCs w:val="24"/>
              </w:rPr>
            </w:r>
            <w:r w:rsidRPr="00E759F1">
              <w:rPr>
                <w:noProof/>
                <w:webHidden/>
                <w:sz w:val="24"/>
                <w:szCs w:val="24"/>
              </w:rPr>
              <w:fldChar w:fldCharType="separate"/>
            </w:r>
            <w:r w:rsidRPr="00E759F1">
              <w:rPr>
                <w:noProof/>
                <w:webHidden/>
                <w:sz w:val="24"/>
                <w:szCs w:val="24"/>
              </w:rPr>
              <w:t>4</w:t>
            </w:r>
            <w:r w:rsidRPr="00E759F1">
              <w:rPr>
                <w:noProof/>
                <w:webHidden/>
                <w:sz w:val="24"/>
                <w:szCs w:val="24"/>
              </w:rPr>
              <w:fldChar w:fldCharType="end"/>
            </w:r>
          </w:hyperlink>
        </w:p>
        <w:p w14:paraId="64DA83E1" w14:textId="21682224"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84" w:history="1">
            <w:r w:rsidRPr="00E759F1">
              <w:rPr>
                <w:rStyle w:val="Hyperlink"/>
                <w:rFonts w:cs="Arial"/>
                <w:noProof/>
                <w:sz w:val="24"/>
                <w:szCs w:val="24"/>
              </w:rPr>
              <w:t>2.1</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The Donabedian Model</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_Toc226013484 \h </w:instrText>
            </w:r>
            <w:r w:rsidRPr="00E759F1">
              <w:rPr>
                <w:noProof/>
                <w:webHidden/>
                <w:sz w:val="24"/>
                <w:szCs w:val="24"/>
              </w:rPr>
            </w:r>
            <w:r w:rsidRPr="00E759F1">
              <w:rPr>
                <w:noProof/>
                <w:webHidden/>
                <w:sz w:val="24"/>
                <w:szCs w:val="24"/>
              </w:rPr>
              <w:fldChar w:fldCharType="separate"/>
            </w:r>
            <w:r w:rsidRPr="00E759F1">
              <w:rPr>
                <w:noProof/>
                <w:webHidden/>
                <w:sz w:val="24"/>
                <w:szCs w:val="24"/>
              </w:rPr>
              <w:t>4</w:t>
            </w:r>
            <w:r w:rsidRPr="00E759F1">
              <w:rPr>
                <w:noProof/>
                <w:webHidden/>
                <w:sz w:val="24"/>
                <w:szCs w:val="24"/>
              </w:rPr>
              <w:fldChar w:fldCharType="end"/>
            </w:r>
          </w:hyperlink>
        </w:p>
        <w:p w14:paraId="2E0245A7" w14:textId="1A6F1FC5"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85" w:history="1">
            <w:r w:rsidRPr="00E759F1">
              <w:rPr>
                <w:rStyle w:val="Hyperlink"/>
                <w:rFonts w:cs="Arial"/>
                <w:noProof/>
                <w:sz w:val="24"/>
                <w:szCs w:val="24"/>
              </w:rPr>
              <w:t>2.2</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Root Cause Analysis: The 5 Whys and Fishbone Frameworks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_Toc226013485 \h </w:instrText>
            </w:r>
            <w:r w:rsidRPr="00E759F1">
              <w:rPr>
                <w:noProof/>
                <w:webHidden/>
                <w:sz w:val="24"/>
                <w:szCs w:val="24"/>
              </w:rPr>
            </w:r>
            <w:r w:rsidRPr="00E759F1">
              <w:rPr>
                <w:noProof/>
                <w:webHidden/>
                <w:sz w:val="24"/>
                <w:szCs w:val="24"/>
              </w:rPr>
              <w:fldChar w:fldCharType="separate"/>
            </w:r>
            <w:r w:rsidRPr="00E759F1">
              <w:rPr>
                <w:noProof/>
                <w:webHidden/>
                <w:sz w:val="24"/>
                <w:szCs w:val="24"/>
              </w:rPr>
              <w:t>5</w:t>
            </w:r>
            <w:r w:rsidRPr="00E759F1">
              <w:rPr>
                <w:noProof/>
                <w:webHidden/>
                <w:sz w:val="24"/>
                <w:szCs w:val="24"/>
              </w:rPr>
              <w:fldChar w:fldCharType="end"/>
            </w:r>
          </w:hyperlink>
        </w:p>
        <w:p w14:paraId="2836D543" w14:textId="2A7EDDDA" w:rsidR="009301D9" w:rsidRPr="00E759F1" w:rsidRDefault="009301D9">
          <w:pPr>
            <w:pStyle w:val="TOC3"/>
            <w:tabs>
              <w:tab w:val="left" w:pos="1440"/>
              <w:tab w:val="right" w:leader="dot" w:pos="9016"/>
            </w:tabs>
            <w:rPr>
              <w:rFonts w:asciiTheme="minorHAnsi" w:hAnsiTheme="minorHAnsi"/>
              <w:noProof/>
              <w:color w:val="auto"/>
              <w:kern w:val="2"/>
              <w:sz w:val="24"/>
              <w:szCs w:val="24"/>
              <w:lang w:eastAsia="zh-CN" w:bidi="bn-IN"/>
              <w14:ligatures w14:val="standardContextual"/>
            </w:rPr>
          </w:pPr>
          <w:hyperlink w:anchor="_Toc226013486" w:history="1">
            <w:r w:rsidRPr="00E759F1">
              <w:rPr>
                <w:rStyle w:val="Hyperlink"/>
                <w:rFonts w:cs="Arial"/>
                <w:noProof/>
                <w:sz w:val="24"/>
                <w:szCs w:val="24"/>
              </w:rPr>
              <w:t>2.2.1</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Fishbone Diagram</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_Toc226013486 \h </w:instrText>
            </w:r>
            <w:r w:rsidRPr="00E759F1">
              <w:rPr>
                <w:noProof/>
                <w:webHidden/>
                <w:sz w:val="24"/>
                <w:szCs w:val="24"/>
              </w:rPr>
            </w:r>
            <w:r w:rsidRPr="00E759F1">
              <w:rPr>
                <w:noProof/>
                <w:webHidden/>
                <w:sz w:val="24"/>
                <w:szCs w:val="24"/>
              </w:rPr>
              <w:fldChar w:fldCharType="separate"/>
            </w:r>
            <w:r w:rsidRPr="00E759F1">
              <w:rPr>
                <w:noProof/>
                <w:webHidden/>
                <w:sz w:val="24"/>
                <w:szCs w:val="24"/>
              </w:rPr>
              <w:t>5</w:t>
            </w:r>
            <w:r w:rsidRPr="00E759F1">
              <w:rPr>
                <w:noProof/>
                <w:webHidden/>
                <w:sz w:val="24"/>
                <w:szCs w:val="24"/>
              </w:rPr>
              <w:fldChar w:fldCharType="end"/>
            </w:r>
          </w:hyperlink>
        </w:p>
        <w:p w14:paraId="5AA02AA7" w14:textId="213D58F1" w:rsidR="009301D9" w:rsidRPr="00E759F1" w:rsidRDefault="009301D9">
          <w:pPr>
            <w:pStyle w:val="TOC3"/>
            <w:tabs>
              <w:tab w:val="left" w:pos="1440"/>
              <w:tab w:val="right" w:leader="dot" w:pos="9016"/>
            </w:tabs>
            <w:rPr>
              <w:rFonts w:asciiTheme="minorHAnsi" w:hAnsiTheme="minorHAnsi"/>
              <w:noProof/>
              <w:color w:val="auto"/>
              <w:kern w:val="2"/>
              <w:sz w:val="24"/>
              <w:szCs w:val="24"/>
              <w:lang w:eastAsia="zh-CN" w:bidi="bn-IN"/>
              <w14:ligatures w14:val="standardContextual"/>
            </w:rPr>
          </w:pPr>
          <w:hyperlink w:anchor="_Toc226013487" w:history="1">
            <w:r w:rsidRPr="00E759F1">
              <w:rPr>
                <w:rStyle w:val="Hyperlink"/>
                <w:rFonts w:cs="Arial"/>
                <w:noProof/>
                <w:sz w:val="24"/>
                <w:szCs w:val="24"/>
              </w:rPr>
              <w:t>2.2.2</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The 5 Whys technique</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_Toc226013487 \h </w:instrText>
            </w:r>
            <w:r w:rsidRPr="00E759F1">
              <w:rPr>
                <w:noProof/>
                <w:webHidden/>
                <w:sz w:val="24"/>
                <w:szCs w:val="24"/>
              </w:rPr>
            </w:r>
            <w:r w:rsidRPr="00E759F1">
              <w:rPr>
                <w:noProof/>
                <w:webHidden/>
                <w:sz w:val="24"/>
                <w:szCs w:val="24"/>
              </w:rPr>
              <w:fldChar w:fldCharType="separate"/>
            </w:r>
            <w:r w:rsidRPr="00E759F1">
              <w:rPr>
                <w:noProof/>
                <w:webHidden/>
                <w:sz w:val="24"/>
                <w:szCs w:val="24"/>
              </w:rPr>
              <w:t>6</w:t>
            </w:r>
            <w:r w:rsidRPr="00E759F1">
              <w:rPr>
                <w:noProof/>
                <w:webHidden/>
                <w:sz w:val="24"/>
                <w:szCs w:val="24"/>
              </w:rPr>
              <w:fldChar w:fldCharType="end"/>
            </w:r>
          </w:hyperlink>
        </w:p>
        <w:p w14:paraId="4D91352A" w14:textId="48D4A1FA"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88" w:history="1">
            <w:r w:rsidRPr="00E759F1">
              <w:rPr>
                <w:rStyle w:val="Hyperlink"/>
                <w:rFonts w:cs="Arial"/>
                <w:noProof/>
                <w:sz w:val="24"/>
                <w:szCs w:val="24"/>
              </w:rPr>
              <w:t>2.3</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Strategic Planning: SWOT Analysis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_Toc226013488 \h </w:instrText>
            </w:r>
            <w:r w:rsidRPr="00E759F1">
              <w:rPr>
                <w:noProof/>
                <w:webHidden/>
                <w:sz w:val="24"/>
                <w:szCs w:val="24"/>
              </w:rPr>
            </w:r>
            <w:r w:rsidRPr="00E759F1">
              <w:rPr>
                <w:noProof/>
                <w:webHidden/>
                <w:sz w:val="24"/>
                <w:szCs w:val="24"/>
              </w:rPr>
              <w:fldChar w:fldCharType="separate"/>
            </w:r>
            <w:r w:rsidRPr="00E759F1">
              <w:rPr>
                <w:noProof/>
                <w:webHidden/>
                <w:sz w:val="24"/>
                <w:szCs w:val="24"/>
              </w:rPr>
              <w:t>7</w:t>
            </w:r>
            <w:r w:rsidRPr="00E759F1">
              <w:rPr>
                <w:noProof/>
                <w:webHidden/>
                <w:sz w:val="24"/>
                <w:szCs w:val="24"/>
              </w:rPr>
              <w:fldChar w:fldCharType="end"/>
            </w:r>
          </w:hyperlink>
        </w:p>
        <w:p w14:paraId="56B166B2" w14:textId="3F4D24D9" w:rsidR="009301D9" w:rsidRPr="00E759F1" w:rsidRDefault="009301D9">
          <w:pPr>
            <w:pStyle w:val="TOC3"/>
            <w:tabs>
              <w:tab w:val="left" w:pos="1440"/>
              <w:tab w:val="right" w:leader="dot" w:pos="9016"/>
            </w:tabs>
            <w:rPr>
              <w:rFonts w:asciiTheme="minorHAnsi" w:hAnsiTheme="minorHAnsi"/>
              <w:noProof/>
              <w:color w:val="auto"/>
              <w:kern w:val="2"/>
              <w:sz w:val="24"/>
              <w:szCs w:val="24"/>
              <w:lang w:eastAsia="zh-CN" w:bidi="bn-IN"/>
              <w14:ligatures w14:val="standardContextual"/>
            </w:rPr>
          </w:pPr>
          <w:hyperlink w:anchor="_Toc226013489" w:history="1">
            <w:r w:rsidRPr="00E759F1">
              <w:rPr>
                <w:rStyle w:val="Hyperlink"/>
                <w:rFonts w:cs="Arial"/>
                <w:noProof/>
                <w:sz w:val="24"/>
                <w:szCs w:val="24"/>
              </w:rPr>
              <w:t>2.3.1</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Policy and Benchmarking Gaps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_Toc226013489 \h </w:instrText>
            </w:r>
            <w:r w:rsidRPr="00E759F1">
              <w:rPr>
                <w:noProof/>
                <w:webHidden/>
                <w:sz w:val="24"/>
                <w:szCs w:val="24"/>
              </w:rPr>
            </w:r>
            <w:r w:rsidRPr="00E759F1">
              <w:rPr>
                <w:noProof/>
                <w:webHidden/>
                <w:sz w:val="24"/>
                <w:szCs w:val="24"/>
              </w:rPr>
              <w:fldChar w:fldCharType="separate"/>
            </w:r>
            <w:r w:rsidRPr="00E759F1">
              <w:rPr>
                <w:noProof/>
                <w:webHidden/>
                <w:sz w:val="24"/>
                <w:szCs w:val="24"/>
              </w:rPr>
              <w:t>8</w:t>
            </w:r>
            <w:r w:rsidRPr="00E759F1">
              <w:rPr>
                <w:noProof/>
                <w:webHidden/>
                <w:sz w:val="24"/>
                <w:szCs w:val="24"/>
              </w:rPr>
              <w:fldChar w:fldCharType="end"/>
            </w:r>
          </w:hyperlink>
        </w:p>
        <w:p w14:paraId="6EBD9DB7" w14:textId="39F75F71" w:rsidR="009301D9" w:rsidRPr="00E759F1" w:rsidRDefault="009301D9">
          <w:pPr>
            <w:pStyle w:val="TOC1"/>
            <w:tabs>
              <w:tab w:val="left" w:pos="480"/>
              <w:tab w:val="right" w:leader="dot" w:pos="9016"/>
            </w:tabs>
            <w:rPr>
              <w:rFonts w:asciiTheme="minorHAnsi" w:hAnsiTheme="minorHAnsi"/>
              <w:noProof/>
              <w:color w:val="auto"/>
              <w:kern w:val="2"/>
              <w:sz w:val="24"/>
              <w:szCs w:val="24"/>
              <w:lang w:eastAsia="zh-CN" w:bidi="bn-IN"/>
              <w14:ligatures w14:val="standardContextual"/>
            </w:rPr>
          </w:pPr>
          <w:hyperlink w:anchor="_Toc226013490" w:history="1">
            <w:r w:rsidRPr="00E759F1">
              <w:rPr>
                <w:rStyle w:val="Hyperlink"/>
                <w:rFonts w:cs="Arial"/>
                <w:noProof/>
                <w:sz w:val="24"/>
                <w:szCs w:val="24"/>
              </w:rPr>
              <w:t>3</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Recommendation</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_Toc226013490 \h </w:instrText>
            </w:r>
            <w:r w:rsidRPr="00E759F1">
              <w:rPr>
                <w:noProof/>
                <w:webHidden/>
                <w:sz w:val="24"/>
                <w:szCs w:val="24"/>
              </w:rPr>
            </w:r>
            <w:r w:rsidRPr="00E759F1">
              <w:rPr>
                <w:noProof/>
                <w:webHidden/>
                <w:sz w:val="24"/>
                <w:szCs w:val="24"/>
              </w:rPr>
              <w:fldChar w:fldCharType="separate"/>
            </w:r>
            <w:r w:rsidRPr="00E759F1">
              <w:rPr>
                <w:noProof/>
                <w:webHidden/>
                <w:sz w:val="24"/>
                <w:szCs w:val="24"/>
              </w:rPr>
              <w:t>8</w:t>
            </w:r>
            <w:r w:rsidRPr="00E759F1">
              <w:rPr>
                <w:noProof/>
                <w:webHidden/>
                <w:sz w:val="24"/>
                <w:szCs w:val="24"/>
              </w:rPr>
              <w:fldChar w:fldCharType="end"/>
            </w:r>
          </w:hyperlink>
        </w:p>
        <w:p w14:paraId="7B587AA0" w14:textId="64836D37"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91" w:history="1">
            <w:r w:rsidRPr="00E759F1">
              <w:rPr>
                <w:rStyle w:val="Hyperlink"/>
                <w:rFonts w:cs="Arial"/>
                <w:noProof/>
                <w:sz w:val="24"/>
                <w:szCs w:val="24"/>
              </w:rPr>
              <w:t>3.1</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Recommendation 1: Overhauling Clinical Governance and Incident Reporting via PDSA</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_Toc226013491 \h </w:instrText>
            </w:r>
            <w:r w:rsidRPr="00E759F1">
              <w:rPr>
                <w:noProof/>
                <w:webHidden/>
                <w:sz w:val="24"/>
                <w:szCs w:val="24"/>
              </w:rPr>
            </w:r>
            <w:r w:rsidRPr="00E759F1">
              <w:rPr>
                <w:noProof/>
                <w:webHidden/>
                <w:sz w:val="24"/>
                <w:szCs w:val="24"/>
              </w:rPr>
              <w:fldChar w:fldCharType="separate"/>
            </w:r>
            <w:r w:rsidRPr="00E759F1">
              <w:rPr>
                <w:noProof/>
                <w:webHidden/>
                <w:sz w:val="24"/>
                <w:szCs w:val="24"/>
              </w:rPr>
              <w:t>9</w:t>
            </w:r>
            <w:r w:rsidRPr="00E759F1">
              <w:rPr>
                <w:noProof/>
                <w:webHidden/>
                <w:sz w:val="24"/>
                <w:szCs w:val="24"/>
              </w:rPr>
              <w:fldChar w:fldCharType="end"/>
            </w:r>
          </w:hyperlink>
        </w:p>
        <w:p w14:paraId="0C6543CA" w14:textId="5CF6EB46"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92" w:history="1">
            <w:r w:rsidRPr="00E759F1">
              <w:rPr>
                <w:rStyle w:val="Hyperlink"/>
                <w:rFonts w:cs="Arial"/>
                <w:noProof/>
                <w:sz w:val="24"/>
                <w:szCs w:val="24"/>
              </w:rPr>
              <w:t>3.2</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Recommendation 2: Cultural Transformation and Communication using Lean Principles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_Toc226013492 \h </w:instrText>
            </w:r>
            <w:r w:rsidRPr="00E759F1">
              <w:rPr>
                <w:noProof/>
                <w:webHidden/>
                <w:sz w:val="24"/>
                <w:szCs w:val="24"/>
              </w:rPr>
            </w:r>
            <w:r w:rsidRPr="00E759F1">
              <w:rPr>
                <w:noProof/>
                <w:webHidden/>
                <w:sz w:val="24"/>
                <w:szCs w:val="24"/>
              </w:rPr>
              <w:fldChar w:fldCharType="separate"/>
            </w:r>
            <w:r w:rsidRPr="00E759F1">
              <w:rPr>
                <w:noProof/>
                <w:webHidden/>
                <w:sz w:val="24"/>
                <w:szCs w:val="24"/>
              </w:rPr>
              <w:t>9</w:t>
            </w:r>
            <w:r w:rsidRPr="00E759F1">
              <w:rPr>
                <w:noProof/>
                <w:webHidden/>
                <w:sz w:val="24"/>
                <w:szCs w:val="24"/>
              </w:rPr>
              <w:fldChar w:fldCharType="end"/>
            </w:r>
          </w:hyperlink>
        </w:p>
        <w:p w14:paraId="23E65302" w14:textId="090CD8E7" w:rsidR="009301D9" w:rsidRPr="00E759F1" w:rsidRDefault="009301D9">
          <w:pPr>
            <w:pStyle w:val="TOC2"/>
            <w:tabs>
              <w:tab w:val="left" w:pos="960"/>
              <w:tab w:val="right" w:leader="dot" w:pos="9016"/>
            </w:tabs>
            <w:rPr>
              <w:rFonts w:asciiTheme="minorHAnsi" w:hAnsiTheme="minorHAnsi"/>
              <w:noProof/>
              <w:color w:val="auto"/>
              <w:kern w:val="2"/>
              <w:sz w:val="24"/>
              <w:szCs w:val="24"/>
              <w:lang w:eastAsia="zh-CN" w:bidi="bn-IN"/>
              <w14:ligatures w14:val="standardContextual"/>
            </w:rPr>
          </w:pPr>
          <w:hyperlink w:anchor="_Toc226013493" w:history="1">
            <w:r w:rsidRPr="00E759F1">
              <w:rPr>
                <w:rStyle w:val="Hyperlink"/>
                <w:rFonts w:cs="Arial"/>
                <w:noProof/>
                <w:sz w:val="24"/>
                <w:szCs w:val="24"/>
              </w:rPr>
              <w:t>3.3</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Recommendation 3: Standardising Clinical Competency and Equipment Upgrades via Six Sigma</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_Toc226013493 \h </w:instrText>
            </w:r>
            <w:r w:rsidRPr="00E759F1">
              <w:rPr>
                <w:noProof/>
                <w:webHidden/>
                <w:sz w:val="24"/>
                <w:szCs w:val="24"/>
              </w:rPr>
            </w:r>
            <w:r w:rsidRPr="00E759F1">
              <w:rPr>
                <w:noProof/>
                <w:webHidden/>
                <w:sz w:val="24"/>
                <w:szCs w:val="24"/>
              </w:rPr>
              <w:fldChar w:fldCharType="separate"/>
            </w:r>
            <w:r w:rsidRPr="00E759F1">
              <w:rPr>
                <w:noProof/>
                <w:webHidden/>
                <w:sz w:val="24"/>
                <w:szCs w:val="24"/>
              </w:rPr>
              <w:t>10</w:t>
            </w:r>
            <w:r w:rsidRPr="00E759F1">
              <w:rPr>
                <w:noProof/>
                <w:webHidden/>
                <w:sz w:val="24"/>
                <w:szCs w:val="24"/>
              </w:rPr>
              <w:fldChar w:fldCharType="end"/>
            </w:r>
          </w:hyperlink>
        </w:p>
        <w:p w14:paraId="560B3729" w14:textId="42B738A5" w:rsidR="009301D9" w:rsidRPr="00E759F1" w:rsidRDefault="009301D9">
          <w:pPr>
            <w:pStyle w:val="TOC1"/>
            <w:tabs>
              <w:tab w:val="left" w:pos="480"/>
              <w:tab w:val="right" w:leader="dot" w:pos="9016"/>
            </w:tabs>
            <w:rPr>
              <w:rFonts w:asciiTheme="minorHAnsi" w:hAnsiTheme="minorHAnsi"/>
              <w:noProof/>
              <w:color w:val="auto"/>
              <w:kern w:val="2"/>
              <w:sz w:val="24"/>
              <w:szCs w:val="24"/>
              <w:lang w:eastAsia="zh-CN" w:bidi="bn-IN"/>
              <w14:ligatures w14:val="standardContextual"/>
            </w:rPr>
          </w:pPr>
          <w:hyperlink w:anchor="_Toc226013494" w:history="1">
            <w:r w:rsidRPr="00E759F1">
              <w:rPr>
                <w:rStyle w:val="Hyperlink"/>
                <w:rFonts w:cs="Arial"/>
                <w:noProof/>
                <w:sz w:val="24"/>
                <w:szCs w:val="24"/>
              </w:rPr>
              <w:t>4</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Conclusion</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_Toc226013494 \h </w:instrText>
            </w:r>
            <w:r w:rsidRPr="00E759F1">
              <w:rPr>
                <w:noProof/>
                <w:webHidden/>
                <w:sz w:val="24"/>
                <w:szCs w:val="24"/>
              </w:rPr>
            </w:r>
            <w:r w:rsidRPr="00E759F1">
              <w:rPr>
                <w:noProof/>
                <w:webHidden/>
                <w:sz w:val="24"/>
                <w:szCs w:val="24"/>
              </w:rPr>
              <w:fldChar w:fldCharType="separate"/>
            </w:r>
            <w:r w:rsidRPr="00E759F1">
              <w:rPr>
                <w:noProof/>
                <w:webHidden/>
                <w:sz w:val="24"/>
                <w:szCs w:val="24"/>
              </w:rPr>
              <w:t>11</w:t>
            </w:r>
            <w:r w:rsidRPr="00E759F1">
              <w:rPr>
                <w:noProof/>
                <w:webHidden/>
                <w:sz w:val="24"/>
                <w:szCs w:val="24"/>
              </w:rPr>
              <w:fldChar w:fldCharType="end"/>
            </w:r>
          </w:hyperlink>
        </w:p>
        <w:p w14:paraId="07500C05" w14:textId="78BF55DF" w:rsidR="009301D9" w:rsidRPr="00E759F1" w:rsidRDefault="009301D9">
          <w:pPr>
            <w:pStyle w:val="TOC1"/>
            <w:tabs>
              <w:tab w:val="left" w:pos="480"/>
              <w:tab w:val="right" w:leader="dot" w:pos="9016"/>
            </w:tabs>
            <w:rPr>
              <w:rFonts w:asciiTheme="minorHAnsi" w:hAnsiTheme="minorHAnsi"/>
              <w:noProof/>
              <w:color w:val="auto"/>
              <w:kern w:val="2"/>
              <w:sz w:val="24"/>
              <w:szCs w:val="24"/>
              <w:lang w:eastAsia="zh-CN" w:bidi="bn-IN"/>
              <w14:ligatures w14:val="standardContextual"/>
            </w:rPr>
          </w:pPr>
          <w:hyperlink w:anchor="_Toc226013495" w:history="1">
            <w:r w:rsidRPr="00E759F1">
              <w:rPr>
                <w:rStyle w:val="Hyperlink"/>
                <w:rFonts w:cs="Arial"/>
                <w:noProof/>
                <w:sz w:val="24"/>
                <w:szCs w:val="24"/>
              </w:rPr>
              <w:t>5</w:t>
            </w:r>
            <w:r w:rsidRPr="00E759F1">
              <w:rPr>
                <w:rFonts w:asciiTheme="minorHAnsi" w:hAnsiTheme="minorHAnsi"/>
                <w:noProof/>
                <w:color w:val="auto"/>
                <w:kern w:val="2"/>
                <w:sz w:val="24"/>
                <w:szCs w:val="24"/>
                <w:lang w:eastAsia="zh-CN" w:bidi="bn-IN"/>
                <w14:ligatures w14:val="standardContextual"/>
              </w:rPr>
              <w:tab/>
            </w:r>
            <w:r w:rsidRPr="00E759F1">
              <w:rPr>
                <w:rStyle w:val="Hyperlink"/>
                <w:rFonts w:cs="Arial"/>
                <w:noProof/>
                <w:sz w:val="24"/>
                <w:szCs w:val="24"/>
              </w:rPr>
              <w:t>References</w:t>
            </w:r>
            <w:r w:rsidRPr="00E759F1">
              <w:rPr>
                <w:noProof/>
                <w:webHidden/>
                <w:sz w:val="24"/>
                <w:szCs w:val="24"/>
              </w:rPr>
              <w:tab/>
            </w:r>
            <w:r w:rsidRPr="00E759F1">
              <w:rPr>
                <w:noProof/>
                <w:webHidden/>
                <w:sz w:val="24"/>
                <w:szCs w:val="24"/>
              </w:rPr>
              <w:fldChar w:fldCharType="begin"/>
            </w:r>
            <w:r w:rsidRPr="00E759F1">
              <w:rPr>
                <w:noProof/>
                <w:webHidden/>
                <w:sz w:val="24"/>
                <w:szCs w:val="24"/>
              </w:rPr>
              <w:instrText xml:space="preserve"> PAGEREF _Toc226013495 \h </w:instrText>
            </w:r>
            <w:r w:rsidRPr="00E759F1">
              <w:rPr>
                <w:noProof/>
                <w:webHidden/>
                <w:sz w:val="24"/>
                <w:szCs w:val="24"/>
              </w:rPr>
            </w:r>
            <w:r w:rsidRPr="00E759F1">
              <w:rPr>
                <w:noProof/>
                <w:webHidden/>
                <w:sz w:val="24"/>
                <w:szCs w:val="24"/>
              </w:rPr>
              <w:fldChar w:fldCharType="separate"/>
            </w:r>
            <w:r w:rsidRPr="00E759F1">
              <w:rPr>
                <w:noProof/>
                <w:webHidden/>
                <w:sz w:val="24"/>
                <w:szCs w:val="24"/>
              </w:rPr>
              <w:t>12</w:t>
            </w:r>
            <w:r w:rsidRPr="00E759F1">
              <w:rPr>
                <w:noProof/>
                <w:webHidden/>
                <w:sz w:val="24"/>
                <w:szCs w:val="24"/>
              </w:rPr>
              <w:fldChar w:fldCharType="end"/>
            </w:r>
          </w:hyperlink>
        </w:p>
        <w:p w14:paraId="53A86BB2" w14:textId="24E9D36A" w:rsidR="00F31DE6" w:rsidRPr="00E759F1" w:rsidRDefault="00F31DE6">
          <w:pPr>
            <w:rPr>
              <w:rFonts w:cs="Arial"/>
              <w:sz w:val="24"/>
              <w:szCs w:val="24"/>
            </w:rPr>
          </w:pPr>
          <w:r w:rsidRPr="00E759F1">
            <w:rPr>
              <w:rFonts w:cs="Arial"/>
              <w:b/>
              <w:bCs/>
              <w:noProof/>
              <w:sz w:val="24"/>
              <w:szCs w:val="24"/>
            </w:rPr>
            <w:fldChar w:fldCharType="end"/>
          </w:r>
        </w:p>
      </w:sdtContent>
    </w:sdt>
    <w:p w14:paraId="3448035F" w14:textId="77777777" w:rsidR="00E40364" w:rsidRPr="00E759F1" w:rsidRDefault="00E40364" w:rsidP="00F31DE6">
      <w:pPr>
        <w:jc w:val="left"/>
        <w:rPr>
          <w:rFonts w:cs="Arial"/>
          <w:sz w:val="24"/>
          <w:szCs w:val="24"/>
        </w:rPr>
      </w:pPr>
    </w:p>
    <w:p w14:paraId="11663472" w14:textId="348E7F53" w:rsidR="00915E83" w:rsidRPr="00E759F1" w:rsidRDefault="00E40364" w:rsidP="00E40364">
      <w:pPr>
        <w:spacing w:line="278" w:lineRule="auto"/>
        <w:jc w:val="left"/>
        <w:rPr>
          <w:rFonts w:cs="Arial"/>
          <w:b/>
          <w:bCs/>
          <w:sz w:val="24"/>
          <w:szCs w:val="24"/>
        </w:rPr>
      </w:pPr>
      <w:r w:rsidRPr="00E759F1">
        <w:rPr>
          <w:rFonts w:cs="Arial"/>
          <w:b/>
          <w:bCs/>
          <w:sz w:val="24"/>
          <w:szCs w:val="24"/>
        </w:rPr>
        <w:br w:type="page"/>
      </w:r>
    </w:p>
    <w:p w14:paraId="08359305" w14:textId="77777777" w:rsidR="00915E83" w:rsidRPr="00F31DE6" w:rsidRDefault="00915E83" w:rsidP="002E38AE">
      <w:pPr>
        <w:pStyle w:val="Heading1"/>
        <w:rPr>
          <w:rFonts w:cs="Arial"/>
        </w:rPr>
      </w:pPr>
      <w:bookmarkStart w:id="0" w:name="_Toc225829417"/>
      <w:bookmarkStart w:id="1" w:name="_Toc226013482"/>
      <w:r w:rsidRPr="00F31DE6">
        <w:rPr>
          <w:rFonts w:cs="Arial"/>
        </w:rPr>
        <w:lastRenderedPageBreak/>
        <w:t>Introduction</w:t>
      </w:r>
      <w:bookmarkEnd w:id="0"/>
      <w:bookmarkEnd w:id="1"/>
    </w:p>
    <w:p w14:paraId="624D433B" w14:textId="77777777" w:rsidR="002E3DE4" w:rsidRPr="00F31DE6" w:rsidRDefault="002E3DE4" w:rsidP="004B288B">
      <w:pPr>
        <w:rPr>
          <w:rFonts w:cs="Arial"/>
        </w:rPr>
      </w:pPr>
      <w:r w:rsidRPr="00F31DE6">
        <w:rPr>
          <w:rFonts w:cs="Arial"/>
        </w:rPr>
        <w:t>Effective healthcare delivery relies on the pillars of quality assurance and constant improvement of the service, which provide patients with safe, equitable, and efficient care. Failure to adopt effective clinical governance and quality management systems can be disastrous when healthcare organisations are involved. This report is an analysis of a huge public health problem and quality concern that the Shrewsbury and Telford Hospital NHS Trust (</w:t>
      </w:r>
      <w:proofErr w:type="spellStart"/>
      <w:r w:rsidRPr="00F31DE6">
        <w:rPr>
          <w:rFonts w:cs="Arial"/>
        </w:rPr>
        <w:t>SaTH</w:t>
      </w:r>
      <w:proofErr w:type="spellEnd"/>
      <w:r w:rsidRPr="00F31DE6">
        <w:rPr>
          <w:rFonts w:cs="Arial"/>
        </w:rPr>
        <w:t xml:space="preserve">) encountered, which has been the victim of significant allegations of a maternity scandal in the United Kingdom. The case of harm resulting from systematic failures in the maternity services of the trust between 2000 and 2019, has been the focus of the historic 2022 Ockenden final report. Through this extensive research, it is possible to determine that </w:t>
      </w:r>
      <w:proofErr w:type="spellStart"/>
      <w:r w:rsidRPr="00F31DE6">
        <w:rPr>
          <w:rFonts w:cs="Arial"/>
        </w:rPr>
        <w:t>SaTH</w:t>
      </w:r>
      <w:proofErr w:type="spellEnd"/>
      <w:r w:rsidRPr="00F31DE6">
        <w:rPr>
          <w:rFonts w:cs="Arial"/>
        </w:rPr>
        <w:t xml:space="preserve"> is often incapable of saving women and their infants at the most critical moments in their lives.</w:t>
      </w:r>
    </w:p>
    <w:p w14:paraId="491925DE" w14:textId="74FAF16F" w:rsidR="002E3DE4" w:rsidRPr="00F31DE6" w:rsidRDefault="002E3DE4" w:rsidP="004B288B">
      <w:pPr>
        <w:rPr>
          <w:rFonts w:cs="Arial"/>
        </w:rPr>
      </w:pPr>
      <w:r w:rsidRPr="00F31DE6">
        <w:rPr>
          <w:rFonts w:cs="Arial"/>
        </w:rPr>
        <w:t xml:space="preserve">The magnitude of the service failure at </w:t>
      </w:r>
      <w:proofErr w:type="spellStart"/>
      <w:r w:rsidRPr="00F31DE6">
        <w:rPr>
          <w:rFonts w:cs="Arial"/>
        </w:rPr>
        <w:t>SaTH</w:t>
      </w:r>
      <w:proofErr w:type="spellEnd"/>
      <w:r w:rsidRPr="00F31DE6">
        <w:rPr>
          <w:rFonts w:cs="Arial"/>
        </w:rPr>
        <w:t xml:space="preserve"> is unprecedented in the contemporary NHS. These accidents led to deaths of mothers, neonatal injuries, stillbirths, and deaths of babies. The statistical abnormalities, including the fact that the caesarean rate of the trust was 14% in 2005, compared with the national average of 23.2% in the UK, were a very strong sign of poor care quality and an unsuitable lack of readiness to intervene when clinically necessary</w:t>
      </w:r>
      <w:r w:rsidR="009004C8" w:rsidRPr="00F31DE6">
        <w:rPr>
          <w:rFonts w:cs="Arial"/>
        </w:rPr>
        <w:t xml:space="preserve"> (Ockenden, 2022)</w:t>
      </w:r>
      <w:r w:rsidRPr="00F31DE6">
        <w:rPr>
          <w:rFonts w:cs="Arial"/>
        </w:rPr>
        <w:t>. This scandal is not rooted in single human errors, but rather in a multi-layered, system, policy and organisational culture failure</w:t>
      </w:r>
      <w:r w:rsidR="009004C8" w:rsidRPr="00F31DE6">
        <w:rPr>
          <w:rFonts w:cs="Arial"/>
        </w:rPr>
        <w:t xml:space="preserve"> (Ockenden, 2022)</w:t>
      </w:r>
      <w:r w:rsidRPr="00F31DE6">
        <w:rPr>
          <w:rFonts w:cs="Arial"/>
        </w:rPr>
        <w:t>. Indicatively, the Ockenden Report</w:t>
      </w:r>
      <w:r w:rsidR="00AD5530" w:rsidRPr="00F31DE6">
        <w:rPr>
          <w:rFonts w:cs="Arial"/>
        </w:rPr>
        <w:t xml:space="preserve"> (2022)</w:t>
      </w:r>
      <w:r w:rsidRPr="00F31DE6">
        <w:rPr>
          <w:rFonts w:cs="Arial"/>
        </w:rPr>
        <w:t xml:space="preserve"> established that the trust failed to hear the issues of women and their families, preferring to accuse them of care errors and omissions.</w:t>
      </w:r>
    </w:p>
    <w:p w14:paraId="4CE47A1A" w14:textId="3A7B6F04" w:rsidR="002E3DE4" w:rsidRPr="00F31DE6" w:rsidRDefault="002E3DE4" w:rsidP="004B288B">
      <w:pPr>
        <w:rPr>
          <w:rFonts w:cs="Arial"/>
        </w:rPr>
      </w:pPr>
      <w:r w:rsidRPr="00F31DE6">
        <w:rPr>
          <w:rFonts w:cs="Arial"/>
        </w:rPr>
        <w:t xml:space="preserve">This report is aimed at critically examining the root causes of this maternity scandal based on pre-existing theoretical models, such as the Donabedian Model, the 5 Whys, and the Fishbone Diagram. Through assessment of structural, procedural, and cultural shortfalls at </w:t>
      </w:r>
      <w:proofErr w:type="spellStart"/>
      <w:r w:rsidRPr="00F31DE6">
        <w:rPr>
          <w:rFonts w:cs="Arial"/>
        </w:rPr>
        <w:t>SaTH</w:t>
      </w:r>
      <w:proofErr w:type="spellEnd"/>
      <w:r w:rsidRPr="00F31DE6">
        <w:rPr>
          <w:rFonts w:cs="Arial"/>
        </w:rPr>
        <w:t>, this analysis will help identify the major gaps in clinical governance including the absence of compliance with National Institute for Health and Care Excellence (NICE) standards on foetal monitoring and workplace culture. Moreover, the tools of strategic planning, namely, a SWOT analysis will be used to analyse the existing internal and external environment of the trust. Lastly, evidence-based recommendations will be presented in the report, with the implementation strategy being based on the methodologies of Plan-Do-Study-Act (PDSA), Lean, and Six Sigma to guarantee the long-term quality improvement and recovery of patient safety.</w:t>
      </w:r>
    </w:p>
    <w:p w14:paraId="73DF75D4" w14:textId="1E0A02EA" w:rsidR="00915E83" w:rsidRPr="00F31DE6" w:rsidRDefault="002E3DE4" w:rsidP="002E38AE">
      <w:pPr>
        <w:pStyle w:val="Heading1"/>
        <w:rPr>
          <w:rFonts w:cs="Arial"/>
        </w:rPr>
      </w:pPr>
      <w:bookmarkStart w:id="2" w:name="_Toc225829418"/>
      <w:bookmarkStart w:id="3" w:name="_Toc226013483"/>
      <w:r w:rsidRPr="00F31DE6">
        <w:rPr>
          <w:rFonts w:cs="Arial"/>
        </w:rPr>
        <w:lastRenderedPageBreak/>
        <w:t xml:space="preserve">A systematic analysis of the </w:t>
      </w:r>
      <w:proofErr w:type="spellStart"/>
      <w:r w:rsidRPr="00F31DE6">
        <w:rPr>
          <w:rFonts w:cs="Arial"/>
        </w:rPr>
        <w:t>SaTH</w:t>
      </w:r>
      <w:proofErr w:type="spellEnd"/>
      <w:r w:rsidRPr="00F31DE6">
        <w:rPr>
          <w:rFonts w:cs="Arial"/>
        </w:rPr>
        <w:t xml:space="preserve"> failures</w:t>
      </w:r>
      <w:bookmarkEnd w:id="2"/>
      <w:bookmarkEnd w:id="3"/>
    </w:p>
    <w:p w14:paraId="4E603347" w14:textId="31CA227F" w:rsidR="00CC4946" w:rsidRPr="00F31DE6" w:rsidRDefault="00CC4946" w:rsidP="00E40364">
      <w:pPr>
        <w:spacing w:after="120"/>
        <w:rPr>
          <w:rFonts w:cs="Arial"/>
        </w:rPr>
      </w:pPr>
      <w:r w:rsidRPr="00F31DE6">
        <w:rPr>
          <w:rFonts w:cs="Arial"/>
        </w:rPr>
        <w:t xml:space="preserve">To comprehend the systemic failures at </w:t>
      </w:r>
      <w:proofErr w:type="spellStart"/>
      <w:r w:rsidRPr="00F31DE6">
        <w:rPr>
          <w:rFonts w:cs="Arial"/>
        </w:rPr>
        <w:t>SaTH</w:t>
      </w:r>
      <w:proofErr w:type="spellEnd"/>
      <w:r w:rsidRPr="00F31DE6">
        <w:rPr>
          <w:rFonts w:cs="Arial"/>
        </w:rPr>
        <w:t>, it is imperative to implement powerful analytical frameworks that can disaggregate complex healthcare settings into quantifiable elements. Quality management in healthcare does not only imply assessment of the clinical outcomes, but also of the structures and processes beneath them. The following takes a crack at this effort:</w:t>
      </w:r>
    </w:p>
    <w:p w14:paraId="5B2BE98A" w14:textId="77777777" w:rsidR="00915E83" w:rsidRPr="00F31DE6" w:rsidRDefault="00915E83" w:rsidP="002E38AE">
      <w:pPr>
        <w:pStyle w:val="Heading2"/>
        <w:rPr>
          <w:rFonts w:cs="Arial"/>
        </w:rPr>
      </w:pPr>
      <w:bookmarkStart w:id="4" w:name="_Toc225829419"/>
      <w:bookmarkStart w:id="5" w:name="_Toc226013484"/>
      <w:r w:rsidRPr="00F31DE6">
        <w:rPr>
          <w:rFonts w:cs="Arial"/>
        </w:rPr>
        <w:t>The Donabedian Model</w:t>
      </w:r>
      <w:bookmarkEnd w:id="4"/>
      <w:bookmarkEnd w:id="5"/>
    </w:p>
    <w:p w14:paraId="178E5374" w14:textId="2391DB2B" w:rsidR="001862CC" w:rsidRPr="00F31DE6" w:rsidRDefault="00CC4946" w:rsidP="002E38AE">
      <w:pPr>
        <w:rPr>
          <w:rFonts w:cs="Arial"/>
        </w:rPr>
      </w:pPr>
      <w:r w:rsidRPr="00F31DE6">
        <w:rPr>
          <w:rFonts w:cs="Arial"/>
        </w:rPr>
        <w:t xml:space="preserve">The Donabedian Model is a popular model of assessing the quality of healthcare according to the three different yet connected </w:t>
      </w:r>
      <w:r w:rsidR="001862CC" w:rsidRPr="00F31DE6">
        <w:rPr>
          <w:rFonts w:cs="Arial"/>
        </w:rPr>
        <w:t>factors;</w:t>
      </w:r>
      <w:r w:rsidRPr="00F31DE6">
        <w:rPr>
          <w:rFonts w:cs="Arial"/>
        </w:rPr>
        <w:t xml:space="preserve"> Structure, Process, and Outcome</w:t>
      </w:r>
      <w:r w:rsidR="005E097A" w:rsidRPr="00F31DE6">
        <w:rPr>
          <w:rFonts w:cs="Arial"/>
        </w:rPr>
        <w:t xml:space="preserve"> (Yang et al., 2025)</w:t>
      </w:r>
      <w:r w:rsidRPr="00F31DE6">
        <w:rPr>
          <w:rFonts w:cs="Arial"/>
        </w:rPr>
        <w:t>.</w:t>
      </w:r>
      <w:r w:rsidR="005E097A" w:rsidRPr="00F31DE6">
        <w:rPr>
          <w:rFonts w:cs="Arial"/>
        </w:rPr>
        <w:t xml:space="preserve"> Due to its effectiveness, it is heavily used in healthcare settings, including but not limited to operations theaters as well as emergency rooms and ICUs and oncology facilities (Yang et al., 2025).</w:t>
      </w:r>
    </w:p>
    <w:tbl>
      <w:tblPr>
        <w:tblStyle w:val="TableGrid"/>
        <w:tblW w:w="0" w:type="auto"/>
        <w:tblLook w:val="04A0" w:firstRow="1" w:lastRow="0" w:firstColumn="1" w:lastColumn="0" w:noHBand="0" w:noVBand="1"/>
      </w:tblPr>
      <w:tblGrid>
        <w:gridCol w:w="2746"/>
        <w:gridCol w:w="3594"/>
        <w:gridCol w:w="2676"/>
      </w:tblGrid>
      <w:tr w:rsidR="00007216" w:rsidRPr="00F31DE6" w14:paraId="38A42CA3" w14:textId="77777777" w:rsidTr="00B8313F">
        <w:tc>
          <w:tcPr>
            <w:tcW w:w="9016" w:type="dxa"/>
            <w:gridSpan w:val="3"/>
          </w:tcPr>
          <w:p w14:paraId="7CC8A663" w14:textId="6B6A7E94" w:rsidR="00007216" w:rsidRPr="00F31DE6" w:rsidRDefault="00007216" w:rsidP="009F6E52">
            <w:pPr>
              <w:rPr>
                <w:rFonts w:cs="Arial"/>
              </w:rPr>
            </w:pPr>
            <w:r w:rsidRPr="00F31DE6">
              <w:rPr>
                <w:rFonts w:cs="Arial"/>
                <w:noProof/>
                <w14:ligatures w14:val="standardContextual"/>
              </w:rPr>
              <w:drawing>
                <wp:inline distT="0" distB="0" distL="0" distR="0" wp14:anchorId="6F86E1E8" wp14:editId="447AF89C">
                  <wp:extent cx="5591175" cy="895350"/>
                  <wp:effectExtent l="19050" t="0" r="9525" b="0"/>
                  <wp:docPr id="202082819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r>
      <w:tr w:rsidR="00007216" w:rsidRPr="00F31DE6" w14:paraId="1C5F94F4" w14:textId="77777777" w:rsidTr="009301D9">
        <w:tc>
          <w:tcPr>
            <w:tcW w:w="2691" w:type="dxa"/>
            <w:shd w:val="clear" w:color="auto" w:fill="FFFFFF" w:themeFill="background1"/>
          </w:tcPr>
          <w:p w14:paraId="667A8D23" w14:textId="77777777" w:rsidR="009301D9" w:rsidRDefault="009F6E52" w:rsidP="00E40364">
            <w:pPr>
              <w:spacing w:before="120"/>
              <w:jc w:val="left"/>
              <w:rPr>
                <w:rFonts w:cs="Arial"/>
              </w:rPr>
            </w:pPr>
            <w:r w:rsidRPr="00F31DE6">
              <w:rPr>
                <w:rFonts w:cs="Arial"/>
              </w:rPr>
              <w:t>This is the physical and organisational attributes in which healthcare is provided such as facilities, equipment, human resources and funding</w:t>
            </w:r>
            <w:r w:rsidR="00FD745D" w:rsidRPr="00F31DE6">
              <w:rPr>
                <w:rFonts w:cs="Arial"/>
              </w:rPr>
              <w:t xml:space="preserve"> (Yang et al., 2025)</w:t>
            </w:r>
            <w:r w:rsidRPr="00F31DE6">
              <w:rPr>
                <w:rFonts w:cs="Arial"/>
              </w:rPr>
              <w:t>.</w:t>
            </w:r>
          </w:p>
          <w:p w14:paraId="4D110517" w14:textId="77777777" w:rsidR="009301D9" w:rsidRDefault="009F6E52" w:rsidP="00E40364">
            <w:pPr>
              <w:spacing w:before="120"/>
              <w:jc w:val="left"/>
              <w:rPr>
                <w:rFonts w:cs="Arial"/>
              </w:rPr>
            </w:pPr>
            <w:r w:rsidRPr="00F31DE6">
              <w:rPr>
                <w:rFonts w:cs="Arial"/>
              </w:rPr>
              <w:t xml:space="preserve">There were deep structural failures at </w:t>
            </w:r>
            <w:proofErr w:type="spellStart"/>
            <w:r w:rsidRPr="00F31DE6">
              <w:rPr>
                <w:rFonts w:cs="Arial"/>
              </w:rPr>
              <w:t>SaTH</w:t>
            </w:r>
            <w:proofErr w:type="spellEnd"/>
            <w:r w:rsidRPr="00F31DE6">
              <w:rPr>
                <w:rFonts w:cs="Arial"/>
              </w:rPr>
              <w:t>. It was understaffed and poorly governed on safety</w:t>
            </w:r>
            <w:r w:rsidR="00AD5530" w:rsidRPr="00F31DE6">
              <w:rPr>
                <w:rFonts w:cs="Arial"/>
              </w:rPr>
              <w:t xml:space="preserve"> (Ockenden, 2022)</w:t>
            </w:r>
            <w:r w:rsidRPr="00F31DE6">
              <w:rPr>
                <w:rFonts w:cs="Arial"/>
              </w:rPr>
              <w:t xml:space="preserve">. </w:t>
            </w:r>
          </w:p>
          <w:p w14:paraId="59B9A137" w14:textId="37C649FB" w:rsidR="00007216" w:rsidRPr="00F31DE6" w:rsidRDefault="009F6E52" w:rsidP="00E40364">
            <w:pPr>
              <w:spacing w:before="120"/>
              <w:jc w:val="left"/>
              <w:rPr>
                <w:rFonts w:cs="Arial"/>
              </w:rPr>
            </w:pPr>
            <w:r w:rsidRPr="00F31DE6">
              <w:rPr>
                <w:rFonts w:cs="Arial"/>
              </w:rPr>
              <w:t xml:space="preserve">In addition, the absence of adequate equipment, old monitors, and </w:t>
            </w:r>
            <w:r w:rsidRPr="00F31DE6">
              <w:rPr>
                <w:rFonts w:cs="Arial"/>
              </w:rPr>
              <w:lastRenderedPageBreak/>
              <w:t>inadequate funding also indicated the failure by the trust to utilise resources to allay their care service concerns.</w:t>
            </w:r>
          </w:p>
        </w:tc>
        <w:tc>
          <w:tcPr>
            <w:tcW w:w="3694" w:type="dxa"/>
            <w:shd w:val="clear" w:color="auto" w:fill="FFFFFF" w:themeFill="background1"/>
          </w:tcPr>
          <w:p w14:paraId="25C54170" w14:textId="77777777" w:rsidR="009301D9" w:rsidRDefault="009F6E52" w:rsidP="00E40364">
            <w:pPr>
              <w:spacing w:before="120"/>
              <w:jc w:val="left"/>
              <w:rPr>
                <w:rFonts w:cs="Arial"/>
              </w:rPr>
            </w:pPr>
            <w:r w:rsidRPr="00F31DE6">
              <w:rPr>
                <w:rFonts w:cs="Arial"/>
              </w:rPr>
              <w:lastRenderedPageBreak/>
              <w:t xml:space="preserve">This area is concerned with the process of actual care delivery and interaction of patients and providers. Malfunction of processes in </w:t>
            </w:r>
            <w:proofErr w:type="spellStart"/>
            <w:r w:rsidRPr="00F31DE6">
              <w:rPr>
                <w:rFonts w:cs="Arial"/>
              </w:rPr>
              <w:t>SaTH</w:t>
            </w:r>
            <w:proofErr w:type="spellEnd"/>
            <w:r w:rsidRPr="00F31DE6">
              <w:rPr>
                <w:rFonts w:cs="Arial"/>
              </w:rPr>
              <w:t xml:space="preserve"> was systematic.</w:t>
            </w:r>
          </w:p>
          <w:p w14:paraId="480C807B" w14:textId="77777777" w:rsidR="009301D9" w:rsidRDefault="009F6E52" w:rsidP="00E40364">
            <w:pPr>
              <w:spacing w:before="120"/>
              <w:jc w:val="left"/>
              <w:rPr>
                <w:rFonts w:cs="Arial"/>
              </w:rPr>
            </w:pPr>
            <w:r w:rsidRPr="00F31DE6">
              <w:rPr>
                <w:rFonts w:cs="Arial"/>
              </w:rPr>
              <w:t>The personnel in the trust did not evaluate and identify abnormal cardiotocography (CTG) tracings, which interfered with NICE guidelines</w:t>
            </w:r>
            <w:r w:rsidR="005E097A" w:rsidRPr="00F31DE6">
              <w:rPr>
                <w:rFonts w:cs="Arial"/>
              </w:rPr>
              <w:t xml:space="preserve"> (BBC, 2022)</w:t>
            </w:r>
            <w:r w:rsidRPr="00F31DE6">
              <w:rPr>
                <w:rFonts w:cs="Arial"/>
              </w:rPr>
              <w:t xml:space="preserve">. </w:t>
            </w:r>
          </w:p>
          <w:p w14:paraId="6699DD29" w14:textId="77777777" w:rsidR="009301D9" w:rsidRDefault="009F6E52" w:rsidP="00E40364">
            <w:pPr>
              <w:spacing w:before="120"/>
              <w:jc w:val="left"/>
              <w:rPr>
                <w:rFonts w:cs="Arial"/>
              </w:rPr>
            </w:pPr>
            <w:r w:rsidRPr="00F31DE6">
              <w:rPr>
                <w:rFonts w:cs="Arial"/>
              </w:rPr>
              <w:t xml:space="preserve">Also, the </w:t>
            </w:r>
            <w:proofErr w:type="spellStart"/>
            <w:r w:rsidRPr="00F31DE6">
              <w:rPr>
                <w:rFonts w:cs="Arial"/>
              </w:rPr>
              <w:t>SaTH</w:t>
            </w:r>
            <w:proofErr w:type="spellEnd"/>
            <w:r w:rsidRPr="00F31DE6">
              <w:rPr>
                <w:rFonts w:cs="Arial"/>
              </w:rPr>
              <w:t xml:space="preserve"> did not cheque blood pressure and foetal heart rate of mothers as the collaboration was not good and the escalation was delayed. </w:t>
            </w:r>
          </w:p>
          <w:p w14:paraId="416AA1B5" w14:textId="22A9C93D" w:rsidR="00007216" w:rsidRPr="00F31DE6" w:rsidRDefault="009F6E52" w:rsidP="00E40364">
            <w:pPr>
              <w:spacing w:before="120"/>
              <w:jc w:val="left"/>
              <w:rPr>
                <w:rFonts w:cs="Arial"/>
              </w:rPr>
            </w:pPr>
            <w:r w:rsidRPr="00F31DE6">
              <w:rPr>
                <w:rFonts w:cs="Arial"/>
              </w:rPr>
              <w:lastRenderedPageBreak/>
              <w:t>Another blatant failure was in the governance processes; in 2011</w:t>
            </w:r>
            <w:r w:rsidR="00AD5530" w:rsidRPr="00F31DE6">
              <w:rPr>
                <w:rFonts w:cs="Arial"/>
              </w:rPr>
              <w:t>-</w:t>
            </w:r>
            <w:r w:rsidRPr="00F31DE6">
              <w:rPr>
                <w:rFonts w:cs="Arial"/>
              </w:rPr>
              <w:t>2019, the trust did not even investigate 43 and 40 percent of neonatal death cases and stillbirth cases respectively</w:t>
            </w:r>
            <w:r w:rsidR="00AD5530" w:rsidRPr="00F31DE6">
              <w:rPr>
                <w:rFonts w:cs="Arial"/>
              </w:rPr>
              <w:t xml:space="preserve"> (Ockenden, 2022)</w:t>
            </w:r>
            <w:r w:rsidRPr="00F31DE6">
              <w:rPr>
                <w:rFonts w:cs="Arial"/>
              </w:rPr>
              <w:t>.</w:t>
            </w:r>
          </w:p>
        </w:tc>
        <w:tc>
          <w:tcPr>
            <w:tcW w:w="2631" w:type="dxa"/>
            <w:shd w:val="clear" w:color="auto" w:fill="FFFFFF" w:themeFill="background1"/>
          </w:tcPr>
          <w:p w14:paraId="2CB39A20" w14:textId="77777777" w:rsidR="009301D9" w:rsidRDefault="009F6E52" w:rsidP="00E40364">
            <w:pPr>
              <w:spacing w:before="120"/>
              <w:jc w:val="left"/>
              <w:rPr>
                <w:rFonts w:cs="Arial"/>
              </w:rPr>
            </w:pPr>
            <w:r w:rsidRPr="00F31DE6">
              <w:rPr>
                <w:rFonts w:cs="Arial"/>
              </w:rPr>
              <w:lastRenderedPageBreak/>
              <w:t>This is the final impact of healthcare on the health status of the patient</w:t>
            </w:r>
            <w:r w:rsidR="00FD745D" w:rsidRPr="00F31DE6">
              <w:rPr>
                <w:rFonts w:cs="Arial"/>
              </w:rPr>
              <w:t xml:space="preserve"> (Yang et al., 2025)</w:t>
            </w:r>
            <w:r w:rsidRPr="00F31DE6">
              <w:rPr>
                <w:rFonts w:cs="Arial"/>
              </w:rPr>
              <w:t xml:space="preserve">. The results in </w:t>
            </w:r>
            <w:proofErr w:type="spellStart"/>
            <w:r w:rsidRPr="00F31DE6">
              <w:rPr>
                <w:rFonts w:cs="Arial"/>
              </w:rPr>
              <w:t>SaTH</w:t>
            </w:r>
            <w:proofErr w:type="spellEnd"/>
            <w:r w:rsidRPr="00F31DE6">
              <w:rPr>
                <w:rFonts w:cs="Arial"/>
              </w:rPr>
              <w:t xml:space="preserve"> were disastrous because of the failed structures and processes</w:t>
            </w:r>
            <w:r w:rsidR="00FD745D" w:rsidRPr="00F31DE6">
              <w:rPr>
                <w:rFonts w:cs="Arial"/>
              </w:rPr>
              <w:t xml:space="preserve"> (</w:t>
            </w:r>
            <w:proofErr w:type="spellStart"/>
            <w:r w:rsidR="00FD745D" w:rsidRPr="00F31DE6">
              <w:rPr>
                <w:rFonts w:cs="Arial"/>
              </w:rPr>
              <w:t>Ockenden</w:t>
            </w:r>
            <w:proofErr w:type="spellEnd"/>
            <w:r w:rsidR="00FD745D" w:rsidRPr="00F31DE6">
              <w:rPr>
                <w:rFonts w:cs="Arial"/>
              </w:rPr>
              <w:t>, 2022)</w:t>
            </w:r>
            <w:r w:rsidRPr="00F31DE6">
              <w:rPr>
                <w:rFonts w:cs="Arial"/>
              </w:rPr>
              <w:t>.</w:t>
            </w:r>
          </w:p>
          <w:p w14:paraId="22157772" w14:textId="77777777" w:rsidR="009301D9" w:rsidRDefault="009F6E52" w:rsidP="00E40364">
            <w:pPr>
              <w:spacing w:before="120"/>
              <w:jc w:val="left"/>
              <w:rPr>
                <w:rFonts w:cs="Arial"/>
              </w:rPr>
            </w:pPr>
            <w:r w:rsidRPr="00F31DE6">
              <w:rPr>
                <w:rFonts w:cs="Arial"/>
              </w:rPr>
              <w:t xml:space="preserve">Poor standards in quality and safety in healthcare environments were breached as the care was unsafe and resulted in injuries and death. </w:t>
            </w:r>
          </w:p>
          <w:p w14:paraId="32CA77B8" w14:textId="012C7873" w:rsidR="00007216" w:rsidRPr="00F31DE6" w:rsidRDefault="009F6E52" w:rsidP="00E40364">
            <w:pPr>
              <w:spacing w:before="120"/>
              <w:jc w:val="left"/>
              <w:rPr>
                <w:rFonts w:cs="Arial"/>
              </w:rPr>
            </w:pPr>
            <w:r w:rsidRPr="00F31DE6">
              <w:rPr>
                <w:rFonts w:cs="Arial"/>
              </w:rPr>
              <w:t xml:space="preserve">The final results were the recurring maternal and </w:t>
            </w:r>
            <w:r w:rsidRPr="00F31DE6">
              <w:rPr>
                <w:rFonts w:cs="Arial"/>
              </w:rPr>
              <w:lastRenderedPageBreak/>
              <w:t>infant mortality coupled with the serious violations of the healthcare equity and efficiency of the services.</w:t>
            </w:r>
          </w:p>
        </w:tc>
      </w:tr>
    </w:tbl>
    <w:p w14:paraId="122A8EED" w14:textId="77777777" w:rsidR="00FD68B6" w:rsidRPr="00F31DE6" w:rsidRDefault="00915E83" w:rsidP="0076614B">
      <w:pPr>
        <w:pStyle w:val="Heading2"/>
        <w:spacing w:before="240"/>
        <w:rPr>
          <w:rFonts w:cs="Arial"/>
        </w:rPr>
      </w:pPr>
      <w:bookmarkStart w:id="6" w:name="_Toc225829420"/>
      <w:bookmarkStart w:id="7" w:name="_Toc226013485"/>
      <w:r w:rsidRPr="00F31DE6">
        <w:rPr>
          <w:rFonts w:cs="Arial"/>
        </w:rPr>
        <w:lastRenderedPageBreak/>
        <w:t>Root Cause Analysis: The 5 Whys and Fishbone Frameworks</w:t>
      </w:r>
      <w:bookmarkEnd w:id="6"/>
      <w:bookmarkEnd w:id="7"/>
      <w:r w:rsidRPr="00F31DE6">
        <w:rPr>
          <w:rFonts w:cs="Arial"/>
        </w:rPr>
        <w:t xml:space="preserve"> </w:t>
      </w:r>
    </w:p>
    <w:p w14:paraId="63A1638C" w14:textId="5D1CB524" w:rsidR="009F6E52" w:rsidRPr="00F31DE6" w:rsidRDefault="009F6E52" w:rsidP="002E38AE">
      <w:pPr>
        <w:rPr>
          <w:rFonts w:cs="Arial"/>
        </w:rPr>
      </w:pPr>
      <w:r w:rsidRPr="00F31DE6">
        <w:rPr>
          <w:rFonts w:cs="Arial"/>
        </w:rPr>
        <w:t>Whereas the Donabedian Model breaks the system down into categories, the Root Cause Analysis (RCA) tools break it down to the specific failures.</w:t>
      </w:r>
      <w:r w:rsidR="00FD745D" w:rsidRPr="00F31DE6">
        <w:rPr>
          <w:rFonts w:cs="Arial"/>
        </w:rPr>
        <w:t xml:space="preserve"> Through the fishbone diagram as well as the 5 Whys framework, this review intends to figure out the primary cause behind the disastrous failures </w:t>
      </w:r>
      <w:r w:rsidR="00546B51" w:rsidRPr="00F31DE6">
        <w:rPr>
          <w:rFonts w:cs="Arial"/>
        </w:rPr>
        <w:t xml:space="preserve">by </w:t>
      </w:r>
      <w:proofErr w:type="spellStart"/>
      <w:r w:rsidR="00546B51" w:rsidRPr="00F31DE6">
        <w:rPr>
          <w:rFonts w:cs="Arial"/>
        </w:rPr>
        <w:t>SaTH</w:t>
      </w:r>
      <w:proofErr w:type="spellEnd"/>
      <w:r w:rsidR="00546B51" w:rsidRPr="00F31DE6">
        <w:rPr>
          <w:rFonts w:cs="Arial"/>
        </w:rPr>
        <w:t xml:space="preserve"> trust.</w:t>
      </w:r>
    </w:p>
    <w:p w14:paraId="0699D94E" w14:textId="4666D200" w:rsidR="009F6E52" w:rsidRPr="00F31DE6" w:rsidRDefault="009F6E52" w:rsidP="009F6E52">
      <w:pPr>
        <w:pStyle w:val="Heading3"/>
        <w:rPr>
          <w:rFonts w:cs="Arial"/>
        </w:rPr>
      </w:pPr>
      <w:bookmarkStart w:id="8" w:name="_Toc225829421"/>
      <w:bookmarkStart w:id="9" w:name="_Toc226013486"/>
      <w:r w:rsidRPr="00F31DE6">
        <w:rPr>
          <w:rFonts w:cs="Arial"/>
        </w:rPr>
        <w:t>Fishbone Diagram</w:t>
      </w:r>
      <w:bookmarkEnd w:id="8"/>
      <w:bookmarkEnd w:id="9"/>
      <w:r w:rsidRPr="00F31DE6">
        <w:rPr>
          <w:rFonts w:cs="Arial"/>
        </w:rPr>
        <w:t xml:space="preserve"> </w:t>
      </w:r>
    </w:p>
    <w:p w14:paraId="041CA676" w14:textId="2BA3803D" w:rsidR="00CE46D9" w:rsidRPr="00F31DE6" w:rsidRDefault="0076614B" w:rsidP="009301D9">
      <w:pPr>
        <w:spacing w:before="100" w:beforeAutospacing="1" w:after="100" w:afterAutospacing="1" w:line="240" w:lineRule="auto"/>
        <w:jc w:val="center"/>
        <w:rPr>
          <w:rFonts w:eastAsia="Times New Roman" w:cs="Arial"/>
          <w:color w:val="auto"/>
          <w:szCs w:val="24"/>
          <w:lang w:eastAsia="zh-CN" w:bidi="bn-IN"/>
        </w:rPr>
      </w:pPr>
      <w:r w:rsidRPr="00F31DE6">
        <w:rPr>
          <w:rFonts w:eastAsia="Times New Roman" w:cs="Arial"/>
          <w:noProof/>
          <w:color w:val="auto"/>
          <w:szCs w:val="24"/>
          <w:lang w:eastAsia="zh-CN" w:bidi="bn-IN"/>
        </w:rPr>
        <w:drawing>
          <wp:inline distT="0" distB="0" distL="0" distR="0" wp14:anchorId="7AD0FA78" wp14:editId="3D517D3B">
            <wp:extent cx="5660160" cy="2042160"/>
            <wp:effectExtent l="0" t="0" r="0" b="0"/>
            <wp:docPr id="163910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24" t="24930" r="3080" b="24413"/>
                    <a:stretch>
                      <a:fillRect/>
                    </a:stretch>
                  </pic:blipFill>
                  <pic:spPr bwMode="auto">
                    <a:xfrm>
                      <a:off x="0" y="0"/>
                      <a:ext cx="5665029" cy="2043917"/>
                    </a:xfrm>
                    <a:prstGeom prst="rect">
                      <a:avLst/>
                    </a:prstGeom>
                    <a:noFill/>
                    <a:ln>
                      <a:noFill/>
                    </a:ln>
                    <a:extLst>
                      <a:ext uri="{53640926-AAD7-44D8-BBD7-CCE9431645EC}">
                        <a14:shadowObscured xmlns:a14="http://schemas.microsoft.com/office/drawing/2010/main"/>
                      </a:ext>
                    </a:extLst>
                  </pic:spPr>
                </pic:pic>
              </a:graphicData>
            </a:graphic>
          </wp:inline>
        </w:drawing>
      </w:r>
    </w:p>
    <w:p w14:paraId="7ED4E484" w14:textId="71E54889" w:rsidR="002D64D0" w:rsidRPr="00F31DE6" w:rsidRDefault="00CE46D9" w:rsidP="00CE46D9">
      <w:pPr>
        <w:jc w:val="center"/>
        <w:rPr>
          <w:rFonts w:cs="Arial"/>
        </w:rPr>
      </w:pPr>
      <w:r w:rsidRPr="00F31DE6">
        <w:rPr>
          <w:rFonts w:cs="Arial"/>
        </w:rPr>
        <w:t xml:space="preserve">Figure: Root Cause Analysis of the </w:t>
      </w:r>
      <w:proofErr w:type="spellStart"/>
      <w:r w:rsidRPr="00F31DE6">
        <w:rPr>
          <w:rFonts w:cs="Arial"/>
        </w:rPr>
        <w:t>SaTH</w:t>
      </w:r>
      <w:proofErr w:type="spellEnd"/>
      <w:r w:rsidRPr="00F31DE6">
        <w:rPr>
          <w:rFonts w:cs="Arial"/>
        </w:rPr>
        <w:t xml:space="preserve"> Maternity Scandal through the Fishbone diagram (</w:t>
      </w:r>
      <w:proofErr w:type="spellStart"/>
      <w:r w:rsidRPr="00F31DE6">
        <w:rPr>
          <w:rFonts w:cs="Arial"/>
        </w:rPr>
        <w:t>Ockenden</w:t>
      </w:r>
      <w:proofErr w:type="spellEnd"/>
      <w:r w:rsidRPr="00F31DE6">
        <w:rPr>
          <w:rFonts w:cs="Arial"/>
        </w:rPr>
        <w:t>, 2022)</w:t>
      </w:r>
    </w:p>
    <w:p w14:paraId="6FD6416B" w14:textId="5A2AA58D" w:rsidR="002E38AE" w:rsidRPr="00F31DE6" w:rsidRDefault="002E38AE" w:rsidP="004B288B">
      <w:pPr>
        <w:rPr>
          <w:rFonts w:cs="Arial"/>
        </w:rPr>
      </w:pPr>
      <w:r w:rsidRPr="00F31DE6">
        <w:rPr>
          <w:rFonts w:cs="Arial"/>
        </w:rPr>
        <w:t>To analyse the causes and effects behind an event and to uncover the factors responsible behind said event, a fishbone or Ishikawa diagram</w:t>
      </w:r>
      <w:r w:rsidR="00CE46D9" w:rsidRPr="00F31DE6">
        <w:rPr>
          <w:rFonts w:cs="Arial"/>
        </w:rPr>
        <w:t xml:space="preserve"> </w:t>
      </w:r>
      <w:r w:rsidRPr="00F31DE6">
        <w:rPr>
          <w:rFonts w:cs="Arial"/>
        </w:rPr>
        <w:t>(name attributed to its creator) is used as a visual tool that portrays the connection between said factors in a diagram that mimics the bone-skeletal structure of a fish (Kumah et al., 2024).</w:t>
      </w:r>
    </w:p>
    <w:p w14:paraId="59DF2272" w14:textId="77777777" w:rsidR="002E38AE" w:rsidRPr="00F31DE6" w:rsidRDefault="00F25C62" w:rsidP="004B288B">
      <w:pPr>
        <w:rPr>
          <w:rFonts w:cs="Arial"/>
        </w:rPr>
      </w:pPr>
      <w:r w:rsidRPr="00F31DE6">
        <w:rPr>
          <w:rFonts w:cs="Arial"/>
        </w:rPr>
        <w:t>The Fishbone (Ishikawa) diagram</w:t>
      </w:r>
      <w:r w:rsidR="002E38AE" w:rsidRPr="00F31DE6">
        <w:rPr>
          <w:rFonts w:cs="Arial"/>
        </w:rPr>
        <w:t xml:space="preserve"> above</w:t>
      </w:r>
      <w:r w:rsidRPr="00F31DE6">
        <w:rPr>
          <w:rFonts w:cs="Arial"/>
        </w:rPr>
        <w:t xml:space="preserve"> is an extensive breakdown of the multidimensional cause of the maternity scandal at the Shrewsbury and Telford Hospital (</w:t>
      </w:r>
      <w:proofErr w:type="spellStart"/>
      <w:r w:rsidRPr="00F31DE6">
        <w:rPr>
          <w:rFonts w:cs="Arial"/>
        </w:rPr>
        <w:t>SaTH</w:t>
      </w:r>
      <w:proofErr w:type="spellEnd"/>
      <w:r w:rsidRPr="00F31DE6">
        <w:rPr>
          <w:rFonts w:cs="Arial"/>
        </w:rPr>
        <w:t>) into six domains. Under the Man category, the immediate risks were caused by chronic understaffing and a severe deficiency of clinical training on cardiotocography (CTG) interpretation, compounded by an organisation-wide culture of bullying that prevented the escalation of team-</w:t>
      </w:r>
      <w:r w:rsidRPr="00F31DE6">
        <w:rPr>
          <w:rFonts w:cs="Arial"/>
        </w:rPr>
        <w:lastRenderedPageBreak/>
        <w:t>based efforts. There were systematic methodological flaws; clinical governance was lax and NICE guidance was deliberately subverted to enable the trust to conceal more than 40 per cent of serious incidents to continue making falsely low statistical allegations on caesarean section</w:t>
      </w:r>
      <w:r w:rsidR="002E38AE" w:rsidRPr="00F31DE6">
        <w:rPr>
          <w:rFonts w:cs="Arial"/>
        </w:rPr>
        <w:t xml:space="preserve"> (BBC, 2022)</w:t>
      </w:r>
      <w:r w:rsidRPr="00F31DE6">
        <w:rPr>
          <w:rFonts w:cs="Arial"/>
        </w:rPr>
        <w:t>. Alongside these human and procedural mistakes was serious deficiency in the machine, namely, the use of old foetal monitors that could not sufficiently monitor foetal distress</w:t>
      </w:r>
      <w:r w:rsidR="002E38AE" w:rsidRPr="00F31DE6">
        <w:rPr>
          <w:rFonts w:cs="Arial"/>
        </w:rPr>
        <w:t xml:space="preserve"> (Ockenden, 2022)</w:t>
      </w:r>
      <w:r w:rsidRPr="00F31DE6">
        <w:rPr>
          <w:rFonts w:cs="Arial"/>
        </w:rPr>
        <w:t>. More importantly, the domain of Measurement is the reason to point out an apocalyptic failure of quality auditing; the trust was accustomed to misunderstanding</w:t>
      </w:r>
      <w:r w:rsidR="002E38AE" w:rsidRPr="00F31DE6">
        <w:rPr>
          <w:rFonts w:cs="Arial"/>
        </w:rPr>
        <w:t>-mishandling</w:t>
      </w:r>
      <w:r w:rsidRPr="00F31DE6">
        <w:rPr>
          <w:rFonts w:cs="Arial"/>
        </w:rPr>
        <w:t xml:space="preserve"> clinical metrics and was not tracking the data on adverse incidents and was simply not following the standards of MBRRACE benchmarking</w:t>
      </w:r>
      <w:r w:rsidR="002E38AE" w:rsidRPr="00F31DE6">
        <w:rPr>
          <w:rFonts w:cs="Arial"/>
        </w:rPr>
        <w:t xml:space="preserve"> (McDonagh Hull, Boulton and Lashewicz, 2025)</w:t>
      </w:r>
      <w:r w:rsidRPr="00F31DE6">
        <w:rPr>
          <w:rFonts w:cs="Arial"/>
        </w:rPr>
        <w:t xml:space="preserve">. </w:t>
      </w:r>
    </w:p>
    <w:p w14:paraId="3766DF4C" w14:textId="77777777" w:rsidR="002E38AE" w:rsidRPr="00F31DE6" w:rsidRDefault="00F25C62" w:rsidP="004B288B">
      <w:pPr>
        <w:rPr>
          <w:rFonts w:cs="Arial"/>
        </w:rPr>
      </w:pPr>
      <w:r w:rsidRPr="00F31DE6">
        <w:rPr>
          <w:rFonts w:cs="Arial"/>
        </w:rPr>
        <w:t xml:space="preserve">Lastly, these failures in the operations were supported by harmful environmental factors. Namely, a closed, dismissive organisational culture that did not welcome external challenge, and a shortage of suitable resources in the form of sufficient funding and misinformation being provided to families. Combined together, these overlapping variables are used to explain that the </w:t>
      </w:r>
      <w:proofErr w:type="spellStart"/>
      <w:r w:rsidRPr="00F31DE6">
        <w:rPr>
          <w:rFonts w:cs="Arial"/>
        </w:rPr>
        <w:t>SaTH</w:t>
      </w:r>
      <w:proofErr w:type="spellEnd"/>
      <w:r w:rsidRPr="00F31DE6">
        <w:rPr>
          <w:rFonts w:cs="Arial"/>
        </w:rPr>
        <w:t xml:space="preserve"> tragedy was not inflicted by a few one-off clinical mistakes, but a complete and catastrophic system failure.</w:t>
      </w:r>
    </w:p>
    <w:p w14:paraId="26FAD497" w14:textId="0B07EC95" w:rsidR="009F6E52" w:rsidRPr="00F31DE6" w:rsidRDefault="009F6E52" w:rsidP="00E40364">
      <w:pPr>
        <w:pStyle w:val="Heading3"/>
        <w:rPr>
          <w:rFonts w:cs="Arial"/>
        </w:rPr>
      </w:pPr>
      <w:bookmarkStart w:id="10" w:name="_Toc225829422"/>
      <w:bookmarkStart w:id="11" w:name="_Toc226013487"/>
      <w:r w:rsidRPr="00F31DE6">
        <w:rPr>
          <w:rFonts w:cs="Arial"/>
        </w:rPr>
        <w:t xml:space="preserve">The 5 Whys </w:t>
      </w:r>
      <w:r w:rsidR="004B288B" w:rsidRPr="00F31DE6">
        <w:rPr>
          <w:rFonts w:cs="Arial"/>
        </w:rPr>
        <w:t>technique</w:t>
      </w:r>
      <w:bookmarkEnd w:id="10"/>
      <w:bookmarkEnd w:id="11"/>
    </w:p>
    <w:p w14:paraId="7DE8A3A1" w14:textId="5FB0F3E3" w:rsidR="002D64D0" w:rsidRPr="00F31DE6" w:rsidRDefault="004B288B" w:rsidP="00E40364">
      <w:pPr>
        <w:rPr>
          <w:rFonts w:cs="Arial"/>
        </w:rPr>
      </w:pPr>
      <w:r w:rsidRPr="00F31DE6">
        <w:rPr>
          <w:rFonts w:cs="Arial"/>
        </w:rPr>
        <w:t xml:space="preserve">The 5 Whys technique is often used as a diagnostic tool for </w:t>
      </w:r>
      <w:r w:rsidR="00E40364" w:rsidRPr="00F31DE6">
        <w:rPr>
          <w:rFonts w:cs="Arial"/>
        </w:rPr>
        <w:t>cause-and-effect</w:t>
      </w:r>
      <w:r w:rsidRPr="00F31DE6">
        <w:rPr>
          <w:rFonts w:cs="Arial"/>
        </w:rPr>
        <w:t xml:space="preserve"> analysis (Serrat, 2017). </w:t>
      </w:r>
      <w:r w:rsidR="00E40364" w:rsidRPr="00F31DE6">
        <w:rPr>
          <w:rFonts w:cs="Arial"/>
        </w:rPr>
        <w:t>As an additional way of delving into these aspects, the 5 Whys framework will be used to investigate a particular critical failure, namely repeated cases of avoidable neonatal injuries.</w:t>
      </w:r>
    </w:p>
    <w:tbl>
      <w:tblPr>
        <w:tblStyle w:val="TableGrid"/>
        <w:tblW w:w="0" w:type="auto"/>
        <w:shd w:val="clear" w:color="auto" w:fill="FFFFFF" w:themeFill="background1"/>
        <w:tblLook w:val="04A0" w:firstRow="1" w:lastRow="0" w:firstColumn="1" w:lastColumn="0" w:noHBand="0" w:noVBand="1"/>
      </w:tblPr>
      <w:tblGrid>
        <w:gridCol w:w="2605"/>
        <w:gridCol w:w="6411"/>
      </w:tblGrid>
      <w:tr w:rsidR="00E40364" w:rsidRPr="00F31DE6" w14:paraId="142C43F0" w14:textId="77777777" w:rsidTr="009301D9">
        <w:tc>
          <w:tcPr>
            <w:tcW w:w="2605" w:type="dxa"/>
            <w:shd w:val="clear" w:color="auto" w:fill="FFFFFF" w:themeFill="background1"/>
            <w:vAlign w:val="center"/>
          </w:tcPr>
          <w:p w14:paraId="3B3CA152" w14:textId="1B4554AD" w:rsidR="00E40364" w:rsidRPr="00F31DE6" w:rsidRDefault="00E40364" w:rsidP="00E40364">
            <w:pPr>
              <w:spacing w:before="120" w:after="120"/>
              <w:jc w:val="center"/>
              <w:rPr>
                <w:rFonts w:cs="Arial"/>
                <w:b/>
                <w:bCs/>
              </w:rPr>
            </w:pPr>
            <w:r w:rsidRPr="00F31DE6">
              <w:rPr>
                <w:rFonts w:cs="Arial"/>
                <w:b/>
                <w:bCs/>
              </w:rPr>
              <w:t>Why Stages</w:t>
            </w:r>
          </w:p>
        </w:tc>
        <w:tc>
          <w:tcPr>
            <w:tcW w:w="6411" w:type="dxa"/>
            <w:shd w:val="clear" w:color="auto" w:fill="FFFFFF" w:themeFill="background1"/>
            <w:vAlign w:val="center"/>
          </w:tcPr>
          <w:p w14:paraId="2005A8DF" w14:textId="618A8CB8" w:rsidR="00E40364" w:rsidRPr="00F31DE6" w:rsidRDefault="00E40364" w:rsidP="00E40364">
            <w:pPr>
              <w:spacing w:before="120" w:after="120"/>
              <w:jc w:val="center"/>
              <w:rPr>
                <w:rFonts w:cs="Arial"/>
                <w:b/>
                <w:bCs/>
              </w:rPr>
            </w:pPr>
            <w:r w:rsidRPr="00F31DE6">
              <w:rPr>
                <w:rFonts w:cs="Arial"/>
                <w:b/>
                <w:bCs/>
              </w:rPr>
              <w:t>Analysis</w:t>
            </w:r>
          </w:p>
        </w:tc>
      </w:tr>
      <w:tr w:rsidR="00741B8F" w:rsidRPr="00F31DE6" w14:paraId="41897071" w14:textId="77777777" w:rsidTr="009301D9">
        <w:tc>
          <w:tcPr>
            <w:tcW w:w="2605" w:type="dxa"/>
            <w:shd w:val="clear" w:color="auto" w:fill="FFFFFF" w:themeFill="background1"/>
            <w:vAlign w:val="center"/>
          </w:tcPr>
          <w:p w14:paraId="48D7EEE9" w14:textId="50C62E1A" w:rsidR="00741B8F" w:rsidRPr="00F31DE6" w:rsidRDefault="00741B8F" w:rsidP="00E40364">
            <w:pPr>
              <w:spacing w:before="120" w:after="120"/>
              <w:jc w:val="left"/>
              <w:rPr>
                <w:rFonts w:cs="Arial"/>
              </w:rPr>
            </w:pPr>
            <w:r w:rsidRPr="00F31DE6">
              <w:rPr>
                <w:rFonts w:cs="Arial"/>
              </w:rPr>
              <w:t>1. What is the cause of avoidable neonatal injury?</w:t>
            </w:r>
          </w:p>
        </w:tc>
        <w:tc>
          <w:tcPr>
            <w:tcW w:w="6411" w:type="dxa"/>
            <w:shd w:val="clear" w:color="auto" w:fill="FFFFFF" w:themeFill="background1"/>
            <w:vAlign w:val="center"/>
          </w:tcPr>
          <w:p w14:paraId="1EF53F48" w14:textId="6D8A6E7D" w:rsidR="00741B8F" w:rsidRPr="00F31DE6" w:rsidRDefault="00300862" w:rsidP="00E40364">
            <w:pPr>
              <w:spacing w:before="120" w:after="120"/>
              <w:jc w:val="left"/>
              <w:rPr>
                <w:rFonts w:cs="Arial"/>
              </w:rPr>
            </w:pPr>
            <w:r w:rsidRPr="00F31DE6">
              <w:rPr>
                <w:rFonts w:cs="Arial"/>
              </w:rPr>
              <w:t>Due to the fact that the heart rates of babies were not regularly checked by the staff</w:t>
            </w:r>
            <w:r w:rsidR="004B288B" w:rsidRPr="00F31DE6">
              <w:rPr>
                <w:rFonts w:cs="Arial"/>
              </w:rPr>
              <w:t xml:space="preserve"> (Ockenden, 2022)</w:t>
            </w:r>
            <w:r w:rsidRPr="00F31DE6">
              <w:rPr>
                <w:rFonts w:cs="Arial"/>
              </w:rPr>
              <w:t>.</w:t>
            </w:r>
          </w:p>
        </w:tc>
      </w:tr>
      <w:tr w:rsidR="00741B8F" w:rsidRPr="00F31DE6" w14:paraId="66C6C98C" w14:textId="77777777" w:rsidTr="009301D9">
        <w:tc>
          <w:tcPr>
            <w:tcW w:w="2605" w:type="dxa"/>
            <w:shd w:val="clear" w:color="auto" w:fill="FFFFFF" w:themeFill="background1"/>
            <w:vAlign w:val="center"/>
          </w:tcPr>
          <w:p w14:paraId="50AB7D3C" w14:textId="18192C02" w:rsidR="00741B8F" w:rsidRPr="00F31DE6" w:rsidRDefault="00741B8F" w:rsidP="00E40364">
            <w:pPr>
              <w:spacing w:before="120" w:after="120"/>
              <w:jc w:val="left"/>
              <w:rPr>
                <w:rFonts w:cs="Arial"/>
              </w:rPr>
            </w:pPr>
            <w:r w:rsidRPr="00F31DE6">
              <w:rPr>
                <w:rFonts w:cs="Arial"/>
              </w:rPr>
              <w:t>2. Why do employees not cheque heart rates?</w:t>
            </w:r>
          </w:p>
        </w:tc>
        <w:tc>
          <w:tcPr>
            <w:tcW w:w="6411" w:type="dxa"/>
            <w:shd w:val="clear" w:color="auto" w:fill="FFFFFF" w:themeFill="background1"/>
            <w:vAlign w:val="center"/>
          </w:tcPr>
          <w:p w14:paraId="5DF04CFF" w14:textId="54526C6E" w:rsidR="00741B8F" w:rsidRPr="00F31DE6" w:rsidRDefault="00300862" w:rsidP="00E40364">
            <w:pPr>
              <w:spacing w:before="120" w:after="120"/>
              <w:jc w:val="left"/>
              <w:rPr>
                <w:rFonts w:cs="Arial"/>
              </w:rPr>
            </w:pPr>
            <w:r w:rsidRPr="00F31DE6">
              <w:rPr>
                <w:rFonts w:cs="Arial"/>
              </w:rPr>
              <w:t>They did not evaluate and identify abnormal CTG tracings and had poor cooperation and escalation timeliness</w:t>
            </w:r>
            <w:r w:rsidR="004B288B" w:rsidRPr="00F31DE6">
              <w:rPr>
                <w:rFonts w:cs="Arial"/>
              </w:rPr>
              <w:t xml:space="preserve"> (Ockenden, 2022)</w:t>
            </w:r>
            <w:r w:rsidRPr="00F31DE6">
              <w:rPr>
                <w:rFonts w:cs="Arial"/>
              </w:rPr>
              <w:t>.</w:t>
            </w:r>
          </w:p>
        </w:tc>
      </w:tr>
      <w:tr w:rsidR="00741B8F" w:rsidRPr="00F31DE6" w14:paraId="6F0578BB" w14:textId="77777777" w:rsidTr="009301D9">
        <w:tc>
          <w:tcPr>
            <w:tcW w:w="2605" w:type="dxa"/>
            <w:shd w:val="clear" w:color="auto" w:fill="FFFFFF" w:themeFill="background1"/>
            <w:vAlign w:val="center"/>
          </w:tcPr>
          <w:p w14:paraId="732EE3D0" w14:textId="6DDA5A59" w:rsidR="00741B8F" w:rsidRPr="00F31DE6" w:rsidRDefault="00741B8F" w:rsidP="00E40364">
            <w:pPr>
              <w:spacing w:before="120" w:after="120"/>
              <w:jc w:val="left"/>
              <w:rPr>
                <w:rFonts w:cs="Arial"/>
              </w:rPr>
            </w:pPr>
            <w:r w:rsidRPr="00F31DE6">
              <w:rPr>
                <w:rFonts w:cs="Arial"/>
              </w:rPr>
              <w:t>3. What was the cause of delayed escalation and tracings that were not identified?</w:t>
            </w:r>
          </w:p>
        </w:tc>
        <w:tc>
          <w:tcPr>
            <w:tcW w:w="6411" w:type="dxa"/>
            <w:shd w:val="clear" w:color="auto" w:fill="FFFFFF" w:themeFill="background1"/>
            <w:vAlign w:val="center"/>
          </w:tcPr>
          <w:p w14:paraId="68E6883D" w14:textId="5043AD49" w:rsidR="00741B8F" w:rsidRPr="00F31DE6" w:rsidRDefault="00300862" w:rsidP="00E40364">
            <w:pPr>
              <w:spacing w:before="120" w:after="120"/>
              <w:jc w:val="left"/>
              <w:rPr>
                <w:rFonts w:cs="Arial"/>
              </w:rPr>
            </w:pPr>
            <w:r w:rsidRPr="00F31DE6">
              <w:rPr>
                <w:rFonts w:cs="Arial"/>
              </w:rPr>
              <w:t>Due to the lack of staffing and sufficient training, as well as the use of old monitors.</w:t>
            </w:r>
          </w:p>
        </w:tc>
      </w:tr>
      <w:tr w:rsidR="00741B8F" w:rsidRPr="00F31DE6" w14:paraId="037E8C4C" w14:textId="77777777" w:rsidTr="009301D9">
        <w:tc>
          <w:tcPr>
            <w:tcW w:w="2605" w:type="dxa"/>
            <w:shd w:val="clear" w:color="auto" w:fill="FFFFFF" w:themeFill="background1"/>
            <w:vAlign w:val="center"/>
          </w:tcPr>
          <w:p w14:paraId="3FF57F57" w14:textId="78BA8316" w:rsidR="00741B8F" w:rsidRPr="00F31DE6" w:rsidRDefault="00741B8F" w:rsidP="00E40364">
            <w:pPr>
              <w:spacing w:before="120" w:after="120"/>
              <w:jc w:val="left"/>
              <w:rPr>
                <w:rFonts w:cs="Arial"/>
              </w:rPr>
            </w:pPr>
            <w:r w:rsidRPr="00F31DE6">
              <w:rPr>
                <w:rFonts w:cs="Arial"/>
              </w:rPr>
              <w:lastRenderedPageBreak/>
              <w:t xml:space="preserve">4. Why was there insufficient training and out-of-date equipment? </w:t>
            </w:r>
          </w:p>
        </w:tc>
        <w:tc>
          <w:tcPr>
            <w:tcW w:w="6411" w:type="dxa"/>
            <w:shd w:val="clear" w:color="auto" w:fill="FFFFFF" w:themeFill="background1"/>
            <w:vAlign w:val="center"/>
          </w:tcPr>
          <w:p w14:paraId="48230B8A" w14:textId="174F1C56" w:rsidR="00741B8F" w:rsidRPr="00F31DE6" w:rsidRDefault="00300862" w:rsidP="00E40364">
            <w:pPr>
              <w:spacing w:before="120" w:after="120"/>
              <w:jc w:val="left"/>
              <w:rPr>
                <w:rFonts w:cs="Arial"/>
              </w:rPr>
            </w:pPr>
            <w:r w:rsidRPr="00F31DE6">
              <w:rPr>
                <w:rFonts w:cs="Arial"/>
              </w:rPr>
              <w:t>Since the management failed to realise the right trend of their ineffective treatment and they could not determine what to do to avoid damage, then this pointed to a lack of leadership skills.</w:t>
            </w:r>
          </w:p>
        </w:tc>
      </w:tr>
      <w:tr w:rsidR="00741B8F" w:rsidRPr="00F31DE6" w14:paraId="167DA4DD" w14:textId="77777777" w:rsidTr="009301D9">
        <w:tc>
          <w:tcPr>
            <w:tcW w:w="2605" w:type="dxa"/>
            <w:shd w:val="clear" w:color="auto" w:fill="FFFFFF" w:themeFill="background1"/>
            <w:vAlign w:val="center"/>
          </w:tcPr>
          <w:p w14:paraId="28D8E6F3" w14:textId="02BAD2F1" w:rsidR="00741B8F" w:rsidRPr="00F31DE6" w:rsidRDefault="00741B8F" w:rsidP="00E40364">
            <w:pPr>
              <w:spacing w:before="120" w:after="120"/>
              <w:jc w:val="left"/>
              <w:rPr>
                <w:rFonts w:cs="Arial"/>
              </w:rPr>
            </w:pPr>
            <w:r w:rsidRPr="00F31DE6">
              <w:rPr>
                <w:rFonts w:cs="Arial"/>
              </w:rPr>
              <w:t>5. Why does leadership not work?</w:t>
            </w:r>
          </w:p>
        </w:tc>
        <w:tc>
          <w:tcPr>
            <w:tcW w:w="6411" w:type="dxa"/>
            <w:shd w:val="clear" w:color="auto" w:fill="FFFFFF" w:themeFill="background1"/>
            <w:vAlign w:val="center"/>
          </w:tcPr>
          <w:p w14:paraId="2420B99E" w14:textId="519996C2" w:rsidR="00741B8F" w:rsidRPr="00F31DE6" w:rsidRDefault="00300862" w:rsidP="00E40364">
            <w:pPr>
              <w:spacing w:before="120" w:after="120"/>
              <w:jc w:val="left"/>
              <w:rPr>
                <w:rFonts w:cs="Arial"/>
              </w:rPr>
            </w:pPr>
            <w:r w:rsidRPr="00F31DE6">
              <w:rPr>
                <w:rFonts w:cs="Arial"/>
              </w:rPr>
              <w:t>The maternity governance team of the trust had an undermining attitude towards serious incidents, attempted to evade external inspection, and developed a dismissive culture founded on the fear of speaking up</w:t>
            </w:r>
            <w:r w:rsidR="004B288B" w:rsidRPr="00F31DE6">
              <w:rPr>
                <w:rFonts w:cs="Arial"/>
              </w:rPr>
              <w:t xml:space="preserve"> (Ockenden, 2022)</w:t>
            </w:r>
            <w:r w:rsidRPr="00F31DE6">
              <w:rPr>
                <w:rFonts w:cs="Arial"/>
              </w:rPr>
              <w:t>.</w:t>
            </w:r>
          </w:p>
        </w:tc>
      </w:tr>
    </w:tbl>
    <w:p w14:paraId="2B3F7F76" w14:textId="4B412612" w:rsidR="00915E83" w:rsidRPr="00F31DE6" w:rsidRDefault="00915E83" w:rsidP="0095152B">
      <w:pPr>
        <w:spacing w:before="240"/>
        <w:rPr>
          <w:rFonts w:cs="Arial"/>
        </w:rPr>
      </w:pPr>
      <w:r w:rsidRPr="00F31DE6">
        <w:rPr>
          <w:rFonts w:cs="Arial"/>
        </w:rPr>
        <w:t>This RCA aligns with the Swiss Cheese Model of accident causation, which illustrates how layers of defence (Management, Workforce, Processes, Communication, Equipment, and Culture) each had "holes" or latent failures that eventually aligned to permit catastrophic harm</w:t>
      </w:r>
      <w:r w:rsidR="004B288B" w:rsidRPr="00F31DE6">
        <w:rPr>
          <w:rFonts w:cs="Arial"/>
        </w:rPr>
        <w:t xml:space="preserve"> (Wiegmann et al., 2022)</w:t>
      </w:r>
      <w:r w:rsidRPr="00F31DE6">
        <w:rPr>
          <w:rFonts w:cs="Arial"/>
        </w:rPr>
        <w:t>.</w:t>
      </w:r>
    </w:p>
    <w:p w14:paraId="6AB25DF7" w14:textId="77777777" w:rsidR="00915E83" w:rsidRPr="00F31DE6" w:rsidRDefault="00915E83" w:rsidP="00956054">
      <w:pPr>
        <w:pStyle w:val="Heading2"/>
        <w:rPr>
          <w:rFonts w:cs="Arial"/>
        </w:rPr>
      </w:pPr>
      <w:bookmarkStart w:id="12" w:name="_Toc225829423"/>
      <w:bookmarkStart w:id="13" w:name="_Toc226013488"/>
      <w:r w:rsidRPr="00F31DE6">
        <w:rPr>
          <w:rFonts w:cs="Arial"/>
        </w:rPr>
        <w:t>Strategic Planning: SWOT Analysis</w:t>
      </w:r>
      <w:bookmarkEnd w:id="12"/>
      <w:bookmarkEnd w:id="13"/>
    </w:p>
    <w:p w14:paraId="7AB3DFB9" w14:textId="26442812" w:rsidR="00E40364" w:rsidRPr="00F31DE6" w:rsidRDefault="004B288B" w:rsidP="00915E83">
      <w:pPr>
        <w:rPr>
          <w:rFonts w:cs="Arial"/>
        </w:rPr>
      </w:pPr>
      <w:r w:rsidRPr="00F31DE6">
        <w:rPr>
          <w:rFonts w:cs="Arial"/>
        </w:rPr>
        <w:t xml:space="preserve">According to </w:t>
      </w:r>
      <w:r w:rsidR="003679C5" w:rsidRPr="00F31DE6">
        <w:rPr>
          <w:rFonts w:cs="Arial"/>
        </w:rPr>
        <w:t xml:space="preserve">Gurel and Tat (2017) </w:t>
      </w:r>
      <w:r w:rsidRPr="00F31DE6">
        <w:rPr>
          <w:rFonts w:cs="Arial"/>
        </w:rPr>
        <w:t xml:space="preserve">“SWOT Analysis is a tool used for strategic planning and strategic management in organizations. It can be used effectively to build </w:t>
      </w:r>
      <w:proofErr w:type="spellStart"/>
      <w:r w:rsidRPr="00F31DE6">
        <w:rPr>
          <w:rFonts w:cs="Arial"/>
        </w:rPr>
        <w:t>organi</w:t>
      </w:r>
      <w:r w:rsidR="00E40364" w:rsidRPr="00F31DE6">
        <w:rPr>
          <w:rFonts w:cs="Arial"/>
        </w:rPr>
        <w:t>s</w:t>
      </w:r>
      <w:r w:rsidRPr="00F31DE6">
        <w:rPr>
          <w:rFonts w:cs="Arial"/>
        </w:rPr>
        <w:t>ational</w:t>
      </w:r>
      <w:proofErr w:type="spellEnd"/>
      <w:r w:rsidRPr="00F31DE6">
        <w:rPr>
          <w:rFonts w:cs="Arial"/>
        </w:rPr>
        <w:t xml:space="preserve"> strategy an</w:t>
      </w:r>
      <w:r w:rsidR="00E40364" w:rsidRPr="00F31DE6">
        <w:rPr>
          <w:rFonts w:cs="Arial"/>
        </w:rPr>
        <w:t>d</w:t>
      </w:r>
      <w:r w:rsidRPr="00F31DE6">
        <w:rPr>
          <w:rFonts w:cs="Arial"/>
        </w:rPr>
        <w:t xml:space="preserve"> competitive strategy</w:t>
      </w:r>
      <w:r w:rsidR="003679C5" w:rsidRPr="00F31DE6">
        <w:rPr>
          <w:rFonts w:cs="Arial"/>
        </w:rPr>
        <w:t>”</w:t>
      </w:r>
      <w:r w:rsidRPr="00F31DE6">
        <w:rPr>
          <w:rFonts w:cs="Arial"/>
        </w:rPr>
        <w:t xml:space="preserve">. </w:t>
      </w:r>
      <w:r w:rsidR="00300862" w:rsidRPr="00F31DE6">
        <w:rPr>
          <w:rFonts w:cs="Arial"/>
        </w:rPr>
        <w:t xml:space="preserve">A SWOT analysis must be conducted to assess the external and internal variables that influence the capacity of </w:t>
      </w:r>
      <w:proofErr w:type="spellStart"/>
      <w:r w:rsidR="00300862" w:rsidRPr="00F31DE6">
        <w:rPr>
          <w:rFonts w:cs="Arial"/>
        </w:rPr>
        <w:t>SaTH</w:t>
      </w:r>
      <w:proofErr w:type="spellEnd"/>
      <w:r w:rsidR="00300862" w:rsidRPr="00F31DE6">
        <w:rPr>
          <w:rFonts w:cs="Arial"/>
        </w:rPr>
        <w:t xml:space="preserve"> to undergo a process of reform in order to bridge the gap between analysis and strategic improvement. The SWOT analysis is as follows.</w:t>
      </w:r>
    </w:p>
    <w:tbl>
      <w:tblPr>
        <w:tblStyle w:val="TableGrid"/>
        <w:tblW w:w="9085" w:type="dxa"/>
        <w:shd w:val="clear" w:color="auto" w:fill="FFFFFF" w:themeFill="background1"/>
        <w:tblLook w:val="04A0" w:firstRow="1" w:lastRow="0" w:firstColumn="1" w:lastColumn="0" w:noHBand="0" w:noVBand="1"/>
      </w:tblPr>
      <w:tblGrid>
        <w:gridCol w:w="3775"/>
        <w:gridCol w:w="5310"/>
      </w:tblGrid>
      <w:tr w:rsidR="00E40364" w:rsidRPr="00F31DE6" w14:paraId="03831D35" w14:textId="77777777" w:rsidTr="009301D9">
        <w:tc>
          <w:tcPr>
            <w:tcW w:w="3775" w:type="dxa"/>
            <w:shd w:val="clear" w:color="auto" w:fill="FFFFFF" w:themeFill="background1"/>
            <w:vAlign w:val="center"/>
          </w:tcPr>
          <w:p w14:paraId="699DD8C5" w14:textId="1FA7E772" w:rsidR="00E40364" w:rsidRPr="00F31DE6" w:rsidRDefault="00E40364" w:rsidP="00E40364">
            <w:pPr>
              <w:spacing w:before="120" w:after="120"/>
              <w:jc w:val="center"/>
              <w:rPr>
                <w:rFonts w:cs="Arial"/>
                <w:b/>
                <w:bCs/>
              </w:rPr>
            </w:pPr>
            <w:r w:rsidRPr="00F31DE6">
              <w:rPr>
                <w:rFonts w:cs="Arial"/>
                <w:b/>
                <w:bCs/>
              </w:rPr>
              <w:t>Strength</w:t>
            </w:r>
          </w:p>
        </w:tc>
        <w:tc>
          <w:tcPr>
            <w:tcW w:w="5310" w:type="dxa"/>
            <w:shd w:val="clear" w:color="auto" w:fill="FFFFFF" w:themeFill="background1"/>
            <w:vAlign w:val="center"/>
          </w:tcPr>
          <w:p w14:paraId="6791DC0D" w14:textId="3AF31331" w:rsidR="00E40364" w:rsidRPr="00F31DE6" w:rsidRDefault="00E40364" w:rsidP="00E40364">
            <w:pPr>
              <w:spacing w:before="120" w:after="120"/>
              <w:jc w:val="center"/>
              <w:rPr>
                <w:rFonts w:cs="Arial"/>
                <w:b/>
                <w:bCs/>
              </w:rPr>
            </w:pPr>
            <w:r w:rsidRPr="00F31DE6">
              <w:rPr>
                <w:rFonts w:cs="Arial"/>
                <w:b/>
                <w:bCs/>
              </w:rPr>
              <w:t>Weaknesses</w:t>
            </w:r>
          </w:p>
        </w:tc>
      </w:tr>
      <w:tr w:rsidR="00E40364" w:rsidRPr="00F31DE6" w14:paraId="002AA44D" w14:textId="77777777" w:rsidTr="009301D9">
        <w:trPr>
          <w:trHeight w:val="4481"/>
        </w:trPr>
        <w:tc>
          <w:tcPr>
            <w:tcW w:w="3775" w:type="dxa"/>
            <w:shd w:val="clear" w:color="auto" w:fill="FFFFFF" w:themeFill="background1"/>
            <w:vAlign w:val="center"/>
          </w:tcPr>
          <w:p w14:paraId="5C0FE77B" w14:textId="62B0AD5B" w:rsidR="00E40364" w:rsidRPr="00F31DE6" w:rsidRDefault="00E40364" w:rsidP="009301D9">
            <w:pPr>
              <w:pStyle w:val="ListParagraph"/>
              <w:numPr>
                <w:ilvl w:val="0"/>
                <w:numId w:val="23"/>
              </w:numPr>
              <w:spacing w:before="120"/>
              <w:ind w:left="432"/>
              <w:jc w:val="left"/>
              <w:rPr>
                <w:rFonts w:cs="Arial"/>
              </w:rPr>
            </w:pPr>
            <w:r w:rsidRPr="00F31DE6">
              <w:rPr>
                <w:rFonts w:cs="Arial"/>
              </w:rPr>
              <w:t xml:space="preserve">As an NHS Trust, </w:t>
            </w:r>
            <w:proofErr w:type="spellStart"/>
            <w:r w:rsidRPr="00F31DE6">
              <w:rPr>
                <w:rFonts w:cs="Arial"/>
              </w:rPr>
              <w:t>SaTH</w:t>
            </w:r>
            <w:proofErr w:type="spellEnd"/>
            <w:r w:rsidRPr="00F31DE6">
              <w:rPr>
                <w:rFonts w:cs="Arial"/>
              </w:rPr>
              <w:t xml:space="preserve"> has access to national resources, </w:t>
            </w:r>
            <w:proofErr w:type="spellStart"/>
            <w:r w:rsidRPr="00F31DE6">
              <w:rPr>
                <w:rFonts w:cs="Arial"/>
              </w:rPr>
              <w:t>standardised</w:t>
            </w:r>
            <w:proofErr w:type="spellEnd"/>
            <w:r w:rsidRPr="00F31DE6">
              <w:rPr>
                <w:rFonts w:cs="Arial"/>
              </w:rPr>
              <w:t xml:space="preserve"> policy frameworks, and external regulatory oversight to support recovery</w:t>
            </w:r>
            <w:r w:rsidR="00F31DE6" w:rsidRPr="00F31DE6">
              <w:rPr>
                <w:rFonts w:cs="Arial"/>
              </w:rPr>
              <w:t xml:space="preserve"> </w:t>
            </w:r>
            <w:r w:rsidR="00F31DE6" w:rsidRPr="00F31DE6">
              <w:rPr>
                <w:rFonts w:cs="Arial"/>
              </w:rPr>
              <w:t xml:space="preserve">(Kletter </w:t>
            </w:r>
            <w:r w:rsidR="00F31DE6" w:rsidRPr="00F31DE6">
              <w:rPr>
                <w:rFonts w:cs="Arial"/>
                <w:i/>
                <w:iCs/>
              </w:rPr>
              <w:t>et al.</w:t>
            </w:r>
            <w:r w:rsidR="00F31DE6" w:rsidRPr="00F31DE6">
              <w:rPr>
                <w:rFonts w:cs="Arial"/>
              </w:rPr>
              <w:t>, 2025)</w:t>
            </w:r>
            <w:r w:rsidR="00F31DE6" w:rsidRPr="00F31DE6">
              <w:rPr>
                <w:rFonts w:cs="Arial"/>
              </w:rPr>
              <w:t>.</w:t>
            </w:r>
          </w:p>
          <w:p w14:paraId="58042B7B" w14:textId="69E3CF37" w:rsidR="00E40364" w:rsidRPr="00F31DE6" w:rsidRDefault="00E40364" w:rsidP="009301D9">
            <w:pPr>
              <w:pStyle w:val="ListParagraph"/>
              <w:numPr>
                <w:ilvl w:val="0"/>
                <w:numId w:val="22"/>
              </w:numPr>
              <w:spacing w:before="120"/>
              <w:ind w:left="432"/>
              <w:jc w:val="left"/>
              <w:rPr>
                <w:rFonts w:cs="Arial"/>
              </w:rPr>
            </w:pPr>
            <w:r w:rsidRPr="00F31DE6">
              <w:rPr>
                <w:rFonts w:cs="Arial"/>
              </w:rPr>
              <w:t xml:space="preserve">The publication of the </w:t>
            </w:r>
            <w:proofErr w:type="spellStart"/>
            <w:r w:rsidRPr="00F31DE6">
              <w:rPr>
                <w:rFonts w:cs="Arial"/>
              </w:rPr>
              <w:t>Ockenden</w:t>
            </w:r>
            <w:proofErr w:type="spellEnd"/>
            <w:r w:rsidRPr="00F31DE6">
              <w:rPr>
                <w:rFonts w:cs="Arial"/>
              </w:rPr>
              <w:t xml:space="preserve"> Report provides a clear, evidence-based roadmap for necessary improvements.</w:t>
            </w:r>
          </w:p>
        </w:tc>
        <w:tc>
          <w:tcPr>
            <w:tcW w:w="5310" w:type="dxa"/>
            <w:shd w:val="clear" w:color="auto" w:fill="FFFFFF" w:themeFill="background1"/>
            <w:vAlign w:val="center"/>
          </w:tcPr>
          <w:p w14:paraId="7BE46E70" w14:textId="24DC03B7" w:rsidR="00E40364" w:rsidRPr="00F31DE6" w:rsidRDefault="00E40364" w:rsidP="009301D9">
            <w:pPr>
              <w:pStyle w:val="ListParagraph"/>
              <w:numPr>
                <w:ilvl w:val="0"/>
                <w:numId w:val="22"/>
              </w:numPr>
              <w:spacing w:before="120"/>
              <w:ind w:left="432"/>
              <w:jc w:val="left"/>
              <w:rPr>
                <w:rFonts w:cs="Arial"/>
              </w:rPr>
            </w:pPr>
            <w:r w:rsidRPr="00F31DE6">
              <w:rPr>
                <w:rFonts w:cs="Arial"/>
              </w:rPr>
              <w:t xml:space="preserve">Weak leadership and lack of accountability significantly undermine operational effectiveness. </w:t>
            </w:r>
          </w:p>
          <w:p w14:paraId="600FCDAD" w14:textId="419D0FB9" w:rsidR="00E40364" w:rsidRPr="00F31DE6" w:rsidRDefault="00E40364" w:rsidP="009301D9">
            <w:pPr>
              <w:pStyle w:val="ListParagraph"/>
              <w:numPr>
                <w:ilvl w:val="0"/>
                <w:numId w:val="22"/>
              </w:numPr>
              <w:spacing w:before="120"/>
              <w:ind w:left="432"/>
              <w:jc w:val="left"/>
              <w:rPr>
                <w:rFonts w:cs="Arial"/>
              </w:rPr>
            </w:pPr>
            <w:r w:rsidRPr="00F31DE6">
              <w:rPr>
                <w:rFonts w:cs="Arial"/>
              </w:rPr>
              <w:t xml:space="preserve">A toxic </w:t>
            </w:r>
            <w:proofErr w:type="spellStart"/>
            <w:r w:rsidRPr="00F31DE6">
              <w:rPr>
                <w:rFonts w:cs="Arial"/>
              </w:rPr>
              <w:t>organisational</w:t>
            </w:r>
            <w:proofErr w:type="spellEnd"/>
            <w:r w:rsidRPr="00F31DE6">
              <w:rPr>
                <w:rFonts w:cs="Arial"/>
              </w:rPr>
              <w:t xml:space="preserve"> culture, with reports of bullying and staff anxiety, contradicts the workplace wellbeing principles outlined by NICE (2015). </w:t>
            </w:r>
          </w:p>
          <w:p w14:paraId="3304F47C" w14:textId="62E886E9" w:rsidR="009301D9" w:rsidRPr="009301D9" w:rsidRDefault="00E40364" w:rsidP="009301D9">
            <w:pPr>
              <w:pStyle w:val="ListParagraph"/>
              <w:numPr>
                <w:ilvl w:val="0"/>
                <w:numId w:val="22"/>
              </w:numPr>
              <w:spacing w:before="120"/>
              <w:ind w:left="432"/>
              <w:jc w:val="left"/>
              <w:rPr>
                <w:rFonts w:cs="Arial"/>
              </w:rPr>
            </w:pPr>
            <w:r w:rsidRPr="00F31DE6">
              <w:rPr>
                <w:rFonts w:cs="Arial"/>
              </w:rPr>
              <w:t xml:space="preserve">Poor communication, </w:t>
            </w:r>
            <w:proofErr w:type="spellStart"/>
            <w:r w:rsidRPr="00F31DE6">
              <w:rPr>
                <w:rFonts w:cs="Arial"/>
              </w:rPr>
              <w:t>characterised</w:t>
            </w:r>
            <w:proofErr w:type="spellEnd"/>
            <w:r w:rsidRPr="00F31DE6">
              <w:rPr>
                <w:rFonts w:cs="Arial"/>
              </w:rPr>
              <w:t xml:space="preserve"> by delayed information flow and a lack of transparency with families.</w:t>
            </w:r>
          </w:p>
        </w:tc>
      </w:tr>
    </w:tbl>
    <w:p w14:paraId="5441A938" w14:textId="77777777" w:rsidR="009301D9" w:rsidRDefault="009301D9"/>
    <w:tbl>
      <w:tblPr>
        <w:tblStyle w:val="TableGrid"/>
        <w:tblW w:w="9085" w:type="dxa"/>
        <w:shd w:val="clear" w:color="auto" w:fill="FFFFFF" w:themeFill="background1"/>
        <w:tblLook w:val="04A0" w:firstRow="1" w:lastRow="0" w:firstColumn="1" w:lastColumn="0" w:noHBand="0" w:noVBand="1"/>
      </w:tblPr>
      <w:tblGrid>
        <w:gridCol w:w="5125"/>
        <w:gridCol w:w="3960"/>
      </w:tblGrid>
      <w:tr w:rsidR="00E40364" w:rsidRPr="00F31DE6" w14:paraId="7D687C6C" w14:textId="77777777" w:rsidTr="009301D9">
        <w:tc>
          <w:tcPr>
            <w:tcW w:w="5125" w:type="dxa"/>
            <w:shd w:val="clear" w:color="auto" w:fill="FFFFFF" w:themeFill="background1"/>
            <w:vAlign w:val="center"/>
          </w:tcPr>
          <w:p w14:paraId="043A8AE5" w14:textId="77208569" w:rsidR="00E40364" w:rsidRPr="00F31DE6" w:rsidRDefault="00E40364" w:rsidP="0076614B">
            <w:pPr>
              <w:spacing w:before="120" w:after="120"/>
              <w:jc w:val="center"/>
              <w:rPr>
                <w:rFonts w:cs="Arial"/>
              </w:rPr>
            </w:pPr>
            <w:r w:rsidRPr="00F31DE6">
              <w:rPr>
                <w:rFonts w:cs="Arial"/>
                <w:b/>
                <w:bCs/>
              </w:rPr>
              <w:lastRenderedPageBreak/>
              <w:t>Opportunities</w:t>
            </w:r>
          </w:p>
        </w:tc>
        <w:tc>
          <w:tcPr>
            <w:tcW w:w="3960" w:type="dxa"/>
            <w:shd w:val="clear" w:color="auto" w:fill="FFFFFF" w:themeFill="background1"/>
            <w:vAlign w:val="center"/>
          </w:tcPr>
          <w:p w14:paraId="54EF383D" w14:textId="35AB0DF2" w:rsidR="00E40364" w:rsidRPr="00F31DE6" w:rsidRDefault="00E40364" w:rsidP="0076614B">
            <w:pPr>
              <w:spacing w:before="120" w:after="120"/>
              <w:jc w:val="center"/>
              <w:rPr>
                <w:rFonts w:cs="Arial"/>
              </w:rPr>
            </w:pPr>
            <w:r w:rsidRPr="00F31DE6">
              <w:rPr>
                <w:rFonts w:cs="Arial"/>
                <w:b/>
                <w:bCs/>
              </w:rPr>
              <w:t>Threats</w:t>
            </w:r>
          </w:p>
        </w:tc>
      </w:tr>
      <w:tr w:rsidR="00E40364" w:rsidRPr="00F31DE6" w14:paraId="2E41A8F7" w14:textId="77777777" w:rsidTr="009301D9">
        <w:trPr>
          <w:trHeight w:val="4589"/>
        </w:trPr>
        <w:tc>
          <w:tcPr>
            <w:tcW w:w="5125" w:type="dxa"/>
            <w:shd w:val="clear" w:color="auto" w:fill="FFFFFF" w:themeFill="background1"/>
            <w:vAlign w:val="center"/>
          </w:tcPr>
          <w:p w14:paraId="4A7AA637" w14:textId="77777777" w:rsidR="006E6866" w:rsidRPr="00F31DE6" w:rsidRDefault="006E6866" w:rsidP="009301D9">
            <w:pPr>
              <w:pStyle w:val="ListParagraph"/>
              <w:numPr>
                <w:ilvl w:val="0"/>
                <w:numId w:val="24"/>
              </w:numPr>
              <w:spacing w:before="120" w:after="120"/>
              <w:ind w:left="432"/>
              <w:jc w:val="left"/>
              <w:rPr>
                <w:rFonts w:cs="Arial"/>
              </w:rPr>
            </w:pPr>
            <w:r w:rsidRPr="00F31DE6">
              <w:rPr>
                <w:rFonts w:cs="Arial"/>
              </w:rPr>
              <w:t>Potential for a comprehensive overhaul of clinical governance through alignment with national frameworks.</w:t>
            </w:r>
          </w:p>
          <w:p w14:paraId="5E47569C" w14:textId="77777777" w:rsidR="006E6866" w:rsidRPr="00F31DE6" w:rsidRDefault="006E6866" w:rsidP="009301D9">
            <w:pPr>
              <w:pStyle w:val="ListParagraph"/>
              <w:numPr>
                <w:ilvl w:val="0"/>
                <w:numId w:val="24"/>
              </w:numPr>
              <w:spacing w:before="120" w:after="120"/>
              <w:ind w:left="432"/>
              <w:jc w:val="left"/>
              <w:rPr>
                <w:rFonts w:cs="Arial"/>
              </w:rPr>
            </w:pPr>
            <w:r w:rsidRPr="00F31DE6">
              <w:rPr>
                <w:rFonts w:cs="Arial"/>
              </w:rPr>
              <w:t>Adoption of the Care Quality Commission (CQC) inclusive leadership approach to enhance innovation, risk management, and staff wellbeing (CQC, 2024).</w:t>
            </w:r>
          </w:p>
          <w:p w14:paraId="250CADA5" w14:textId="58F1BA9E" w:rsidR="00E40364" w:rsidRPr="00F31DE6" w:rsidRDefault="006E6866" w:rsidP="009301D9">
            <w:pPr>
              <w:pStyle w:val="ListParagraph"/>
              <w:numPr>
                <w:ilvl w:val="0"/>
                <w:numId w:val="24"/>
              </w:numPr>
              <w:spacing w:before="120" w:after="120"/>
              <w:ind w:left="432"/>
              <w:jc w:val="left"/>
              <w:rPr>
                <w:rFonts w:cs="Arial"/>
              </w:rPr>
            </w:pPr>
            <w:r w:rsidRPr="00F31DE6">
              <w:rPr>
                <w:rFonts w:cs="Arial"/>
              </w:rPr>
              <w:t>Integration of the Emergency Preparedness, Resilience and Response (EPRR) framework to improve risk identification and emergency responsiveness</w:t>
            </w:r>
            <w:r w:rsidR="00F31DE6" w:rsidRPr="00F31DE6">
              <w:rPr>
                <w:rFonts w:cs="Arial"/>
              </w:rPr>
              <w:t xml:space="preserve"> </w:t>
            </w:r>
            <w:r w:rsidR="00F31DE6" w:rsidRPr="00F31DE6">
              <w:rPr>
                <w:rFonts w:cs="Arial"/>
              </w:rPr>
              <w:t xml:space="preserve">(Doughty </w:t>
            </w:r>
            <w:r w:rsidR="00F31DE6" w:rsidRPr="00F31DE6">
              <w:rPr>
                <w:rFonts w:cs="Arial"/>
                <w:i/>
                <w:iCs/>
              </w:rPr>
              <w:t>et al.</w:t>
            </w:r>
            <w:r w:rsidR="00F31DE6" w:rsidRPr="00F31DE6">
              <w:rPr>
                <w:rFonts w:cs="Arial"/>
              </w:rPr>
              <w:t>, 2020)</w:t>
            </w:r>
            <w:r w:rsidR="00F31DE6" w:rsidRPr="00F31DE6">
              <w:rPr>
                <w:rFonts w:cs="Arial"/>
              </w:rPr>
              <w:t>.</w:t>
            </w:r>
          </w:p>
        </w:tc>
        <w:tc>
          <w:tcPr>
            <w:tcW w:w="3960" w:type="dxa"/>
            <w:shd w:val="clear" w:color="auto" w:fill="FFFFFF" w:themeFill="background1"/>
            <w:vAlign w:val="center"/>
          </w:tcPr>
          <w:p w14:paraId="490A6CA5" w14:textId="25367AEE" w:rsidR="006E6866" w:rsidRPr="00F31DE6" w:rsidRDefault="006E6866" w:rsidP="009301D9">
            <w:pPr>
              <w:pStyle w:val="ListParagraph"/>
              <w:numPr>
                <w:ilvl w:val="0"/>
                <w:numId w:val="24"/>
              </w:numPr>
              <w:spacing w:before="120" w:after="120"/>
              <w:ind w:left="432"/>
              <w:jc w:val="left"/>
              <w:rPr>
                <w:rFonts w:cs="Arial"/>
              </w:rPr>
            </w:pPr>
            <w:r w:rsidRPr="00F31DE6">
              <w:rPr>
                <w:rFonts w:cs="Arial"/>
              </w:rPr>
              <w:t>Significant reputational damage and loss of public trust due to historical failures in care</w:t>
            </w:r>
            <w:r w:rsidR="00F31DE6" w:rsidRPr="00F31DE6">
              <w:rPr>
                <w:rFonts w:cs="Arial"/>
              </w:rPr>
              <w:t xml:space="preserve"> </w:t>
            </w:r>
            <w:r w:rsidR="00F31DE6" w:rsidRPr="00F31DE6">
              <w:rPr>
                <w:rFonts w:cs="Arial"/>
              </w:rPr>
              <w:t xml:space="preserve">(Griffith </w:t>
            </w:r>
            <w:r w:rsidR="00F31DE6" w:rsidRPr="00F31DE6">
              <w:rPr>
                <w:rFonts w:cs="Arial"/>
                <w:i/>
                <w:iCs/>
              </w:rPr>
              <w:t>et al.</w:t>
            </w:r>
            <w:r w:rsidR="00F31DE6" w:rsidRPr="00F31DE6">
              <w:rPr>
                <w:rFonts w:cs="Arial"/>
              </w:rPr>
              <w:t>, 2020)</w:t>
            </w:r>
            <w:r w:rsidR="00F31DE6" w:rsidRPr="00F31DE6">
              <w:rPr>
                <w:rFonts w:cs="Arial"/>
              </w:rPr>
              <w:t>.</w:t>
            </w:r>
          </w:p>
          <w:p w14:paraId="603413F9" w14:textId="77777777" w:rsidR="006E6866" w:rsidRPr="00F31DE6" w:rsidRDefault="006E6866" w:rsidP="009301D9">
            <w:pPr>
              <w:pStyle w:val="ListParagraph"/>
              <w:numPr>
                <w:ilvl w:val="0"/>
                <w:numId w:val="24"/>
              </w:numPr>
              <w:spacing w:before="120" w:after="120"/>
              <w:ind w:left="432"/>
              <w:jc w:val="left"/>
              <w:rPr>
                <w:rFonts w:cs="Arial"/>
              </w:rPr>
            </w:pPr>
            <w:r w:rsidRPr="00F31DE6">
              <w:rPr>
                <w:rFonts w:cs="Arial"/>
              </w:rPr>
              <w:t>Ongoing legal risks, including potential medical negligence claims.</w:t>
            </w:r>
          </w:p>
          <w:p w14:paraId="726E5A32" w14:textId="4F35DB8A" w:rsidR="00E40364" w:rsidRPr="00F31DE6" w:rsidRDefault="006E6866" w:rsidP="009301D9">
            <w:pPr>
              <w:pStyle w:val="ListParagraph"/>
              <w:numPr>
                <w:ilvl w:val="0"/>
                <w:numId w:val="24"/>
              </w:numPr>
              <w:spacing w:before="120" w:after="120"/>
              <w:ind w:left="432"/>
              <w:jc w:val="left"/>
              <w:rPr>
                <w:rFonts w:cs="Arial"/>
              </w:rPr>
            </w:pPr>
            <w:r w:rsidRPr="00F31DE6">
              <w:rPr>
                <w:rFonts w:cs="Arial"/>
              </w:rPr>
              <w:t>Continued financial and operational pressure arising from regulatory scrutiny and repeated investigations.</w:t>
            </w:r>
          </w:p>
        </w:tc>
      </w:tr>
    </w:tbl>
    <w:p w14:paraId="24ECB662" w14:textId="77777777" w:rsidR="00E56597" w:rsidRPr="00F31DE6" w:rsidRDefault="00915E83" w:rsidP="00CE46D9">
      <w:pPr>
        <w:pStyle w:val="Heading3"/>
        <w:rPr>
          <w:rFonts w:cs="Arial"/>
        </w:rPr>
      </w:pPr>
      <w:bookmarkStart w:id="14" w:name="_Toc225829424"/>
      <w:bookmarkStart w:id="15" w:name="_Toc226013489"/>
      <w:r w:rsidRPr="00F31DE6">
        <w:rPr>
          <w:rFonts w:cs="Arial"/>
        </w:rPr>
        <w:t>Policy and Benchmarking Gaps</w:t>
      </w:r>
      <w:bookmarkEnd w:id="14"/>
      <w:bookmarkEnd w:id="15"/>
    </w:p>
    <w:p w14:paraId="0BE42EA8" w14:textId="7050248B" w:rsidR="00E56597" w:rsidRPr="00F31DE6" w:rsidRDefault="00E56597" w:rsidP="0076614B">
      <w:pPr>
        <w:rPr>
          <w:rFonts w:cs="Arial"/>
        </w:rPr>
      </w:pPr>
      <w:r w:rsidRPr="00F31DE6">
        <w:rPr>
          <w:rFonts w:cs="Arial"/>
        </w:rPr>
        <w:t>The above identified root causes are enhanced by a structural incapacity to benchmark against healthcare policies. The National clinical guidelines (NICE) expressly require the evaluation of foetal heart rate, maternal blood pressure and hypertension management</w:t>
      </w:r>
      <w:r w:rsidR="004A48F8" w:rsidRPr="00F31DE6">
        <w:rPr>
          <w:rFonts w:cs="Arial"/>
        </w:rPr>
        <w:t xml:space="preserve"> (NICE, 2019)</w:t>
      </w:r>
      <w:r w:rsidRPr="00F31DE6">
        <w:rPr>
          <w:rFonts w:cs="Arial"/>
        </w:rPr>
        <w:t xml:space="preserve">. These protocols were regularly not adhered to by </w:t>
      </w:r>
      <w:proofErr w:type="spellStart"/>
      <w:r w:rsidRPr="00F31DE6">
        <w:rPr>
          <w:rFonts w:cs="Arial"/>
        </w:rPr>
        <w:t>SaTH</w:t>
      </w:r>
      <w:proofErr w:type="spellEnd"/>
      <w:r w:rsidRPr="00F31DE6">
        <w:rPr>
          <w:rFonts w:cs="Arial"/>
        </w:rPr>
        <w:t xml:space="preserve"> staff</w:t>
      </w:r>
      <w:r w:rsidR="004A48F8" w:rsidRPr="00F31DE6">
        <w:rPr>
          <w:rFonts w:cs="Arial"/>
        </w:rPr>
        <w:t xml:space="preserve"> (</w:t>
      </w:r>
      <w:proofErr w:type="spellStart"/>
      <w:r w:rsidR="004A48F8" w:rsidRPr="00F31DE6">
        <w:rPr>
          <w:rFonts w:cs="Arial"/>
        </w:rPr>
        <w:t>Ockenden</w:t>
      </w:r>
      <w:proofErr w:type="spellEnd"/>
      <w:r w:rsidR="004A48F8" w:rsidRPr="00F31DE6">
        <w:rPr>
          <w:rFonts w:cs="Arial"/>
        </w:rPr>
        <w:t>, 2022)</w:t>
      </w:r>
      <w:r w:rsidRPr="00F31DE6">
        <w:rPr>
          <w:rFonts w:cs="Arial"/>
        </w:rPr>
        <w:t xml:space="preserve">. Also, MBRRACE-UK is an audit guideline which stipulates that every hospital should investigate and review the maternal and neonatal deaths to improve the quality of care provided; but </w:t>
      </w:r>
      <w:proofErr w:type="spellStart"/>
      <w:r w:rsidRPr="00F31DE6">
        <w:rPr>
          <w:rFonts w:cs="Arial"/>
        </w:rPr>
        <w:t>SaTH</w:t>
      </w:r>
      <w:proofErr w:type="spellEnd"/>
      <w:r w:rsidRPr="00F31DE6">
        <w:rPr>
          <w:rFonts w:cs="Arial"/>
        </w:rPr>
        <w:t xml:space="preserve"> never did so, which indicated that it was unable to sustain clinical governance</w:t>
      </w:r>
      <w:r w:rsidR="004A48F8" w:rsidRPr="00F31DE6">
        <w:rPr>
          <w:rFonts w:cs="Arial"/>
        </w:rPr>
        <w:t xml:space="preserve"> (Ockenden, 2022)</w:t>
      </w:r>
      <w:r w:rsidRPr="00F31DE6">
        <w:rPr>
          <w:rFonts w:cs="Arial"/>
        </w:rPr>
        <w:t>.</w:t>
      </w:r>
    </w:p>
    <w:p w14:paraId="714D89D9" w14:textId="77777777" w:rsidR="00915E83" w:rsidRPr="00F31DE6" w:rsidRDefault="00915E83" w:rsidP="0076614B">
      <w:pPr>
        <w:pStyle w:val="Heading1"/>
        <w:spacing w:before="120"/>
        <w:rPr>
          <w:rFonts w:cs="Arial"/>
        </w:rPr>
      </w:pPr>
      <w:bookmarkStart w:id="16" w:name="_Toc225829425"/>
      <w:bookmarkStart w:id="17" w:name="_Toc226013490"/>
      <w:r w:rsidRPr="00F31DE6">
        <w:rPr>
          <w:rFonts w:cs="Arial"/>
        </w:rPr>
        <w:t>Recommendation</w:t>
      </w:r>
      <w:bookmarkEnd w:id="16"/>
      <w:bookmarkEnd w:id="17"/>
    </w:p>
    <w:p w14:paraId="0F39CEBD" w14:textId="4175697C" w:rsidR="004E7A93" w:rsidRPr="00F31DE6" w:rsidRDefault="004E7A93" w:rsidP="00915E83">
      <w:pPr>
        <w:rPr>
          <w:rFonts w:cs="Arial"/>
        </w:rPr>
      </w:pPr>
      <w:r w:rsidRPr="00F31DE6">
        <w:rPr>
          <w:rFonts w:cs="Arial"/>
        </w:rPr>
        <w:t>The deep structural, procedural and cultural failures at the Shrewsbury and Telford Hospital NHS Trust needs a multi</w:t>
      </w:r>
      <w:r w:rsidR="0095152B" w:rsidRPr="00F31DE6">
        <w:rPr>
          <w:rFonts w:cs="Arial"/>
        </w:rPr>
        <w:t>-</w:t>
      </w:r>
      <w:r w:rsidRPr="00F31DE6">
        <w:rPr>
          <w:rFonts w:cs="Arial"/>
        </w:rPr>
        <w:t xml:space="preserve">faceted implementation plan. To address the systemic problems that the Ockenden report has identified, incremental changes will not be enough. Rather, </w:t>
      </w:r>
      <w:proofErr w:type="spellStart"/>
      <w:r w:rsidRPr="00F31DE6">
        <w:rPr>
          <w:rFonts w:cs="Arial"/>
        </w:rPr>
        <w:t>SaTH</w:t>
      </w:r>
      <w:proofErr w:type="spellEnd"/>
      <w:r w:rsidRPr="00F31DE6">
        <w:rPr>
          <w:rFonts w:cs="Arial"/>
        </w:rPr>
        <w:t xml:space="preserve"> needs to implement vigorous, unremitting quality improvement techniques</w:t>
      </w:r>
      <w:r w:rsidR="00560A44" w:rsidRPr="00F31DE6">
        <w:rPr>
          <w:rFonts w:cs="Arial"/>
        </w:rPr>
        <w:t xml:space="preserve"> as high standards for quality and safety needs to be adhered to in the healthcare industry since subpar care causes harm and death</w:t>
      </w:r>
      <w:r w:rsidR="00FD745D" w:rsidRPr="00F31DE6">
        <w:rPr>
          <w:rFonts w:cs="Arial"/>
        </w:rPr>
        <w:t xml:space="preserve"> (Jha et al., 2013)</w:t>
      </w:r>
      <w:r w:rsidRPr="00F31DE6">
        <w:rPr>
          <w:rFonts w:cs="Arial"/>
        </w:rPr>
        <w:t>. The recommendations, which follow, are supported with the proven operational tools: PDSA (Plan-Do-Study-Act), Lean principles, and Six Sigma.</w:t>
      </w:r>
    </w:p>
    <w:p w14:paraId="62534806" w14:textId="77777777" w:rsidR="004E7A93" w:rsidRPr="00F31DE6" w:rsidRDefault="00915E83" w:rsidP="0076614B">
      <w:pPr>
        <w:pStyle w:val="Heading2"/>
        <w:jc w:val="left"/>
        <w:rPr>
          <w:rFonts w:cs="Arial"/>
        </w:rPr>
      </w:pPr>
      <w:bookmarkStart w:id="18" w:name="_Toc225829426"/>
      <w:bookmarkStart w:id="19" w:name="_Toc226013491"/>
      <w:r w:rsidRPr="00F31DE6">
        <w:rPr>
          <w:rFonts w:cs="Arial"/>
        </w:rPr>
        <w:lastRenderedPageBreak/>
        <w:t>Recommendation 1: Overhauling Clinical Governance and Incident Reporting via PDSA</w:t>
      </w:r>
      <w:bookmarkEnd w:id="18"/>
      <w:bookmarkEnd w:id="19"/>
      <w:r w:rsidRPr="00F31DE6">
        <w:rPr>
          <w:rFonts w:cs="Arial"/>
        </w:rPr>
        <w:t xml:space="preserve"> </w:t>
      </w:r>
    </w:p>
    <w:p w14:paraId="2F5B5F81" w14:textId="35519F77" w:rsidR="00956054" w:rsidRPr="00F31DE6" w:rsidRDefault="004E7A93" w:rsidP="00956054">
      <w:pPr>
        <w:rPr>
          <w:rFonts w:cs="Arial"/>
        </w:rPr>
      </w:pPr>
      <w:r w:rsidRPr="00F31DE6">
        <w:rPr>
          <w:rFonts w:cs="Arial"/>
        </w:rPr>
        <w:t xml:space="preserve">The lack of ability to investigate and enhance its care system was the most apparent process failure at </w:t>
      </w:r>
      <w:proofErr w:type="spellStart"/>
      <w:r w:rsidRPr="00F31DE6">
        <w:rPr>
          <w:rFonts w:cs="Arial"/>
        </w:rPr>
        <w:t>SaTH</w:t>
      </w:r>
      <w:proofErr w:type="spellEnd"/>
      <w:r w:rsidRPr="00F31DE6">
        <w:rPr>
          <w:rFonts w:cs="Arial"/>
        </w:rPr>
        <w:t>, and maternity governance teams were actively disdaining severe incidents</w:t>
      </w:r>
      <w:r w:rsidR="00C7620E" w:rsidRPr="00F31DE6">
        <w:rPr>
          <w:rFonts w:cs="Arial"/>
        </w:rPr>
        <w:t xml:space="preserve"> (BBC, 2022)</w:t>
      </w:r>
      <w:r w:rsidRPr="00F31DE6">
        <w:rPr>
          <w:rFonts w:cs="Arial"/>
        </w:rPr>
        <w:t xml:space="preserve">. To address this, </w:t>
      </w:r>
      <w:proofErr w:type="spellStart"/>
      <w:r w:rsidRPr="00F31DE6">
        <w:rPr>
          <w:rFonts w:cs="Arial"/>
        </w:rPr>
        <w:t>SaTH</w:t>
      </w:r>
      <w:proofErr w:type="spellEnd"/>
      <w:r w:rsidRPr="00F31DE6">
        <w:rPr>
          <w:rFonts w:cs="Arial"/>
        </w:rPr>
        <w:t xml:space="preserve"> should introduce a stringent, open and non-punitive reporting mechanism on incidences that is compliant with the MBRRACE-UK auditing protocols.</w:t>
      </w:r>
      <w:r w:rsidR="00956054" w:rsidRPr="00F31DE6">
        <w:rPr>
          <w:rFonts w:cs="Arial"/>
        </w:rPr>
        <w:t xml:space="preserve"> To carry out this structural change in an iterative way, the PDSA cycle</w:t>
      </w:r>
      <w:r w:rsidR="00C7620E" w:rsidRPr="00F31DE6">
        <w:rPr>
          <w:rFonts w:cs="Arial"/>
        </w:rPr>
        <w:t xml:space="preserve"> for quality improvement that emphasizes on learning</w:t>
      </w:r>
      <w:r w:rsidR="00956054" w:rsidRPr="00F31DE6">
        <w:rPr>
          <w:rFonts w:cs="Arial"/>
        </w:rPr>
        <w:t xml:space="preserve"> is the most appropriate</w:t>
      </w:r>
      <w:r w:rsidR="00C7620E" w:rsidRPr="00F31DE6">
        <w:rPr>
          <w:rFonts w:cs="Arial"/>
        </w:rPr>
        <w:t xml:space="preserve"> (</w:t>
      </w:r>
      <w:proofErr w:type="spellStart"/>
      <w:r w:rsidR="00C7620E" w:rsidRPr="00F31DE6">
        <w:rPr>
          <w:rFonts w:cs="Arial"/>
        </w:rPr>
        <w:t>Bugnitz</w:t>
      </w:r>
      <w:proofErr w:type="spellEnd"/>
      <w:r w:rsidR="00C7620E" w:rsidRPr="00F31DE6">
        <w:rPr>
          <w:rFonts w:cs="Arial"/>
        </w:rPr>
        <w:t xml:space="preserve"> and Sandberg, 2025). The next section provides a recommended PDSA cycle:</w:t>
      </w:r>
    </w:p>
    <w:p w14:paraId="790224FB" w14:textId="4D281F33" w:rsidR="00956054" w:rsidRPr="00F31DE6" w:rsidRDefault="00956054" w:rsidP="00956054">
      <w:pPr>
        <w:pStyle w:val="ListParagraph"/>
        <w:numPr>
          <w:ilvl w:val="0"/>
          <w:numId w:val="7"/>
        </w:numPr>
        <w:rPr>
          <w:rFonts w:cs="Arial"/>
        </w:rPr>
      </w:pPr>
      <w:r w:rsidRPr="00F31DE6">
        <w:rPr>
          <w:rFonts w:cs="Arial"/>
          <w:b/>
          <w:bCs/>
        </w:rPr>
        <w:t>Plan:</w:t>
      </w:r>
      <w:r w:rsidRPr="00F31DE6">
        <w:rPr>
          <w:rFonts w:cs="Arial"/>
        </w:rPr>
        <w:t xml:space="preserve"> Leadership should compose a new, compulsory reporting policy, in which all adverse events, maternal deaths or injuries to the neonate would be automatically recorded to a central system, under external audit. The plan should put in place a special clinical governance committee to look at such reports on a weekly basis, eliminating the influence of the local management to shirk outside scrutiny.</w:t>
      </w:r>
    </w:p>
    <w:p w14:paraId="6251B6DB" w14:textId="227E469C" w:rsidR="00956054" w:rsidRPr="00F31DE6" w:rsidRDefault="00956054" w:rsidP="0076614B">
      <w:pPr>
        <w:pStyle w:val="ListParagraph"/>
        <w:numPr>
          <w:ilvl w:val="0"/>
          <w:numId w:val="7"/>
        </w:numPr>
        <w:rPr>
          <w:rFonts w:cs="Arial"/>
        </w:rPr>
      </w:pPr>
      <w:r w:rsidRPr="00F31DE6">
        <w:rPr>
          <w:rFonts w:cs="Arial"/>
          <w:b/>
          <w:bCs/>
        </w:rPr>
        <w:t>Do:</w:t>
      </w:r>
      <w:r w:rsidRPr="00F31DE6">
        <w:rPr>
          <w:rFonts w:cs="Arial"/>
        </w:rPr>
        <w:t xml:space="preserve"> </w:t>
      </w:r>
      <w:proofErr w:type="spellStart"/>
      <w:r w:rsidR="00C7620E" w:rsidRPr="00F31DE6">
        <w:rPr>
          <w:rFonts w:cs="Arial"/>
        </w:rPr>
        <w:t>SaTH</w:t>
      </w:r>
      <w:proofErr w:type="spellEnd"/>
      <w:r w:rsidR="00C7620E" w:rsidRPr="00F31DE6">
        <w:rPr>
          <w:rFonts w:cs="Arial"/>
        </w:rPr>
        <w:t xml:space="preserve"> should i</w:t>
      </w:r>
      <w:r w:rsidRPr="00F31DE6">
        <w:rPr>
          <w:rFonts w:cs="Arial"/>
        </w:rPr>
        <w:t xml:space="preserve">mplement </w:t>
      </w:r>
      <w:r w:rsidR="00C7620E" w:rsidRPr="00F31DE6">
        <w:rPr>
          <w:rFonts w:cs="Arial"/>
        </w:rPr>
        <w:t>a</w:t>
      </w:r>
      <w:r w:rsidRPr="00F31DE6">
        <w:rPr>
          <w:rFonts w:cs="Arial"/>
        </w:rPr>
        <w:t xml:space="preserve"> new reporting system in one pilot programme in one maternity ward. At the same time, launch an aggressive staff education on system usage, so that they can know that reporting is a patient safety act, and is not an invitation to disciplinary measure</w:t>
      </w:r>
      <w:r w:rsidR="0076614B" w:rsidRPr="00F31DE6">
        <w:rPr>
          <w:rFonts w:cs="Arial"/>
        </w:rPr>
        <w:t xml:space="preserve"> </w:t>
      </w:r>
      <w:r w:rsidR="0076614B" w:rsidRPr="00F31DE6">
        <w:rPr>
          <w:rFonts w:cs="Arial"/>
        </w:rPr>
        <w:t>(</w:t>
      </w:r>
      <w:proofErr w:type="spellStart"/>
      <w:r w:rsidR="0076614B" w:rsidRPr="00F31DE6">
        <w:rPr>
          <w:rFonts w:cs="Arial"/>
        </w:rPr>
        <w:t>Forkuo</w:t>
      </w:r>
      <w:proofErr w:type="spellEnd"/>
      <w:r w:rsidR="0076614B" w:rsidRPr="00F31DE6">
        <w:rPr>
          <w:rFonts w:cs="Arial"/>
        </w:rPr>
        <w:t xml:space="preserve">-Minka, Kumah and </w:t>
      </w:r>
      <w:proofErr w:type="spellStart"/>
      <w:r w:rsidR="0076614B" w:rsidRPr="00F31DE6">
        <w:rPr>
          <w:rFonts w:cs="Arial"/>
        </w:rPr>
        <w:t>Asomaning</w:t>
      </w:r>
      <w:proofErr w:type="spellEnd"/>
      <w:r w:rsidR="0076614B" w:rsidRPr="00F31DE6">
        <w:rPr>
          <w:rFonts w:cs="Arial"/>
        </w:rPr>
        <w:t>, 2024)</w:t>
      </w:r>
      <w:r w:rsidR="0076614B" w:rsidRPr="00F31DE6">
        <w:rPr>
          <w:rFonts w:cs="Arial"/>
        </w:rPr>
        <w:t>.</w:t>
      </w:r>
    </w:p>
    <w:p w14:paraId="73E0CB31" w14:textId="54182BC4" w:rsidR="00956054" w:rsidRPr="00F31DE6" w:rsidRDefault="00956054" w:rsidP="00956054">
      <w:pPr>
        <w:pStyle w:val="ListParagraph"/>
        <w:numPr>
          <w:ilvl w:val="0"/>
          <w:numId w:val="7"/>
        </w:numPr>
        <w:rPr>
          <w:rFonts w:cs="Arial"/>
        </w:rPr>
      </w:pPr>
      <w:r w:rsidRPr="00F31DE6">
        <w:rPr>
          <w:rFonts w:cs="Arial"/>
          <w:b/>
          <w:bCs/>
        </w:rPr>
        <w:t>Study:</w:t>
      </w:r>
      <w:r w:rsidRPr="00F31DE6">
        <w:rPr>
          <w:rFonts w:cs="Arial"/>
        </w:rPr>
        <w:t xml:space="preserve"> Analyse the data after 30 days</w:t>
      </w:r>
      <w:r w:rsidR="00C7620E" w:rsidRPr="00F31DE6">
        <w:rPr>
          <w:rFonts w:cs="Arial"/>
        </w:rPr>
        <w:t xml:space="preserve"> to find out whether</w:t>
      </w:r>
      <w:r w:rsidRPr="00F31DE6">
        <w:rPr>
          <w:rFonts w:cs="Arial"/>
        </w:rPr>
        <w:t xml:space="preserve"> there </w:t>
      </w:r>
      <w:r w:rsidR="00C7620E" w:rsidRPr="00F31DE6">
        <w:rPr>
          <w:rFonts w:cs="Arial"/>
        </w:rPr>
        <w:t xml:space="preserve">is </w:t>
      </w:r>
      <w:r w:rsidRPr="00F31DE6">
        <w:rPr>
          <w:rFonts w:cs="Arial"/>
        </w:rPr>
        <w:t>an increase in incident reports</w:t>
      </w:r>
      <w:r w:rsidR="00C7620E" w:rsidRPr="00F31DE6">
        <w:rPr>
          <w:rFonts w:cs="Arial"/>
        </w:rPr>
        <w:t xml:space="preserve">. </w:t>
      </w:r>
      <w:r w:rsidRPr="00F31DE6">
        <w:rPr>
          <w:rFonts w:cs="Arial"/>
        </w:rPr>
        <w:t>(The increase at the beginning will show that there was a successful cultural change that went towards transparency). Are the near-misses being identified and reported by staff appropriately? The frontline staff should be asked to provide feedback on the usability of the reporting tool.</w:t>
      </w:r>
    </w:p>
    <w:p w14:paraId="40D52057" w14:textId="4874648A" w:rsidR="00956054" w:rsidRPr="00F31DE6" w:rsidRDefault="00956054" w:rsidP="00956054">
      <w:pPr>
        <w:pStyle w:val="ListParagraph"/>
        <w:numPr>
          <w:ilvl w:val="0"/>
          <w:numId w:val="7"/>
        </w:numPr>
        <w:rPr>
          <w:rFonts w:cs="Arial"/>
        </w:rPr>
      </w:pPr>
      <w:r w:rsidRPr="00F31DE6">
        <w:rPr>
          <w:rFonts w:cs="Arial"/>
          <w:b/>
          <w:bCs/>
        </w:rPr>
        <w:t>Act:</w:t>
      </w:r>
      <w:r w:rsidRPr="00F31DE6">
        <w:rPr>
          <w:rFonts w:cs="Arial"/>
        </w:rPr>
        <w:t xml:space="preserve"> Depending on the pilot success, </w:t>
      </w:r>
      <w:r w:rsidR="00C7620E" w:rsidRPr="00F31DE6">
        <w:rPr>
          <w:rFonts w:cs="Arial"/>
        </w:rPr>
        <w:t xml:space="preserve">it should </w:t>
      </w:r>
      <w:r w:rsidRPr="00F31DE6">
        <w:rPr>
          <w:rFonts w:cs="Arial"/>
        </w:rPr>
        <w:t>modify the protocol accordingly, such as streamlining the digital interface, to save time, and implement the required system systemwide in the trust. This forms an ongoing cycle of education and responsibility, and this is the direct battle against the past failure to investigate stillbirths and deaths in newborns.</w:t>
      </w:r>
    </w:p>
    <w:p w14:paraId="08D54C14" w14:textId="77777777" w:rsidR="00956054" w:rsidRPr="00F31DE6" w:rsidRDefault="00915E83" w:rsidP="0076614B">
      <w:pPr>
        <w:pStyle w:val="Heading2"/>
        <w:jc w:val="left"/>
        <w:rPr>
          <w:rFonts w:cs="Arial"/>
        </w:rPr>
      </w:pPr>
      <w:bookmarkStart w:id="20" w:name="_Toc225829427"/>
      <w:bookmarkStart w:id="21" w:name="_Toc226013492"/>
      <w:r w:rsidRPr="00F31DE6">
        <w:rPr>
          <w:rFonts w:cs="Arial"/>
        </w:rPr>
        <w:t>Recommendation 2: Cultural Transformation and Communication using Lean Principles</w:t>
      </w:r>
      <w:bookmarkEnd w:id="20"/>
      <w:bookmarkEnd w:id="21"/>
      <w:r w:rsidRPr="00F31DE6">
        <w:rPr>
          <w:rFonts w:cs="Arial"/>
        </w:rPr>
        <w:t xml:space="preserve"> </w:t>
      </w:r>
    </w:p>
    <w:p w14:paraId="7AB193AB" w14:textId="653F952B" w:rsidR="00956054" w:rsidRPr="00F31DE6" w:rsidRDefault="00956054" w:rsidP="00915E83">
      <w:pPr>
        <w:rPr>
          <w:rFonts w:cs="Arial"/>
        </w:rPr>
      </w:pPr>
      <w:r w:rsidRPr="00F31DE6">
        <w:rPr>
          <w:rFonts w:cs="Arial"/>
        </w:rPr>
        <w:t xml:space="preserve">It was reported that the culture at </w:t>
      </w:r>
      <w:proofErr w:type="spellStart"/>
      <w:r w:rsidRPr="00F31DE6">
        <w:rPr>
          <w:rFonts w:cs="Arial"/>
        </w:rPr>
        <w:t>SaTH</w:t>
      </w:r>
      <w:proofErr w:type="spellEnd"/>
      <w:r w:rsidRPr="00F31DE6">
        <w:rPr>
          <w:rFonts w:cs="Arial"/>
        </w:rPr>
        <w:t xml:space="preserve"> was one of dismissiveness, where staff reported being bullied and anxious, and families were blamed in case of omissions in care</w:t>
      </w:r>
      <w:r w:rsidR="00C7620E" w:rsidRPr="00F31DE6">
        <w:rPr>
          <w:rFonts w:cs="Arial"/>
        </w:rPr>
        <w:t xml:space="preserve"> (BBC, 2022)</w:t>
      </w:r>
      <w:r w:rsidRPr="00F31DE6">
        <w:rPr>
          <w:rFonts w:cs="Arial"/>
        </w:rPr>
        <w:t xml:space="preserve">. In addition, poor health outcomes were created by poor communication and late updates. Originally based on manufacturing, lean methodology aims at maximising value by removing what is termed as waste, which, in the health care environment, can be viewed as wasted time </w:t>
      </w:r>
      <w:r w:rsidRPr="00F31DE6">
        <w:rPr>
          <w:rFonts w:cs="Arial"/>
        </w:rPr>
        <w:lastRenderedPageBreak/>
        <w:t>(delays in care), wasted motion, and the systemic waste of a toxic, uncommunicative culture</w:t>
      </w:r>
      <w:r w:rsidR="00C7620E" w:rsidRPr="00F31DE6">
        <w:rPr>
          <w:rFonts w:cs="Arial"/>
        </w:rPr>
        <w:t xml:space="preserve"> (</w:t>
      </w:r>
      <w:proofErr w:type="spellStart"/>
      <w:r w:rsidR="00C7620E" w:rsidRPr="00F31DE6">
        <w:rPr>
          <w:rFonts w:cs="Arial"/>
        </w:rPr>
        <w:t>D’Andreamatteo</w:t>
      </w:r>
      <w:proofErr w:type="spellEnd"/>
      <w:r w:rsidR="00C7620E" w:rsidRPr="00F31DE6">
        <w:rPr>
          <w:rFonts w:cs="Arial"/>
        </w:rPr>
        <w:t xml:space="preserve"> et al., 2015)</w:t>
      </w:r>
      <w:r w:rsidRPr="00F31DE6">
        <w:rPr>
          <w:rFonts w:cs="Arial"/>
        </w:rPr>
        <w:t>.</w:t>
      </w:r>
      <w:r w:rsidR="00C7620E" w:rsidRPr="00F31DE6">
        <w:rPr>
          <w:rFonts w:cs="Arial"/>
        </w:rPr>
        <w:t xml:space="preserve"> To implement this, </w:t>
      </w:r>
      <w:proofErr w:type="spellStart"/>
      <w:r w:rsidR="00C7620E" w:rsidRPr="00F31DE6">
        <w:rPr>
          <w:rFonts w:cs="Arial"/>
        </w:rPr>
        <w:t>SaTH</w:t>
      </w:r>
      <w:proofErr w:type="spellEnd"/>
      <w:r w:rsidR="00C7620E" w:rsidRPr="00F31DE6">
        <w:rPr>
          <w:rFonts w:cs="Arial"/>
        </w:rPr>
        <w:t xml:space="preserve"> needs to:</w:t>
      </w:r>
    </w:p>
    <w:p w14:paraId="4198E93A" w14:textId="33DFE7A1" w:rsidR="00B37D54" w:rsidRPr="00F31DE6" w:rsidRDefault="00B37D54" w:rsidP="0076614B">
      <w:pPr>
        <w:pStyle w:val="ListParagraph"/>
        <w:numPr>
          <w:ilvl w:val="0"/>
          <w:numId w:val="9"/>
        </w:numPr>
        <w:rPr>
          <w:rFonts w:cs="Arial"/>
        </w:rPr>
      </w:pPr>
      <w:r w:rsidRPr="00F31DE6">
        <w:rPr>
          <w:rFonts w:cs="Arial"/>
          <w:b/>
          <w:bCs/>
        </w:rPr>
        <w:t>Eradicating Process Delays:</w:t>
      </w:r>
      <w:r w:rsidRPr="00F31DE6">
        <w:rPr>
          <w:rFonts w:cs="Arial"/>
        </w:rPr>
        <w:t xml:space="preserve"> The process of tracing the path of a pregnant patient on the triage and escalation process should be done through the lean mapping. Mapping the value stream will allow the trust to understand where the bottlenecks are precisely (e.g., the delay in escalating the abnormal blood pressure readings). The use of standardised communication frameworks (e.g. SBAR, Situation, Background, Assessment, Recommendation) should be made mandatory to eradicate conversation ambiguity and provide effective clinical escalation</w:t>
      </w:r>
      <w:r w:rsidR="0076614B" w:rsidRPr="00F31DE6">
        <w:rPr>
          <w:rFonts w:cs="Arial"/>
        </w:rPr>
        <w:t xml:space="preserve"> </w:t>
      </w:r>
      <w:r w:rsidR="0076614B" w:rsidRPr="00F31DE6">
        <w:rPr>
          <w:rFonts w:cs="Arial"/>
        </w:rPr>
        <w:t>(Ellis, 2020)</w:t>
      </w:r>
      <w:r w:rsidR="0076614B" w:rsidRPr="00F31DE6">
        <w:rPr>
          <w:rFonts w:cs="Arial"/>
        </w:rPr>
        <w:t>.</w:t>
      </w:r>
    </w:p>
    <w:p w14:paraId="4873C928" w14:textId="571DBD2A" w:rsidR="00956054" w:rsidRPr="00F31DE6" w:rsidRDefault="00B37D54" w:rsidP="00956054">
      <w:pPr>
        <w:pStyle w:val="ListParagraph"/>
        <w:numPr>
          <w:ilvl w:val="0"/>
          <w:numId w:val="9"/>
        </w:numPr>
        <w:rPr>
          <w:rFonts w:cs="Arial"/>
        </w:rPr>
      </w:pPr>
      <w:r w:rsidRPr="00F31DE6">
        <w:rPr>
          <w:rFonts w:cs="Arial"/>
          <w:b/>
          <w:bCs/>
        </w:rPr>
        <w:t>Cultivating Openness:</w:t>
      </w:r>
      <w:r w:rsidRPr="00F31DE6">
        <w:rPr>
          <w:rFonts w:cs="Arial"/>
        </w:rPr>
        <w:t xml:space="preserve"> Lean is based on the respect towards people. The trust should eliminate its unhealthy hierarchy. Under CQC inclusive leadership policies, the line managers are supposed to be trained so that they can create a positive atmosphere where the staff will feel the freedom to raise their voices without the fear of being punished. Moreover, candid and transparent communication with families and patients should be turned into a Key Performance Indicator (KPI) that follows the UK National Health principles of a </w:t>
      </w:r>
      <w:proofErr w:type="spellStart"/>
      <w:r w:rsidRPr="00F31DE6">
        <w:rPr>
          <w:rFonts w:cs="Arial"/>
        </w:rPr>
        <w:t>personalised</w:t>
      </w:r>
      <w:proofErr w:type="spellEnd"/>
      <w:r w:rsidRPr="00F31DE6">
        <w:rPr>
          <w:rFonts w:cs="Arial"/>
        </w:rPr>
        <w:t xml:space="preserve"> and honest communication.</w:t>
      </w:r>
    </w:p>
    <w:p w14:paraId="0A21A366" w14:textId="77777777" w:rsidR="009A5717" w:rsidRPr="00F31DE6" w:rsidRDefault="00915E83" w:rsidP="0076614B">
      <w:pPr>
        <w:pStyle w:val="Heading2"/>
        <w:jc w:val="left"/>
        <w:rPr>
          <w:rFonts w:cs="Arial"/>
        </w:rPr>
      </w:pPr>
      <w:bookmarkStart w:id="22" w:name="_Toc225829428"/>
      <w:bookmarkStart w:id="23" w:name="_Toc226013493"/>
      <w:r w:rsidRPr="00F31DE6">
        <w:rPr>
          <w:rFonts w:cs="Arial"/>
        </w:rPr>
        <w:t>Recommendation 3: Standardising Clinical Competency and Equipment Upgrades via Six Sigma</w:t>
      </w:r>
      <w:bookmarkEnd w:id="22"/>
      <w:bookmarkEnd w:id="23"/>
      <w:r w:rsidRPr="00F31DE6">
        <w:rPr>
          <w:rFonts w:cs="Arial"/>
        </w:rPr>
        <w:t xml:space="preserve"> </w:t>
      </w:r>
    </w:p>
    <w:p w14:paraId="4A35764A" w14:textId="30429499" w:rsidR="000910FB" w:rsidRPr="00F31DE6" w:rsidRDefault="009A5717" w:rsidP="00C7620E">
      <w:pPr>
        <w:rPr>
          <w:rFonts w:cs="Arial"/>
        </w:rPr>
      </w:pPr>
      <w:proofErr w:type="spellStart"/>
      <w:r w:rsidRPr="00F31DE6">
        <w:rPr>
          <w:rFonts w:cs="Arial"/>
        </w:rPr>
        <w:t>SaTH</w:t>
      </w:r>
      <w:proofErr w:type="spellEnd"/>
      <w:r w:rsidRPr="00F31DE6">
        <w:rPr>
          <w:rFonts w:cs="Arial"/>
        </w:rPr>
        <w:t xml:space="preserve"> also had high variability in clinical ability, especially in the inability of the staff to evaluate and identify abnormal CTG tracings, and the use of old monitors. Six Sigma is a factual approach that aims to remove mistakes-defects and achieve variation in the processes. In medicine, a mistake or a defect is anything that violates evidence-based clinical practise and results in patient harm</w:t>
      </w:r>
      <w:r w:rsidR="00C7620E" w:rsidRPr="00F31DE6">
        <w:rPr>
          <w:rFonts w:cs="Arial"/>
        </w:rPr>
        <w:t xml:space="preserve"> (Monteroso et al., 2024)</w:t>
      </w:r>
      <w:r w:rsidRPr="00F31DE6">
        <w:rPr>
          <w:rFonts w:cs="Arial"/>
        </w:rPr>
        <w:t xml:space="preserve">. The Six </w:t>
      </w:r>
      <w:proofErr w:type="spellStart"/>
      <w:r w:rsidRPr="00F31DE6">
        <w:rPr>
          <w:rFonts w:cs="Arial"/>
        </w:rPr>
        <w:t>Sigmas</w:t>
      </w:r>
      <w:proofErr w:type="spellEnd"/>
      <w:r w:rsidRPr="00F31DE6">
        <w:rPr>
          <w:rFonts w:cs="Arial"/>
        </w:rPr>
        <w:t xml:space="preserve"> for</w:t>
      </w:r>
      <w:r w:rsidR="0061414F" w:rsidRPr="00F31DE6">
        <w:rPr>
          <w:rFonts w:cs="Arial"/>
        </w:rPr>
        <w:t xml:space="preserve"> </w:t>
      </w:r>
      <w:proofErr w:type="spellStart"/>
      <w:r w:rsidR="00C7620E" w:rsidRPr="00F31DE6">
        <w:rPr>
          <w:rFonts w:cs="Arial"/>
        </w:rPr>
        <w:t>SaTH</w:t>
      </w:r>
      <w:proofErr w:type="spellEnd"/>
      <w:r w:rsidR="00C7620E" w:rsidRPr="00F31DE6">
        <w:rPr>
          <w:rFonts w:cs="Arial"/>
        </w:rPr>
        <w:t xml:space="preserve"> to implement</w:t>
      </w:r>
      <w:r w:rsidR="0061414F" w:rsidRPr="00F31DE6">
        <w:rPr>
          <w:rFonts w:cs="Arial"/>
        </w:rPr>
        <w:t xml:space="preserve"> include:</w:t>
      </w:r>
    </w:p>
    <w:p w14:paraId="6B00F182" w14:textId="687777A2" w:rsidR="00915E83" w:rsidRPr="00F31DE6" w:rsidRDefault="00915E83" w:rsidP="000910FB">
      <w:pPr>
        <w:pStyle w:val="ListParagraph"/>
        <w:numPr>
          <w:ilvl w:val="0"/>
          <w:numId w:val="6"/>
        </w:numPr>
        <w:rPr>
          <w:rFonts w:cs="Arial"/>
        </w:rPr>
      </w:pPr>
      <w:r w:rsidRPr="00F31DE6">
        <w:rPr>
          <w:rFonts w:cs="Arial"/>
          <w:b/>
          <w:bCs/>
        </w:rPr>
        <w:t>Define:</w:t>
      </w:r>
      <w:r w:rsidRPr="00F31DE6">
        <w:rPr>
          <w:rFonts w:cs="Arial"/>
        </w:rPr>
        <w:t xml:space="preserve"> </w:t>
      </w:r>
      <w:r w:rsidR="00C4634B" w:rsidRPr="00F31DE6">
        <w:rPr>
          <w:rFonts w:cs="Arial"/>
        </w:rPr>
        <w:t xml:space="preserve">In this case, the target of </w:t>
      </w:r>
      <w:proofErr w:type="spellStart"/>
      <w:r w:rsidR="00C4634B" w:rsidRPr="00F31DE6">
        <w:rPr>
          <w:rFonts w:cs="Arial"/>
        </w:rPr>
        <w:t>SaTH</w:t>
      </w:r>
      <w:proofErr w:type="spellEnd"/>
      <w:r w:rsidR="00C4634B" w:rsidRPr="00F31DE6">
        <w:rPr>
          <w:rFonts w:cs="Arial"/>
        </w:rPr>
        <w:t xml:space="preserve"> is to reach a 100 per cent adherence to NICE clinical guidelines on the fetal heart rate and maternal blood pressure measurement.</w:t>
      </w:r>
    </w:p>
    <w:p w14:paraId="1E3DF9BF" w14:textId="5CF1BC63" w:rsidR="00915E83" w:rsidRPr="00F31DE6" w:rsidRDefault="00915E83" w:rsidP="00915E83">
      <w:pPr>
        <w:numPr>
          <w:ilvl w:val="0"/>
          <w:numId w:val="6"/>
        </w:numPr>
        <w:rPr>
          <w:rFonts w:cs="Arial"/>
        </w:rPr>
      </w:pPr>
      <w:r w:rsidRPr="00F31DE6">
        <w:rPr>
          <w:rFonts w:cs="Arial"/>
          <w:b/>
          <w:bCs/>
        </w:rPr>
        <w:t>Measure:</w:t>
      </w:r>
      <w:r w:rsidRPr="00F31DE6">
        <w:rPr>
          <w:rFonts w:cs="Arial"/>
        </w:rPr>
        <w:t xml:space="preserve"> </w:t>
      </w:r>
      <w:r w:rsidR="000910FB" w:rsidRPr="00F31DE6">
        <w:rPr>
          <w:rFonts w:cs="Arial"/>
        </w:rPr>
        <w:t>The trust should audit the existing levels of trustworthiness with respect to the current levels of competency of all midwifery and obstetric employees in terms of the CTG interpretation. At the same time, there should be an inventory audit that will determine the shortage of operational, up-to-date monitoring equipment.</w:t>
      </w:r>
    </w:p>
    <w:p w14:paraId="054098C2" w14:textId="77777777" w:rsidR="000910FB" w:rsidRPr="00F31DE6" w:rsidRDefault="00915E83" w:rsidP="00915E83">
      <w:pPr>
        <w:numPr>
          <w:ilvl w:val="0"/>
          <w:numId w:val="6"/>
        </w:numPr>
        <w:rPr>
          <w:rFonts w:cs="Arial"/>
        </w:rPr>
      </w:pPr>
      <w:r w:rsidRPr="00F31DE6">
        <w:rPr>
          <w:rFonts w:cs="Arial"/>
          <w:b/>
          <w:bCs/>
        </w:rPr>
        <w:t>Analyse:</w:t>
      </w:r>
      <w:r w:rsidRPr="00F31DE6">
        <w:rPr>
          <w:rFonts w:cs="Arial"/>
        </w:rPr>
        <w:t xml:space="preserve"> </w:t>
      </w:r>
      <w:proofErr w:type="spellStart"/>
      <w:r w:rsidR="000910FB" w:rsidRPr="00F31DE6">
        <w:rPr>
          <w:rFonts w:cs="Arial"/>
        </w:rPr>
        <w:t>SaTH</w:t>
      </w:r>
      <w:proofErr w:type="spellEnd"/>
      <w:r w:rsidR="000910FB" w:rsidRPr="00F31DE6">
        <w:rPr>
          <w:rFonts w:cs="Arial"/>
        </w:rPr>
        <w:t xml:space="preserve"> should make every possible effort to find out the difference between the present situation and the expected standard. The analysis will presumably demonstrate that the use of outdated monitors and staffing/training </w:t>
      </w:r>
      <w:r w:rsidR="000910FB" w:rsidRPr="00F31DE6">
        <w:rPr>
          <w:rFonts w:cs="Arial"/>
        </w:rPr>
        <w:lastRenderedPageBreak/>
        <w:t>understaffing/training are the key variables that lead to the occurrence of defects (missed distress signals).</w:t>
      </w:r>
    </w:p>
    <w:p w14:paraId="62EE2E8A" w14:textId="04DA7EC8" w:rsidR="00915E83" w:rsidRPr="00F31DE6" w:rsidRDefault="00915E83" w:rsidP="0076614B">
      <w:pPr>
        <w:numPr>
          <w:ilvl w:val="0"/>
          <w:numId w:val="6"/>
        </w:numPr>
        <w:rPr>
          <w:rFonts w:cs="Arial"/>
        </w:rPr>
      </w:pPr>
      <w:r w:rsidRPr="00F31DE6">
        <w:rPr>
          <w:rFonts w:cs="Arial"/>
          <w:b/>
          <w:bCs/>
        </w:rPr>
        <w:t>Improve:</w:t>
      </w:r>
      <w:r w:rsidRPr="00F31DE6">
        <w:rPr>
          <w:rFonts w:cs="Arial"/>
        </w:rPr>
        <w:t xml:space="preserve"> </w:t>
      </w:r>
      <w:r w:rsidR="000910FB" w:rsidRPr="00F31DE6">
        <w:rPr>
          <w:rFonts w:cs="Arial"/>
        </w:rPr>
        <w:t>There should be an immediate reallocation of capital in which all old foetal monitors should be replaced. At the same time, standardised and compulsory CTG training modules should be introduced among all clinical personnel. Clinical floor work should have the prerequisite of passing these competency exams</w:t>
      </w:r>
      <w:r w:rsidR="0076614B" w:rsidRPr="00F31DE6">
        <w:rPr>
          <w:rFonts w:cs="Arial"/>
        </w:rPr>
        <w:t xml:space="preserve"> </w:t>
      </w:r>
      <w:r w:rsidR="0076614B" w:rsidRPr="00F31DE6">
        <w:rPr>
          <w:rFonts w:cs="Arial"/>
        </w:rPr>
        <w:t xml:space="preserve">(Sreekanth </w:t>
      </w:r>
      <w:r w:rsidR="0076614B" w:rsidRPr="00F31DE6">
        <w:rPr>
          <w:rFonts w:cs="Arial"/>
          <w:i/>
          <w:iCs/>
        </w:rPr>
        <w:t>et al.</w:t>
      </w:r>
      <w:r w:rsidR="0076614B" w:rsidRPr="00F31DE6">
        <w:rPr>
          <w:rFonts w:cs="Arial"/>
        </w:rPr>
        <w:t>, 2024)</w:t>
      </w:r>
      <w:r w:rsidR="0076614B" w:rsidRPr="00F31DE6">
        <w:rPr>
          <w:rFonts w:cs="Arial"/>
        </w:rPr>
        <w:t>.</w:t>
      </w:r>
    </w:p>
    <w:p w14:paraId="4F08FAB6" w14:textId="5C4622FE" w:rsidR="000910FB" w:rsidRPr="00F31DE6" w:rsidRDefault="00915E83" w:rsidP="0076614B">
      <w:pPr>
        <w:numPr>
          <w:ilvl w:val="0"/>
          <w:numId w:val="6"/>
        </w:numPr>
        <w:rPr>
          <w:rFonts w:cs="Arial"/>
        </w:rPr>
      </w:pPr>
      <w:r w:rsidRPr="00F31DE6">
        <w:rPr>
          <w:rFonts w:cs="Arial"/>
          <w:b/>
          <w:bCs/>
        </w:rPr>
        <w:t>Control:</w:t>
      </w:r>
      <w:r w:rsidRPr="00F31DE6">
        <w:rPr>
          <w:rFonts w:cs="Arial"/>
        </w:rPr>
        <w:t xml:space="preserve"> </w:t>
      </w:r>
      <w:r w:rsidR="000910FB" w:rsidRPr="00F31DE6">
        <w:rPr>
          <w:rFonts w:cs="Arial"/>
        </w:rPr>
        <w:t>To maintain the improvements, there should be regular and random reviews of patient charts and CTG interpretation. The compliance rates should be demonstrated visually to all the staff, and the quality assurance should always remain in the spotlight to avoid the regression to the previous harmful and detrimental habits.</w:t>
      </w:r>
    </w:p>
    <w:p w14:paraId="4B44DE62" w14:textId="77777777" w:rsidR="00915E83" w:rsidRPr="00F31DE6" w:rsidRDefault="00915E83" w:rsidP="000910FB">
      <w:pPr>
        <w:pStyle w:val="Heading1"/>
        <w:rPr>
          <w:rFonts w:cs="Arial"/>
        </w:rPr>
      </w:pPr>
      <w:bookmarkStart w:id="24" w:name="_Toc225829429"/>
      <w:bookmarkStart w:id="25" w:name="_Toc226013494"/>
      <w:r w:rsidRPr="00F31DE6">
        <w:rPr>
          <w:rFonts w:cs="Arial"/>
        </w:rPr>
        <w:t>Conclusion</w:t>
      </w:r>
      <w:bookmarkEnd w:id="24"/>
      <w:bookmarkEnd w:id="25"/>
    </w:p>
    <w:p w14:paraId="00BAE777" w14:textId="77777777" w:rsidR="005A0078" w:rsidRPr="00F31DE6" w:rsidRDefault="005A0078" w:rsidP="005A0078">
      <w:pPr>
        <w:rPr>
          <w:rFonts w:cs="Arial"/>
        </w:rPr>
      </w:pPr>
      <w:r w:rsidRPr="00F31DE6">
        <w:rPr>
          <w:rFonts w:cs="Arial"/>
        </w:rPr>
        <w:t xml:space="preserve">The tragedy at Shrewsbury and Telford Hospital NHS Trust is a devastating experience of healthcare delivery failure which lies at the core of systemic problems as opposed to clinical error. The implementation of the Donabedian Model, the Root Cause Analysis, and the SWOT planning shows that </w:t>
      </w:r>
      <w:proofErr w:type="spellStart"/>
      <w:r w:rsidRPr="00F31DE6">
        <w:rPr>
          <w:rFonts w:cs="Arial"/>
        </w:rPr>
        <w:t>SaTH</w:t>
      </w:r>
      <w:proofErr w:type="spellEnd"/>
      <w:r w:rsidRPr="00F31DE6">
        <w:rPr>
          <w:rFonts w:cs="Arial"/>
        </w:rPr>
        <w:t xml:space="preserve"> experienced a lethal combination of the ineffective structural resourcing, failed clinical processes, and the aggressive and rejective culture. The trust regularly did not adhere to fundamental NICE and was keen to prevent external review, which resulted in years of avoidable maternal and neonatal damage.</w:t>
      </w:r>
    </w:p>
    <w:p w14:paraId="68A6A523" w14:textId="22602EB5" w:rsidR="002204C6" w:rsidRPr="00F31DE6" w:rsidRDefault="005A0078" w:rsidP="00F31DE6">
      <w:pPr>
        <w:rPr>
          <w:rFonts w:cs="Arial"/>
        </w:rPr>
      </w:pPr>
      <w:r w:rsidRPr="00F31DE6">
        <w:rPr>
          <w:rFonts w:cs="Arial"/>
        </w:rPr>
        <w:t xml:space="preserve">In order to make service improvement meaningful and lasting, </w:t>
      </w:r>
      <w:proofErr w:type="spellStart"/>
      <w:r w:rsidRPr="00F31DE6">
        <w:rPr>
          <w:rFonts w:cs="Arial"/>
        </w:rPr>
        <w:t>SaTH</w:t>
      </w:r>
      <w:proofErr w:type="spellEnd"/>
      <w:r w:rsidRPr="00F31DE6">
        <w:rPr>
          <w:rFonts w:cs="Arial"/>
        </w:rPr>
        <w:t xml:space="preserve"> should go beyond that of patching up and actually transform its functional structure. The trust can recover its broken systems by instituting strict PDSA cycles to manage clinical governance, using Lean techniques to eliminate delays in communication and cultural toxicity, and deploying Six Sigma to normalise clinical abilities and equipment utilisation. Finally, the quality assurance in health care requires the uncompromising transparency, the willingness to learn continuously and organisational culture in which the patient safety is in the first place, before reputational protection. It is by these stringent, evidence-based measures that </w:t>
      </w:r>
      <w:proofErr w:type="spellStart"/>
      <w:r w:rsidRPr="00F31DE6">
        <w:rPr>
          <w:rFonts w:cs="Arial"/>
        </w:rPr>
        <w:t>SaTH</w:t>
      </w:r>
      <w:proofErr w:type="spellEnd"/>
      <w:r w:rsidRPr="00F31DE6">
        <w:rPr>
          <w:rFonts w:cs="Arial"/>
        </w:rPr>
        <w:t xml:space="preserve"> can hope to build equity, efficiency and trust in their maternity services by the community.</w:t>
      </w:r>
      <w:r w:rsidR="002204C6" w:rsidRPr="00F31DE6">
        <w:rPr>
          <w:rFonts w:cs="Arial"/>
        </w:rPr>
        <w:br w:type="page"/>
      </w:r>
    </w:p>
    <w:p w14:paraId="6C622EDB" w14:textId="0FB4B3BE" w:rsidR="00F31DE6" w:rsidRPr="00F31DE6" w:rsidRDefault="002204C6" w:rsidP="00F31DE6">
      <w:pPr>
        <w:pStyle w:val="Heading1"/>
        <w:rPr>
          <w:rFonts w:cs="Arial"/>
        </w:rPr>
      </w:pPr>
      <w:bookmarkStart w:id="26" w:name="_Toc225829430"/>
      <w:bookmarkStart w:id="27" w:name="_Toc226013495"/>
      <w:r w:rsidRPr="00F31DE6">
        <w:rPr>
          <w:rFonts w:cs="Arial"/>
        </w:rPr>
        <w:lastRenderedPageBreak/>
        <w:t>References</w:t>
      </w:r>
      <w:bookmarkEnd w:id="26"/>
      <w:bookmarkEnd w:id="27"/>
    </w:p>
    <w:p w14:paraId="0DAC72A2" w14:textId="77777777" w:rsidR="00F31DE6" w:rsidRPr="00F31DE6" w:rsidRDefault="00F31DE6" w:rsidP="0095152B">
      <w:pPr>
        <w:ind w:left="720" w:hanging="720"/>
        <w:jc w:val="left"/>
        <w:rPr>
          <w:rFonts w:cs="Arial"/>
        </w:rPr>
      </w:pPr>
      <w:r w:rsidRPr="00F31DE6">
        <w:rPr>
          <w:rFonts w:cs="Arial"/>
        </w:rPr>
        <w:t xml:space="preserve">BBC (2022) ‘Shrewsbury maternity scandal: Repeated failures led to deaths’, </w:t>
      </w:r>
      <w:r w:rsidRPr="00F31DE6">
        <w:rPr>
          <w:rFonts w:cs="Arial"/>
          <w:i/>
          <w:iCs/>
        </w:rPr>
        <w:t>www.bbc.com</w:t>
      </w:r>
      <w:r w:rsidRPr="00F31DE6">
        <w:rPr>
          <w:rFonts w:cs="Arial"/>
        </w:rPr>
        <w:t xml:space="preserve">, 30 March. Available at: </w:t>
      </w:r>
      <w:hyperlink r:id="rId15" w:history="1">
        <w:r w:rsidRPr="00F31DE6">
          <w:rPr>
            <w:rStyle w:val="Hyperlink"/>
            <w:rFonts w:cs="Arial"/>
          </w:rPr>
          <w:t>https://www.bbc.com/news/uk-england-shropshire-60925959</w:t>
        </w:r>
      </w:hyperlink>
      <w:r w:rsidRPr="00F31DE6">
        <w:rPr>
          <w:rFonts w:cs="Arial"/>
        </w:rPr>
        <w:t>.</w:t>
      </w:r>
    </w:p>
    <w:p w14:paraId="2BB67A0F" w14:textId="77777777" w:rsidR="00F31DE6" w:rsidRPr="00F31DE6" w:rsidRDefault="00F31DE6" w:rsidP="0095152B">
      <w:pPr>
        <w:ind w:left="720" w:hanging="720"/>
        <w:jc w:val="left"/>
        <w:rPr>
          <w:rFonts w:cs="Arial"/>
        </w:rPr>
      </w:pPr>
      <w:proofErr w:type="spellStart"/>
      <w:r w:rsidRPr="00F31DE6">
        <w:rPr>
          <w:rFonts w:cs="Arial"/>
        </w:rPr>
        <w:t>Bugnitz</w:t>
      </w:r>
      <w:proofErr w:type="spellEnd"/>
      <w:r w:rsidRPr="00F31DE6">
        <w:rPr>
          <w:rFonts w:cs="Arial"/>
        </w:rPr>
        <w:t xml:space="preserve">, C. and Sandberg, K.C. (2025) ‘Creating Effective PDSA Cycles’, </w:t>
      </w:r>
      <w:r w:rsidRPr="00F31DE6">
        <w:rPr>
          <w:rFonts w:cs="Arial"/>
          <w:i/>
          <w:iCs/>
        </w:rPr>
        <w:t>Current Problems in Pediatric and Adolescent Health Care</w:t>
      </w:r>
      <w:r w:rsidRPr="00F31DE6">
        <w:rPr>
          <w:rFonts w:cs="Arial"/>
        </w:rPr>
        <w:t xml:space="preserve">, 55(4), p. 101759. Available at: </w:t>
      </w:r>
      <w:hyperlink r:id="rId16" w:history="1">
        <w:r w:rsidRPr="00F31DE6">
          <w:rPr>
            <w:rStyle w:val="Hyperlink"/>
            <w:rFonts w:cs="Arial"/>
          </w:rPr>
          <w:t>https://doi.org/10.1016/j.cppeds.2025.101759</w:t>
        </w:r>
      </w:hyperlink>
      <w:r w:rsidRPr="00F31DE6">
        <w:rPr>
          <w:rFonts w:cs="Arial"/>
        </w:rPr>
        <w:t>.</w:t>
      </w:r>
    </w:p>
    <w:p w14:paraId="127556B0" w14:textId="77777777" w:rsidR="00F31DE6" w:rsidRPr="00F31DE6" w:rsidRDefault="00F31DE6" w:rsidP="0095152B">
      <w:pPr>
        <w:ind w:left="720" w:hanging="720"/>
        <w:jc w:val="left"/>
        <w:rPr>
          <w:rFonts w:cs="Arial"/>
        </w:rPr>
      </w:pPr>
      <w:r w:rsidRPr="00F31DE6">
        <w:rPr>
          <w:rFonts w:cs="Arial"/>
        </w:rPr>
        <w:t xml:space="preserve">CQC (2024) </w:t>
      </w:r>
      <w:r w:rsidRPr="00F31DE6">
        <w:rPr>
          <w:rFonts w:cs="Arial"/>
          <w:i/>
          <w:iCs/>
        </w:rPr>
        <w:t>Capable, compassionate and inclusive leaders - Care Quality Commission</w:t>
      </w:r>
      <w:r w:rsidRPr="00F31DE6">
        <w:rPr>
          <w:rFonts w:cs="Arial"/>
        </w:rPr>
        <w:t xml:space="preserve">, </w:t>
      </w:r>
      <w:r w:rsidRPr="00F31DE6">
        <w:rPr>
          <w:rFonts w:cs="Arial"/>
          <w:i/>
          <w:iCs/>
        </w:rPr>
        <w:t>www.cqc.org.uk</w:t>
      </w:r>
      <w:r w:rsidRPr="00F31DE6">
        <w:rPr>
          <w:rFonts w:cs="Arial"/>
        </w:rPr>
        <w:t xml:space="preserve">. Care Quality Commission. Available at: </w:t>
      </w:r>
      <w:hyperlink r:id="rId17" w:history="1">
        <w:r w:rsidRPr="00F31DE6">
          <w:rPr>
            <w:rStyle w:val="Hyperlink"/>
            <w:rFonts w:cs="Arial"/>
          </w:rPr>
          <w:t>https://www.cqc.org.uk/guidance-regulation/providers/assessment/single-assessment-framework/well-led/capable-compassionate-inclusive-leaders</w:t>
        </w:r>
      </w:hyperlink>
      <w:r w:rsidRPr="00F31DE6">
        <w:rPr>
          <w:rFonts w:cs="Arial"/>
        </w:rPr>
        <w:t>.</w:t>
      </w:r>
    </w:p>
    <w:p w14:paraId="3A8B4B1F" w14:textId="77777777" w:rsidR="00F31DE6" w:rsidRPr="00F31DE6" w:rsidRDefault="00F31DE6" w:rsidP="0095152B">
      <w:pPr>
        <w:ind w:left="720" w:hanging="720"/>
        <w:jc w:val="left"/>
        <w:rPr>
          <w:rFonts w:cs="Arial"/>
        </w:rPr>
      </w:pPr>
      <w:proofErr w:type="spellStart"/>
      <w:r w:rsidRPr="00F31DE6">
        <w:rPr>
          <w:rFonts w:cs="Arial"/>
        </w:rPr>
        <w:t>D’Andreamatteo</w:t>
      </w:r>
      <w:proofErr w:type="spellEnd"/>
      <w:r w:rsidRPr="00F31DE6">
        <w:rPr>
          <w:rFonts w:cs="Arial"/>
        </w:rPr>
        <w:t xml:space="preserve">, A. </w:t>
      </w:r>
      <w:r w:rsidRPr="00F31DE6">
        <w:rPr>
          <w:rFonts w:cs="Arial"/>
          <w:i/>
          <w:iCs/>
        </w:rPr>
        <w:t>et al.</w:t>
      </w:r>
      <w:r w:rsidRPr="00F31DE6">
        <w:rPr>
          <w:rFonts w:cs="Arial"/>
        </w:rPr>
        <w:t xml:space="preserve"> (2015) ‘Lean in healthcare: A comprehensive review’, </w:t>
      </w:r>
      <w:r w:rsidRPr="00F31DE6">
        <w:rPr>
          <w:rFonts w:cs="Arial"/>
          <w:i/>
          <w:iCs/>
        </w:rPr>
        <w:t>Health Policy</w:t>
      </w:r>
      <w:r w:rsidRPr="00F31DE6">
        <w:rPr>
          <w:rFonts w:cs="Arial"/>
        </w:rPr>
        <w:t xml:space="preserve">, 119(9), pp. 1197–1209. Available at: </w:t>
      </w:r>
      <w:hyperlink r:id="rId18" w:history="1">
        <w:r w:rsidRPr="00F31DE6">
          <w:rPr>
            <w:rStyle w:val="Hyperlink"/>
            <w:rFonts w:cs="Arial"/>
          </w:rPr>
          <w:t>https://doi.org/10.1016/j.healthpol.2015.02.002</w:t>
        </w:r>
      </w:hyperlink>
      <w:r w:rsidRPr="00F31DE6">
        <w:rPr>
          <w:rFonts w:cs="Arial"/>
        </w:rPr>
        <w:t>.</w:t>
      </w:r>
    </w:p>
    <w:p w14:paraId="0CCDAC0C" w14:textId="77777777" w:rsidR="00F31DE6" w:rsidRPr="00F31DE6" w:rsidRDefault="00F31DE6" w:rsidP="00F31DE6">
      <w:pPr>
        <w:ind w:left="720" w:hanging="720"/>
        <w:jc w:val="left"/>
        <w:rPr>
          <w:rFonts w:cs="Arial"/>
        </w:rPr>
      </w:pPr>
      <w:r w:rsidRPr="00F31DE6">
        <w:rPr>
          <w:rFonts w:cs="Arial"/>
        </w:rPr>
        <w:t xml:space="preserve">Doughty, H. </w:t>
      </w:r>
      <w:r w:rsidRPr="00F31DE6">
        <w:rPr>
          <w:rFonts w:cs="Arial"/>
          <w:i/>
          <w:iCs/>
        </w:rPr>
        <w:t>et al.</w:t>
      </w:r>
      <w:r w:rsidRPr="00F31DE6">
        <w:rPr>
          <w:rFonts w:cs="Arial"/>
        </w:rPr>
        <w:t xml:space="preserve"> (2020) ‘Emergency preparedness, Resilience and Response Guidance for UK Hospital Transfusion Teams’, </w:t>
      </w:r>
      <w:r w:rsidRPr="00F31DE6">
        <w:rPr>
          <w:rFonts w:cs="Arial"/>
          <w:i/>
          <w:iCs/>
        </w:rPr>
        <w:t>Transfusion Medicine</w:t>
      </w:r>
      <w:r w:rsidRPr="00F31DE6">
        <w:rPr>
          <w:rFonts w:cs="Arial"/>
        </w:rPr>
        <w:t xml:space="preserve">, 30(3), pp. 177–185. Available at: </w:t>
      </w:r>
      <w:hyperlink r:id="rId19" w:history="1">
        <w:r w:rsidRPr="00F31DE6">
          <w:rPr>
            <w:rStyle w:val="Hyperlink"/>
            <w:rFonts w:cs="Arial"/>
          </w:rPr>
          <w:t>https://doi.org/10.1111/tme.12665</w:t>
        </w:r>
      </w:hyperlink>
      <w:r w:rsidRPr="00F31DE6">
        <w:rPr>
          <w:rFonts w:cs="Arial"/>
        </w:rPr>
        <w:t>.</w:t>
      </w:r>
    </w:p>
    <w:p w14:paraId="494DFC49" w14:textId="77777777" w:rsidR="00F31DE6" w:rsidRPr="00F31DE6" w:rsidRDefault="00F31DE6" w:rsidP="00F31DE6">
      <w:pPr>
        <w:ind w:left="720" w:hanging="720"/>
        <w:jc w:val="left"/>
        <w:rPr>
          <w:rFonts w:cs="Arial"/>
        </w:rPr>
      </w:pPr>
      <w:r w:rsidRPr="00F31DE6">
        <w:rPr>
          <w:rFonts w:cs="Arial"/>
        </w:rPr>
        <w:t xml:space="preserve">Ellis, L.D. (2020) </w:t>
      </w:r>
      <w:r w:rsidRPr="00F31DE6">
        <w:rPr>
          <w:rFonts w:cs="Arial"/>
          <w:i/>
          <w:iCs/>
        </w:rPr>
        <w:t>The Importance of Adopting a Lean Mindset and Culture for Health Care Organizations | Harvard Medical School Professional, Corporate, and Continuing Education</w:t>
      </w:r>
      <w:r w:rsidRPr="00F31DE6">
        <w:rPr>
          <w:rFonts w:cs="Arial"/>
        </w:rPr>
        <w:t xml:space="preserve">, </w:t>
      </w:r>
      <w:r w:rsidRPr="00F31DE6">
        <w:rPr>
          <w:rFonts w:cs="Arial"/>
          <w:i/>
          <w:iCs/>
        </w:rPr>
        <w:t>Harvard.edu</w:t>
      </w:r>
      <w:r w:rsidRPr="00F31DE6">
        <w:rPr>
          <w:rFonts w:cs="Arial"/>
        </w:rPr>
        <w:t xml:space="preserve">. Available at: </w:t>
      </w:r>
      <w:hyperlink r:id="rId20" w:history="1">
        <w:r w:rsidRPr="00F31DE6">
          <w:rPr>
            <w:rStyle w:val="Hyperlink"/>
            <w:rFonts w:cs="Arial"/>
          </w:rPr>
          <w:t>https://learn.hms.harvard.edu/insights/all-insights/importance-adopting-lean-mindset-and-culture-health-care-organizations</w:t>
        </w:r>
      </w:hyperlink>
      <w:r w:rsidRPr="00F31DE6">
        <w:rPr>
          <w:rFonts w:cs="Arial"/>
        </w:rPr>
        <w:t>.</w:t>
      </w:r>
    </w:p>
    <w:p w14:paraId="4FD451A3" w14:textId="77777777" w:rsidR="00F31DE6" w:rsidRPr="00F31DE6" w:rsidRDefault="00F31DE6" w:rsidP="00F31DE6">
      <w:pPr>
        <w:ind w:left="720" w:hanging="720"/>
        <w:jc w:val="left"/>
        <w:rPr>
          <w:rFonts w:cs="Arial"/>
        </w:rPr>
      </w:pPr>
      <w:proofErr w:type="spellStart"/>
      <w:r w:rsidRPr="00F31DE6">
        <w:rPr>
          <w:rFonts w:cs="Arial"/>
        </w:rPr>
        <w:t>Forkuo</w:t>
      </w:r>
      <w:proofErr w:type="spellEnd"/>
      <w:r w:rsidRPr="00F31DE6">
        <w:rPr>
          <w:rFonts w:cs="Arial"/>
        </w:rPr>
        <w:t xml:space="preserve">-Minka, A.O., Kumah, A. and </w:t>
      </w:r>
      <w:proofErr w:type="spellStart"/>
      <w:r w:rsidRPr="00F31DE6">
        <w:rPr>
          <w:rFonts w:cs="Arial"/>
        </w:rPr>
        <w:t>Asomaning</w:t>
      </w:r>
      <w:proofErr w:type="spellEnd"/>
      <w:r w:rsidRPr="00F31DE6">
        <w:rPr>
          <w:rFonts w:cs="Arial"/>
        </w:rPr>
        <w:t xml:space="preserve">, A.Y. (2024) ‘Improving Patient Safety: Learning from Reported Hospital-Acquired Pressure Ulcers’, </w:t>
      </w:r>
      <w:r w:rsidRPr="00F31DE6">
        <w:rPr>
          <w:rFonts w:cs="Arial"/>
          <w:i/>
          <w:iCs/>
        </w:rPr>
        <w:t>Global journal on quality and safety in healthcare</w:t>
      </w:r>
      <w:r w:rsidRPr="00F31DE6">
        <w:rPr>
          <w:rFonts w:cs="Arial"/>
        </w:rPr>
        <w:t xml:space="preserve">, 7(1), pp. 15–21. Available at: </w:t>
      </w:r>
      <w:hyperlink r:id="rId21" w:history="1">
        <w:r w:rsidRPr="00F31DE6">
          <w:rPr>
            <w:rStyle w:val="Hyperlink"/>
            <w:rFonts w:cs="Arial"/>
          </w:rPr>
          <w:t>https://doi.org/10.36401/jqsh-23-25</w:t>
        </w:r>
      </w:hyperlink>
      <w:r w:rsidRPr="00F31DE6">
        <w:rPr>
          <w:rFonts w:cs="Arial"/>
        </w:rPr>
        <w:t>.</w:t>
      </w:r>
    </w:p>
    <w:p w14:paraId="1F4CC13E" w14:textId="77777777" w:rsidR="00F31DE6" w:rsidRPr="00F31DE6" w:rsidRDefault="00F31DE6" w:rsidP="00F31DE6">
      <w:pPr>
        <w:ind w:left="720" w:hanging="720"/>
        <w:jc w:val="left"/>
        <w:rPr>
          <w:rFonts w:cs="Arial"/>
        </w:rPr>
      </w:pPr>
      <w:r w:rsidRPr="00F31DE6">
        <w:rPr>
          <w:rFonts w:cs="Arial"/>
        </w:rPr>
        <w:t xml:space="preserve">Griffith, D.M. </w:t>
      </w:r>
      <w:r w:rsidRPr="00F31DE6">
        <w:rPr>
          <w:rFonts w:cs="Arial"/>
          <w:i/>
          <w:iCs/>
        </w:rPr>
        <w:t>et al.</w:t>
      </w:r>
      <w:r w:rsidRPr="00F31DE6">
        <w:rPr>
          <w:rFonts w:cs="Arial"/>
        </w:rPr>
        <w:t xml:space="preserve"> (2020) ‘Using mistrust, distrust, and low trust precisely in medical care and medical research advances health equity’, </w:t>
      </w:r>
      <w:r w:rsidRPr="00F31DE6">
        <w:rPr>
          <w:rFonts w:cs="Arial"/>
          <w:i/>
          <w:iCs/>
        </w:rPr>
        <w:t>American Journal of Preventive Medicine</w:t>
      </w:r>
      <w:r w:rsidRPr="00F31DE6">
        <w:rPr>
          <w:rFonts w:cs="Arial"/>
        </w:rPr>
        <w:t xml:space="preserve">, 60(3). Available at: </w:t>
      </w:r>
      <w:hyperlink r:id="rId22" w:history="1">
        <w:r w:rsidRPr="00F31DE6">
          <w:rPr>
            <w:rStyle w:val="Hyperlink"/>
            <w:rFonts w:cs="Arial"/>
          </w:rPr>
          <w:t>https://doi.org/10.1016/j.amepre.2020.08.019</w:t>
        </w:r>
      </w:hyperlink>
      <w:r w:rsidRPr="00F31DE6">
        <w:rPr>
          <w:rFonts w:cs="Arial"/>
        </w:rPr>
        <w:t>.</w:t>
      </w:r>
    </w:p>
    <w:p w14:paraId="5E9E37FF" w14:textId="77777777" w:rsidR="00F31DE6" w:rsidRPr="00F31DE6" w:rsidRDefault="00F31DE6" w:rsidP="0095152B">
      <w:pPr>
        <w:ind w:left="720" w:hanging="720"/>
        <w:jc w:val="left"/>
        <w:rPr>
          <w:rFonts w:cs="Arial"/>
        </w:rPr>
      </w:pPr>
      <w:r w:rsidRPr="00F31DE6">
        <w:rPr>
          <w:rFonts w:cs="Arial"/>
        </w:rPr>
        <w:t xml:space="preserve">Gurel, E. and Tat, M. (2017) ‘SWOT Analysis: </w:t>
      </w:r>
      <w:proofErr w:type="gramStart"/>
      <w:r w:rsidRPr="00F31DE6">
        <w:rPr>
          <w:rFonts w:cs="Arial"/>
        </w:rPr>
        <w:t>a</w:t>
      </w:r>
      <w:proofErr w:type="gramEnd"/>
      <w:r w:rsidRPr="00F31DE6">
        <w:rPr>
          <w:rFonts w:cs="Arial"/>
        </w:rPr>
        <w:t xml:space="preserve"> Theoretical Review’, </w:t>
      </w:r>
      <w:r w:rsidRPr="00F31DE6">
        <w:rPr>
          <w:rFonts w:cs="Arial"/>
          <w:i/>
          <w:iCs/>
        </w:rPr>
        <w:t>Journal of International Social Research</w:t>
      </w:r>
      <w:r w:rsidRPr="00F31DE6">
        <w:rPr>
          <w:rFonts w:cs="Arial"/>
        </w:rPr>
        <w:t xml:space="preserve">, 10(51), pp. 994–1006. Available at: </w:t>
      </w:r>
      <w:hyperlink r:id="rId23" w:history="1">
        <w:r w:rsidRPr="00F31DE6">
          <w:rPr>
            <w:rStyle w:val="Hyperlink"/>
            <w:rFonts w:cs="Arial"/>
          </w:rPr>
          <w:t>https://doi.org/10.17719/jisr.2017.1832</w:t>
        </w:r>
      </w:hyperlink>
      <w:r w:rsidRPr="00F31DE6">
        <w:rPr>
          <w:rFonts w:cs="Arial"/>
        </w:rPr>
        <w:t>.</w:t>
      </w:r>
    </w:p>
    <w:p w14:paraId="76D70E9F" w14:textId="77777777" w:rsidR="00F31DE6" w:rsidRPr="00F31DE6" w:rsidRDefault="00F31DE6" w:rsidP="0095152B">
      <w:pPr>
        <w:ind w:left="720" w:hanging="720"/>
        <w:jc w:val="left"/>
        <w:rPr>
          <w:rFonts w:cs="Arial"/>
        </w:rPr>
      </w:pPr>
      <w:r w:rsidRPr="00F31DE6">
        <w:rPr>
          <w:rFonts w:cs="Arial"/>
        </w:rPr>
        <w:lastRenderedPageBreak/>
        <w:t xml:space="preserve">Jha, A.K. </w:t>
      </w:r>
      <w:r w:rsidRPr="00F31DE6">
        <w:rPr>
          <w:rFonts w:cs="Arial"/>
          <w:i/>
          <w:iCs/>
        </w:rPr>
        <w:t>et al.</w:t>
      </w:r>
      <w:r w:rsidRPr="00F31DE6">
        <w:rPr>
          <w:rFonts w:cs="Arial"/>
        </w:rPr>
        <w:t xml:space="preserve"> (2013) </w:t>
      </w:r>
      <w:r w:rsidRPr="00F31DE6">
        <w:rPr>
          <w:rFonts w:cs="Arial"/>
          <w:i/>
          <w:iCs/>
        </w:rPr>
        <w:t>The Global Burden of Unsafe Medical Care: Analytic Modelling of Observational Studies</w:t>
      </w:r>
      <w:r w:rsidRPr="00F31DE6">
        <w:rPr>
          <w:rFonts w:cs="Arial"/>
        </w:rPr>
        <w:t xml:space="preserve">, </w:t>
      </w:r>
      <w:r w:rsidRPr="00F31DE6">
        <w:rPr>
          <w:rFonts w:cs="Arial"/>
          <w:i/>
          <w:iCs/>
        </w:rPr>
        <w:t>BMJ quality &amp; safety</w:t>
      </w:r>
      <w:r w:rsidRPr="00F31DE6">
        <w:rPr>
          <w:rFonts w:cs="Arial"/>
        </w:rPr>
        <w:t xml:space="preserve">. Available at: </w:t>
      </w:r>
      <w:hyperlink r:id="rId24" w:history="1">
        <w:r w:rsidRPr="00F31DE6">
          <w:rPr>
            <w:rStyle w:val="Hyperlink"/>
            <w:rFonts w:cs="Arial"/>
          </w:rPr>
          <w:t>https://pubmed.ncbi.nlm.nih.gov/24048616/</w:t>
        </w:r>
      </w:hyperlink>
      <w:r w:rsidRPr="00F31DE6">
        <w:rPr>
          <w:rFonts w:cs="Arial"/>
        </w:rPr>
        <w:t>.</w:t>
      </w:r>
    </w:p>
    <w:p w14:paraId="3358D390" w14:textId="77777777" w:rsidR="00F31DE6" w:rsidRPr="00F31DE6" w:rsidRDefault="00F31DE6" w:rsidP="00F31DE6">
      <w:pPr>
        <w:ind w:left="720" w:hanging="720"/>
        <w:jc w:val="left"/>
        <w:rPr>
          <w:rFonts w:cs="Arial"/>
        </w:rPr>
      </w:pPr>
      <w:r w:rsidRPr="00F31DE6">
        <w:rPr>
          <w:rFonts w:cs="Arial"/>
        </w:rPr>
        <w:t xml:space="preserve">Kletter, M. </w:t>
      </w:r>
      <w:r w:rsidRPr="00F31DE6">
        <w:rPr>
          <w:rFonts w:cs="Arial"/>
          <w:i/>
          <w:iCs/>
        </w:rPr>
        <w:t>et al.</w:t>
      </w:r>
      <w:r w:rsidRPr="00F31DE6">
        <w:rPr>
          <w:rFonts w:cs="Arial"/>
        </w:rPr>
        <w:t xml:space="preserve"> (2025) ‘Rapid evaluation of the NHS Recovery Support </w:t>
      </w:r>
      <w:proofErr w:type="spellStart"/>
      <w:r w:rsidRPr="00F31DE6">
        <w:rPr>
          <w:rFonts w:cs="Arial"/>
        </w:rPr>
        <w:t>Programme</w:t>
      </w:r>
      <w:proofErr w:type="spellEnd"/>
      <w:r w:rsidRPr="00F31DE6">
        <w:rPr>
          <w:rFonts w:cs="Arial"/>
        </w:rPr>
        <w:t xml:space="preserve"> (RSP) in England: Implementing intensive national improvement support for challenged healthcare providers and systems’, </w:t>
      </w:r>
      <w:r w:rsidRPr="00F31DE6">
        <w:rPr>
          <w:rFonts w:cs="Arial"/>
          <w:i/>
          <w:iCs/>
        </w:rPr>
        <w:t>Health Policy</w:t>
      </w:r>
      <w:r w:rsidRPr="00F31DE6">
        <w:rPr>
          <w:rFonts w:cs="Arial"/>
        </w:rPr>
        <w:t xml:space="preserve">, 155, p. 105300. Available at: </w:t>
      </w:r>
      <w:hyperlink r:id="rId25" w:history="1">
        <w:r w:rsidRPr="00F31DE6">
          <w:rPr>
            <w:rStyle w:val="Hyperlink"/>
            <w:rFonts w:cs="Arial"/>
          </w:rPr>
          <w:t>https://doi.org/10.1016/j.healthpol.2025.105300</w:t>
        </w:r>
      </w:hyperlink>
      <w:r w:rsidRPr="00F31DE6">
        <w:rPr>
          <w:rFonts w:cs="Arial"/>
        </w:rPr>
        <w:t>.</w:t>
      </w:r>
    </w:p>
    <w:p w14:paraId="71B90111" w14:textId="77777777" w:rsidR="00F31DE6" w:rsidRPr="00F31DE6" w:rsidRDefault="00F31DE6" w:rsidP="0095152B">
      <w:pPr>
        <w:ind w:left="720" w:hanging="720"/>
        <w:jc w:val="left"/>
        <w:rPr>
          <w:rFonts w:cs="Arial"/>
        </w:rPr>
      </w:pPr>
      <w:r w:rsidRPr="00F31DE6">
        <w:rPr>
          <w:rFonts w:cs="Arial"/>
        </w:rPr>
        <w:t xml:space="preserve">Kumah, A. </w:t>
      </w:r>
      <w:r w:rsidRPr="00F31DE6">
        <w:rPr>
          <w:rFonts w:cs="Arial"/>
          <w:i/>
          <w:iCs/>
        </w:rPr>
        <w:t>et al.</w:t>
      </w:r>
      <w:r w:rsidRPr="00F31DE6">
        <w:rPr>
          <w:rFonts w:cs="Arial"/>
        </w:rPr>
        <w:t xml:space="preserve"> (2024) ‘Cause-and-Effect (Fishbone) Diagram: a Tool for Generating and Organizing Quality Improvement Ideas’, </w:t>
      </w:r>
      <w:r w:rsidRPr="00F31DE6">
        <w:rPr>
          <w:rFonts w:cs="Arial"/>
          <w:i/>
          <w:iCs/>
        </w:rPr>
        <w:t>Innovations Journals</w:t>
      </w:r>
      <w:r w:rsidRPr="00F31DE6">
        <w:rPr>
          <w:rFonts w:cs="Arial"/>
        </w:rPr>
        <w:t xml:space="preserve">, 7(2), pp. 85–87. Available at: </w:t>
      </w:r>
      <w:hyperlink r:id="rId26" w:history="1">
        <w:r w:rsidRPr="00F31DE6">
          <w:rPr>
            <w:rStyle w:val="Hyperlink"/>
            <w:rFonts w:cs="Arial"/>
          </w:rPr>
          <w:t>https://doi.org/10.36401/JQSH-23-42</w:t>
        </w:r>
      </w:hyperlink>
      <w:r w:rsidRPr="00F31DE6">
        <w:rPr>
          <w:rFonts w:cs="Arial"/>
        </w:rPr>
        <w:t>.</w:t>
      </w:r>
    </w:p>
    <w:p w14:paraId="616AED7F" w14:textId="77777777" w:rsidR="00F31DE6" w:rsidRPr="00F31DE6" w:rsidRDefault="00F31DE6" w:rsidP="0095152B">
      <w:pPr>
        <w:ind w:left="720" w:hanging="720"/>
        <w:jc w:val="left"/>
        <w:rPr>
          <w:rFonts w:cs="Arial"/>
        </w:rPr>
      </w:pPr>
      <w:r w:rsidRPr="00F31DE6">
        <w:rPr>
          <w:rFonts w:cs="Arial"/>
        </w:rPr>
        <w:t xml:space="preserve">McDonagh Hull, P., Boulton, T. and Lashewicz, B. (2025) ‘Recurring red flags: a retrospective study of MBRRACE-UK Perinatal Mortality Surveillance (2015–21) to identify maternity services most consistently reporting higher-than-average deaths’, </w:t>
      </w:r>
      <w:r w:rsidRPr="00F31DE6">
        <w:rPr>
          <w:rFonts w:cs="Arial"/>
          <w:i/>
          <w:iCs/>
        </w:rPr>
        <w:t>Journal of Public Health</w:t>
      </w:r>
      <w:r w:rsidRPr="00F31DE6">
        <w:rPr>
          <w:rFonts w:cs="Arial"/>
        </w:rPr>
        <w:t xml:space="preserve"> [Preprint]. Available at: </w:t>
      </w:r>
      <w:hyperlink r:id="rId27" w:history="1">
        <w:r w:rsidRPr="00F31DE6">
          <w:rPr>
            <w:rStyle w:val="Hyperlink"/>
            <w:rFonts w:cs="Arial"/>
          </w:rPr>
          <w:t>https://doi.org/10.1093/pubmed/fdaf019</w:t>
        </w:r>
      </w:hyperlink>
      <w:r w:rsidRPr="00F31DE6">
        <w:rPr>
          <w:rFonts w:cs="Arial"/>
        </w:rPr>
        <w:t>.</w:t>
      </w:r>
    </w:p>
    <w:p w14:paraId="5E2618F2" w14:textId="77777777" w:rsidR="00F31DE6" w:rsidRPr="00F31DE6" w:rsidRDefault="00F31DE6" w:rsidP="0095152B">
      <w:pPr>
        <w:ind w:left="720" w:hanging="720"/>
        <w:jc w:val="left"/>
        <w:rPr>
          <w:rFonts w:cs="Arial"/>
        </w:rPr>
      </w:pPr>
      <w:r w:rsidRPr="00F31DE6">
        <w:rPr>
          <w:rFonts w:cs="Arial"/>
        </w:rPr>
        <w:t xml:space="preserve">Monteroso, M. </w:t>
      </w:r>
      <w:r w:rsidRPr="00F31DE6">
        <w:rPr>
          <w:rFonts w:cs="Arial"/>
          <w:i/>
          <w:iCs/>
        </w:rPr>
        <w:t>et al.</w:t>
      </w:r>
      <w:r w:rsidRPr="00F31DE6">
        <w:rPr>
          <w:rFonts w:cs="Arial"/>
        </w:rPr>
        <w:t xml:space="preserve"> (2024) ‘Six Sigma in Healthcare: A Review of Successful Applications and Diverse Impacts’, </w:t>
      </w:r>
      <w:r w:rsidRPr="00F31DE6">
        <w:rPr>
          <w:rFonts w:cs="Arial"/>
          <w:i/>
          <w:iCs/>
        </w:rPr>
        <w:t>International Journal of Research Publication and Reviews</w:t>
      </w:r>
      <w:r w:rsidRPr="00F31DE6">
        <w:rPr>
          <w:rFonts w:cs="Arial"/>
        </w:rPr>
        <w:t xml:space="preserve">, 5(7), pp. 2801–2810. Available at: </w:t>
      </w:r>
      <w:hyperlink r:id="rId28" w:history="1">
        <w:r w:rsidRPr="00F31DE6">
          <w:rPr>
            <w:rStyle w:val="Hyperlink"/>
            <w:rFonts w:cs="Arial"/>
          </w:rPr>
          <w:t>https://doi.org/10.55248/gengpi.5.0724.1836</w:t>
        </w:r>
      </w:hyperlink>
      <w:r w:rsidRPr="00F31DE6">
        <w:rPr>
          <w:rFonts w:cs="Arial"/>
        </w:rPr>
        <w:t>.</w:t>
      </w:r>
    </w:p>
    <w:p w14:paraId="7697E6C2" w14:textId="77777777" w:rsidR="00F31DE6" w:rsidRPr="00F31DE6" w:rsidRDefault="00F31DE6" w:rsidP="0095152B">
      <w:pPr>
        <w:ind w:left="720" w:hanging="720"/>
        <w:jc w:val="left"/>
        <w:rPr>
          <w:rFonts w:cs="Arial"/>
        </w:rPr>
      </w:pPr>
      <w:r w:rsidRPr="00F31DE6">
        <w:rPr>
          <w:rFonts w:cs="Arial"/>
        </w:rPr>
        <w:t xml:space="preserve">NICE (2015) </w:t>
      </w:r>
      <w:r w:rsidRPr="00F31DE6">
        <w:rPr>
          <w:rFonts w:cs="Arial"/>
          <w:i/>
          <w:iCs/>
        </w:rPr>
        <w:t xml:space="preserve">Workplace health: management </w:t>
      </w:r>
      <w:proofErr w:type="gramStart"/>
      <w:r w:rsidRPr="00F31DE6">
        <w:rPr>
          <w:rFonts w:cs="Arial"/>
          <w:i/>
          <w:iCs/>
        </w:rPr>
        <w:t xml:space="preserve">practices </w:t>
      </w:r>
      <w:r w:rsidRPr="00F31DE6">
        <w:rPr>
          <w:rFonts w:cs="Arial"/>
        </w:rPr>
        <w:t>,</w:t>
      </w:r>
      <w:proofErr w:type="gramEnd"/>
      <w:r w:rsidRPr="00F31DE6">
        <w:rPr>
          <w:rFonts w:cs="Arial"/>
        </w:rPr>
        <w:t xml:space="preserve"> </w:t>
      </w:r>
      <w:r w:rsidRPr="00F31DE6">
        <w:rPr>
          <w:rFonts w:cs="Arial"/>
          <w:i/>
          <w:iCs/>
        </w:rPr>
        <w:t>Nice.org.uk</w:t>
      </w:r>
      <w:r w:rsidRPr="00F31DE6">
        <w:rPr>
          <w:rFonts w:cs="Arial"/>
        </w:rPr>
        <w:t xml:space="preserve">. NICE. Available at: </w:t>
      </w:r>
      <w:hyperlink r:id="rId29" w:history="1">
        <w:r w:rsidRPr="00F31DE6">
          <w:rPr>
            <w:rStyle w:val="Hyperlink"/>
            <w:rFonts w:cs="Arial"/>
          </w:rPr>
          <w:t>https://www.nice.org.uk/guidance/ng13</w:t>
        </w:r>
      </w:hyperlink>
      <w:r w:rsidRPr="00F31DE6">
        <w:rPr>
          <w:rFonts w:cs="Arial"/>
        </w:rPr>
        <w:t>.</w:t>
      </w:r>
    </w:p>
    <w:p w14:paraId="3C7CA16E" w14:textId="77777777" w:rsidR="00F31DE6" w:rsidRPr="00F31DE6" w:rsidRDefault="00F31DE6" w:rsidP="0095152B">
      <w:pPr>
        <w:ind w:left="720" w:hanging="720"/>
        <w:jc w:val="left"/>
        <w:rPr>
          <w:rFonts w:cs="Arial"/>
        </w:rPr>
      </w:pPr>
      <w:r w:rsidRPr="00F31DE6">
        <w:rPr>
          <w:rFonts w:cs="Arial"/>
        </w:rPr>
        <w:t xml:space="preserve">NICE (2019) </w:t>
      </w:r>
      <w:r w:rsidRPr="00F31DE6">
        <w:rPr>
          <w:rFonts w:cs="Arial"/>
          <w:i/>
          <w:iCs/>
        </w:rPr>
        <w:t xml:space="preserve">Hypertension in pregnancy: diagnosis and </w:t>
      </w:r>
      <w:proofErr w:type="gramStart"/>
      <w:r w:rsidRPr="00F31DE6">
        <w:rPr>
          <w:rFonts w:cs="Arial"/>
          <w:i/>
          <w:iCs/>
        </w:rPr>
        <w:t xml:space="preserve">management </w:t>
      </w:r>
      <w:r w:rsidRPr="00F31DE6">
        <w:rPr>
          <w:rFonts w:cs="Arial"/>
        </w:rPr>
        <w:t>,</w:t>
      </w:r>
      <w:proofErr w:type="gramEnd"/>
      <w:r w:rsidRPr="00F31DE6">
        <w:rPr>
          <w:rFonts w:cs="Arial"/>
        </w:rPr>
        <w:t xml:space="preserve"> </w:t>
      </w:r>
      <w:r w:rsidRPr="00F31DE6">
        <w:rPr>
          <w:rFonts w:cs="Arial"/>
          <w:i/>
          <w:iCs/>
        </w:rPr>
        <w:t>Nice.org.uk</w:t>
      </w:r>
      <w:r w:rsidRPr="00F31DE6">
        <w:rPr>
          <w:rFonts w:cs="Arial"/>
        </w:rPr>
        <w:t xml:space="preserve">. NICE. Available at: </w:t>
      </w:r>
      <w:hyperlink r:id="rId30" w:history="1">
        <w:r w:rsidRPr="00F31DE6">
          <w:rPr>
            <w:rStyle w:val="Hyperlink"/>
            <w:rFonts w:cs="Arial"/>
          </w:rPr>
          <w:t>https://www.nice.org.uk/guidance/ng133</w:t>
        </w:r>
      </w:hyperlink>
      <w:r w:rsidRPr="00F31DE6">
        <w:rPr>
          <w:rFonts w:cs="Arial"/>
        </w:rPr>
        <w:t>.</w:t>
      </w:r>
    </w:p>
    <w:p w14:paraId="1449C3AB" w14:textId="77777777" w:rsidR="00F31DE6" w:rsidRPr="00F31DE6" w:rsidRDefault="00F31DE6" w:rsidP="0095152B">
      <w:pPr>
        <w:ind w:left="720" w:hanging="720"/>
        <w:jc w:val="left"/>
        <w:rPr>
          <w:rFonts w:cs="Arial"/>
        </w:rPr>
      </w:pPr>
      <w:r w:rsidRPr="00F31DE6">
        <w:rPr>
          <w:rFonts w:cs="Arial"/>
        </w:rPr>
        <w:t xml:space="preserve">Ockenden, D. (2022) </w:t>
      </w:r>
      <w:r w:rsidRPr="00F31DE6">
        <w:rPr>
          <w:rFonts w:cs="Arial"/>
          <w:i/>
          <w:iCs/>
        </w:rPr>
        <w:t>Ockenden review: summary of findings, conclusions and essential actions</w:t>
      </w:r>
      <w:r w:rsidRPr="00F31DE6">
        <w:rPr>
          <w:rFonts w:cs="Arial"/>
        </w:rPr>
        <w:t xml:space="preserve">, </w:t>
      </w:r>
      <w:r w:rsidRPr="00F31DE6">
        <w:rPr>
          <w:rFonts w:cs="Arial"/>
          <w:i/>
          <w:iCs/>
        </w:rPr>
        <w:t>GOV.UK</w:t>
      </w:r>
      <w:r w:rsidRPr="00F31DE6">
        <w:rPr>
          <w:rFonts w:cs="Arial"/>
        </w:rPr>
        <w:t xml:space="preserve">. UK Government. Available at: </w:t>
      </w:r>
      <w:hyperlink r:id="rId31" w:history="1">
        <w:r w:rsidRPr="00F31DE6">
          <w:rPr>
            <w:rStyle w:val="Hyperlink"/>
            <w:rFonts w:cs="Arial"/>
          </w:rPr>
          <w:t>https://www.gov.uk/government/publications/final-report-of-the-ockenden-review/ockenden-review-summary-of-findings-conclusions-and-essential-actions</w:t>
        </w:r>
      </w:hyperlink>
      <w:r w:rsidRPr="00F31DE6">
        <w:rPr>
          <w:rFonts w:cs="Arial"/>
        </w:rPr>
        <w:t>.</w:t>
      </w:r>
    </w:p>
    <w:p w14:paraId="6CE42E44" w14:textId="77777777" w:rsidR="00F31DE6" w:rsidRPr="00F31DE6" w:rsidRDefault="00F31DE6" w:rsidP="0095152B">
      <w:pPr>
        <w:ind w:left="720" w:hanging="720"/>
        <w:jc w:val="left"/>
        <w:rPr>
          <w:rFonts w:cs="Arial"/>
        </w:rPr>
      </w:pPr>
      <w:r w:rsidRPr="00F31DE6">
        <w:rPr>
          <w:rFonts w:cs="Arial"/>
        </w:rPr>
        <w:t xml:space="preserve">Serrat, O. (2017) </w:t>
      </w:r>
      <w:r w:rsidRPr="00F31DE6">
        <w:rPr>
          <w:rFonts w:cs="Arial"/>
          <w:i/>
          <w:iCs/>
        </w:rPr>
        <w:t>The five whys technique</w:t>
      </w:r>
      <w:r w:rsidRPr="00F31DE6">
        <w:rPr>
          <w:rFonts w:cs="Arial"/>
        </w:rPr>
        <w:t xml:space="preserve">, </w:t>
      </w:r>
      <w:r w:rsidRPr="00F31DE6">
        <w:rPr>
          <w:rFonts w:cs="Arial"/>
          <w:i/>
          <w:iCs/>
        </w:rPr>
        <w:t>ResearchGate</w:t>
      </w:r>
      <w:r w:rsidRPr="00F31DE6">
        <w:rPr>
          <w:rFonts w:cs="Arial"/>
        </w:rPr>
        <w:t xml:space="preserve">. Available at: </w:t>
      </w:r>
      <w:hyperlink r:id="rId32" w:history="1">
        <w:r w:rsidRPr="00F31DE6">
          <w:rPr>
            <w:rStyle w:val="Hyperlink"/>
            <w:rFonts w:cs="Arial"/>
          </w:rPr>
          <w:t>https://www.researchgate.net/publication/318013490_The_Five_Whys_Technique</w:t>
        </w:r>
      </w:hyperlink>
      <w:r w:rsidRPr="00F31DE6">
        <w:rPr>
          <w:rFonts w:cs="Arial"/>
        </w:rPr>
        <w:t>.</w:t>
      </w:r>
    </w:p>
    <w:p w14:paraId="08CFDAEC" w14:textId="77777777" w:rsidR="00F31DE6" w:rsidRPr="00F31DE6" w:rsidRDefault="00F31DE6" w:rsidP="00F31DE6">
      <w:pPr>
        <w:ind w:left="720" w:hanging="720"/>
        <w:jc w:val="left"/>
        <w:rPr>
          <w:rFonts w:cs="Arial"/>
        </w:rPr>
      </w:pPr>
      <w:r w:rsidRPr="00F31DE6">
        <w:rPr>
          <w:rFonts w:cs="Arial"/>
        </w:rPr>
        <w:t xml:space="preserve">Sreekanth, V. </w:t>
      </w:r>
      <w:r w:rsidRPr="00F31DE6">
        <w:rPr>
          <w:rFonts w:cs="Arial"/>
          <w:i/>
          <w:iCs/>
        </w:rPr>
        <w:t>et al.</w:t>
      </w:r>
      <w:r w:rsidRPr="00F31DE6">
        <w:rPr>
          <w:rFonts w:cs="Arial"/>
        </w:rPr>
        <w:t xml:space="preserve"> (2024) ‘Implementation of Six Sigma methodology in a medical equipment manufacturing company’, </w:t>
      </w:r>
      <w:r w:rsidRPr="00F31DE6">
        <w:rPr>
          <w:rFonts w:cs="Arial"/>
          <w:i/>
          <w:iCs/>
        </w:rPr>
        <w:t>The TQM Journal</w:t>
      </w:r>
      <w:r w:rsidRPr="00F31DE6">
        <w:rPr>
          <w:rFonts w:cs="Arial"/>
        </w:rPr>
        <w:t xml:space="preserve">, 37(7). Available at: </w:t>
      </w:r>
      <w:hyperlink r:id="rId33" w:history="1">
        <w:r w:rsidRPr="00F31DE6">
          <w:rPr>
            <w:rStyle w:val="Hyperlink"/>
            <w:rFonts w:cs="Arial"/>
          </w:rPr>
          <w:t>https://doi.org/10.1108/tqm-12-2023-0398</w:t>
        </w:r>
      </w:hyperlink>
      <w:r w:rsidRPr="00F31DE6">
        <w:rPr>
          <w:rFonts w:cs="Arial"/>
        </w:rPr>
        <w:t>.</w:t>
      </w:r>
    </w:p>
    <w:p w14:paraId="290E38B9" w14:textId="77777777" w:rsidR="00F31DE6" w:rsidRPr="00F31DE6" w:rsidRDefault="00F31DE6" w:rsidP="0095152B">
      <w:pPr>
        <w:ind w:left="720" w:hanging="720"/>
        <w:jc w:val="left"/>
        <w:rPr>
          <w:rFonts w:cs="Arial"/>
        </w:rPr>
      </w:pPr>
      <w:r w:rsidRPr="00F31DE6">
        <w:rPr>
          <w:rFonts w:cs="Arial"/>
        </w:rPr>
        <w:lastRenderedPageBreak/>
        <w:t xml:space="preserve">Wiegmann, D.A. </w:t>
      </w:r>
      <w:r w:rsidRPr="00F31DE6">
        <w:rPr>
          <w:rFonts w:cs="Arial"/>
          <w:i/>
          <w:iCs/>
        </w:rPr>
        <w:t>et al.</w:t>
      </w:r>
      <w:r w:rsidRPr="00F31DE6">
        <w:rPr>
          <w:rFonts w:cs="Arial"/>
        </w:rPr>
        <w:t xml:space="preserve"> (2022) ‘Understanding the “Swiss cheese model” and its application to patient safety’, </w:t>
      </w:r>
      <w:r w:rsidRPr="00F31DE6">
        <w:rPr>
          <w:rFonts w:cs="Arial"/>
          <w:i/>
          <w:iCs/>
        </w:rPr>
        <w:t>Journal of Patient Safety</w:t>
      </w:r>
      <w:r w:rsidRPr="00F31DE6">
        <w:rPr>
          <w:rFonts w:cs="Arial"/>
        </w:rPr>
        <w:t xml:space="preserve">, 18(2), pp. 119–123. Available at: </w:t>
      </w:r>
      <w:hyperlink r:id="rId34" w:history="1">
        <w:r w:rsidRPr="00F31DE6">
          <w:rPr>
            <w:rStyle w:val="Hyperlink"/>
            <w:rFonts w:cs="Arial"/>
          </w:rPr>
          <w:t>https://www.ncbi.nlm.nih.gov/pmc/articles/PMC8514562/</w:t>
        </w:r>
      </w:hyperlink>
      <w:r w:rsidRPr="00F31DE6">
        <w:rPr>
          <w:rFonts w:cs="Arial"/>
        </w:rPr>
        <w:t>.</w:t>
      </w:r>
    </w:p>
    <w:p w14:paraId="21A2D266" w14:textId="77777777" w:rsidR="00F31DE6" w:rsidRPr="00F31DE6" w:rsidRDefault="00F31DE6" w:rsidP="0095152B">
      <w:pPr>
        <w:ind w:left="720" w:hanging="720"/>
        <w:jc w:val="left"/>
        <w:rPr>
          <w:rFonts w:cs="Arial"/>
        </w:rPr>
      </w:pPr>
      <w:r w:rsidRPr="00F31DE6">
        <w:rPr>
          <w:rFonts w:cs="Arial"/>
        </w:rPr>
        <w:t xml:space="preserve">Yang, J. </w:t>
      </w:r>
      <w:r w:rsidRPr="00F31DE6">
        <w:rPr>
          <w:rFonts w:cs="Arial"/>
          <w:i/>
          <w:iCs/>
        </w:rPr>
        <w:t>et al.</w:t>
      </w:r>
      <w:r w:rsidRPr="00F31DE6">
        <w:rPr>
          <w:rFonts w:cs="Arial"/>
        </w:rPr>
        <w:t xml:space="preserve"> (2025) ‘Application of Donabedian Three</w:t>
      </w:r>
      <w:r w:rsidRPr="00F31DE6">
        <w:rPr>
          <w:rFonts w:ascii="Cambria Math" w:hAnsi="Cambria Math" w:cs="Cambria Math"/>
        </w:rPr>
        <w:t>‐</w:t>
      </w:r>
      <w:r w:rsidRPr="00F31DE6">
        <w:rPr>
          <w:rFonts w:cs="Arial"/>
        </w:rPr>
        <w:t xml:space="preserve">Dimensional Model in Outpatient Care Quality: A Scoping Review’, </w:t>
      </w:r>
      <w:r w:rsidRPr="00F31DE6">
        <w:rPr>
          <w:rFonts w:cs="Arial"/>
          <w:i/>
          <w:iCs/>
        </w:rPr>
        <w:t>Journal of Nursing Management</w:t>
      </w:r>
      <w:r w:rsidRPr="00F31DE6">
        <w:rPr>
          <w:rFonts w:cs="Arial"/>
        </w:rPr>
        <w:t xml:space="preserve">. Edited by J. Fiorini, 2025(1). Available at: </w:t>
      </w:r>
      <w:hyperlink r:id="rId35" w:history="1">
        <w:r w:rsidRPr="00F31DE6">
          <w:rPr>
            <w:rStyle w:val="Hyperlink"/>
            <w:rFonts w:cs="Arial"/>
          </w:rPr>
          <w:t>https://doi.org/10.1155/jonm/6893336</w:t>
        </w:r>
      </w:hyperlink>
      <w:r w:rsidRPr="00F31DE6">
        <w:rPr>
          <w:rFonts w:cs="Arial"/>
        </w:rPr>
        <w:t>.</w:t>
      </w:r>
    </w:p>
    <w:p w14:paraId="4FF973AF" w14:textId="77777777" w:rsidR="00F31DE6" w:rsidRPr="00F31DE6" w:rsidRDefault="00F31DE6" w:rsidP="00F31DE6">
      <w:pPr>
        <w:ind w:left="720" w:hanging="720"/>
        <w:jc w:val="left"/>
        <w:rPr>
          <w:rFonts w:cs="Arial"/>
        </w:rPr>
      </w:pPr>
    </w:p>
    <w:p w14:paraId="485FB66D" w14:textId="77777777" w:rsidR="0095152B" w:rsidRPr="00F31DE6" w:rsidRDefault="0095152B" w:rsidP="00F138AF">
      <w:pPr>
        <w:ind w:left="720" w:hanging="720"/>
        <w:rPr>
          <w:rFonts w:cs="Arial"/>
        </w:rPr>
      </w:pPr>
    </w:p>
    <w:p w14:paraId="6F548148" w14:textId="77777777" w:rsidR="002204C6" w:rsidRPr="00F31DE6" w:rsidRDefault="002204C6" w:rsidP="002204C6">
      <w:pPr>
        <w:rPr>
          <w:rFonts w:cs="Arial"/>
        </w:rPr>
      </w:pPr>
    </w:p>
    <w:sectPr w:rsidR="002204C6" w:rsidRPr="00F31DE6" w:rsidSect="00E759F1">
      <w:footerReference w:type="default" r:id="rId36"/>
      <w:pgSz w:w="11906" w:h="16838"/>
      <w:pgMar w:top="1440" w:right="1440" w:bottom="1440" w:left="1440" w:header="708" w:footer="708" w:gutter="0"/>
      <w:pgBorders w:offsetFrom="page">
        <w:top w:val="thinThickSmallGap" w:sz="12" w:space="24" w:color="0070C0"/>
        <w:left w:val="thinThickSmallGap" w:sz="12" w:space="24" w:color="0070C0"/>
        <w:bottom w:val="thickThinSmallGap" w:sz="12" w:space="24" w:color="0070C0"/>
        <w:right w:val="thickThinSmallGap" w:sz="12"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208ED" w14:textId="77777777" w:rsidR="00831BFD" w:rsidRDefault="00831BFD" w:rsidP="0095152B">
      <w:pPr>
        <w:spacing w:after="0" w:line="240" w:lineRule="auto"/>
      </w:pPr>
      <w:r>
        <w:separator/>
      </w:r>
    </w:p>
  </w:endnote>
  <w:endnote w:type="continuationSeparator" w:id="0">
    <w:p w14:paraId="5B230149" w14:textId="77777777" w:rsidR="00831BFD" w:rsidRDefault="00831BFD" w:rsidP="00951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849621"/>
      <w:docPartObj>
        <w:docPartGallery w:val="Page Numbers (Bottom of Page)"/>
        <w:docPartUnique/>
      </w:docPartObj>
    </w:sdtPr>
    <w:sdtEndPr>
      <w:rPr>
        <w:noProof/>
      </w:rPr>
    </w:sdtEndPr>
    <w:sdtContent>
      <w:p w14:paraId="60F67D57" w14:textId="6427A1C8" w:rsidR="0095152B" w:rsidRDefault="009515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F3AAFD" w14:textId="77777777" w:rsidR="0095152B" w:rsidRDefault="00951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55F9A" w14:textId="77777777" w:rsidR="00831BFD" w:rsidRDefault="00831BFD" w:rsidP="0095152B">
      <w:pPr>
        <w:spacing w:after="0" w:line="240" w:lineRule="auto"/>
      </w:pPr>
      <w:r>
        <w:separator/>
      </w:r>
    </w:p>
  </w:footnote>
  <w:footnote w:type="continuationSeparator" w:id="0">
    <w:p w14:paraId="3347427D" w14:textId="77777777" w:rsidR="00831BFD" w:rsidRDefault="00831BFD" w:rsidP="00951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B4DE4"/>
    <w:multiLevelType w:val="multilevel"/>
    <w:tmpl w:val="DEB8B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BF7056E"/>
    <w:multiLevelType w:val="multilevel"/>
    <w:tmpl w:val="0346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02615"/>
    <w:multiLevelType w:val="hybridMultilevel"/>
    <w:tmpl w:val="DB8419E6"/>
    <w:lvl w:ilvl="0" w:tplc="0C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467035"/>
    <w:multiLevelType w:val="multilevel"/>
    <w:tmpl w:val="D3B2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43FDF"/>
    <w:multiLevelType w:val="hybridMultilevel"/>
    <w:tmpl w:val="CA548B50"/>
    <w:lvl w:ilvl="0" w:tplc="0D7806E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A06C57"/>
    <w:multiLevelType w:val="hybridMultilevel"/>
    <w:tmpl w:val="3670C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7914C4"/>
    <w:multiLevelType w:val="multilevel"/>
    <w:tmpl w:val="A0CA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417CC"/>
    <w:multiLevelType w:val="hybridMultilevel"/>
    <w:tmpl w:val="B06CBF02"/>
    <w:lvl w:ilvl="0" w:tplc="0D7806E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DE4EAF"/>
    <w:multiLevelType w:val="hybridMultilevel"/>
    <w:tmpl w:val="3B803142"/>
    <w:lvl w:ilvl="0" w:tplc="0D7806E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E65169"/>
    <w:multiLevelType w:val="hybridMultilevel"/>
    <w:tmpl w:val="BCFEEAA8"/>
    <w:lvl w:ilvl="0" w:tplc="0C000005">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4EA72059"/>
    <w:multiLevelType w:val="hybridMultilevel"/>
    <w:tmpl w:val="7DDAA926"/>
    <w:lvl w:ilvl="0" w:tplc="0C000005">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5C573CF3"/>
    <w:multiLevelType w:val="hybridMultilevel"/>
    <w:tmpl w:val="F82AED16"/>
    <w:lvl w:ilvl="0" w:tplc="0D7806E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05CEC"/>
    <w:multiLevelType w:val="multilevel"/>
    <w:tmpl w:val="4828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37964"/>
    <w:multiLevelType w:val="multilevel"/>
    <w:tmpl w:val="9E56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894690">
    <w:abstractNumId w:val="14"/>
  </w:num>
  <w:num w:numId="2" w16cid:durableId="1836603425">
    <w:abstractNumId w:val="0"/>
  </w:num>
  <w:num w:numId="3" w16cid:durableId="1201286092">
    <w:abstractNumId w:val="7"/>
  </w:num>
  <w:num w:numId="4" w16cid:durableId="451553540">
    <w:abstractNumId w:val="13"/>
  </w:num>
  <w:num w:numId="5" w16cid:durableId="597103096">
    <w:abstractNumId w:val="4"/>
  </w:num>
  <w:num w:numId="6" w16cid:durableId="209656951">
    <w:abstractNumId w:val="2"/>
  </w:num>
  <w:num w:numId="7" w16cid:durableId="827601574">
    <w:abstractNumId w:val="11"/>
  </w:num>
  <w:num w:numId="8" w16cid:durableId="1237743128">
    <w:abstractNumId w:val="10"/>
  </w:num>
  <w:num w:numId="9" w16cid:durableId="620187065">
    <w:abstractNumId w:val="3"/>
  </w:num>
  <w:num w:numId="10" w16cid:durableId="995186052">
    <w:abstractNumId w:val="1"/>
  </w:num>
  <w:num w:numId="11" w16cid:durableId="1857621237">
    <w:abstractNumId w:val="1"/>
  </w:num>
  <w:num w:numId="12" w16cid:durableId="934944307">
    <w:abstractNumId w:val="1"/>
  </w:num>
  <w:num w:numId="13" w16cid:durableId="1256472977">
    <w:abstractNumId w:val="1"/>
  </w:num>
  <w:num w:numId="14" w16cid:durableId="257955707">
    <w:abstractNumId w:val="1"/>
  </w:num>
  <w:num w:numId="15" w16cid:durableId="1013535516">
    <w:abstractNumId w:val="1"/>
  </w:num>
  <w:num w:numId="16" w16cid:durableId="13004084">
    <w:abstractNumId w:val="1"/>
  </w:num>
  <w:num w:numId="17" w16cid:durableId="333192292">
    <w:abstractNumId w:val="1"/>
  </w:num>
  <w:num w:numId="18" w16cid:durableId="695932518">
    <w:abstractNumId w:val="1"/>
  </w:num>
  <w:num w:numId="19" w16cid:durableId="353264474">
    <w:abstractNumId w:val="1"/>
  </w:num>
  <w:num w:numId="20" w16cid:durableId="689452957">
    <w:abstractNumId w:val="6"/>
  </w:num>
  <w:num w:numId="21" w16cid:durableId="545071429">
    <w:abstractNumId w:val="12"/>
  </w:num>
  <w:num w:numId="22" w16cid:durableId="1440760717">
    <w:abstractNumId w:val="8"/>
  </w:num>
  <w:num w:numId="23" w16cid:durableId="381712696">
    <w:abstractNumId w:val="9"/>
  </w:num>
  <w:num w:numId="24" w16cid:durableId="303316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83"/>
    <w:rsid w:val="00007216"/>
    <w:rsid w:val="00014E60"/>
    <w:rsid w:val="0006237F"/>
    <w:rsid w:val="00073AA7"/>
    <w:rsid w:val="000910FB"/>
    <w:rsid w:val="001862CC"/>
    <w:rsid w:val="00186813"/>
    <w:rsid w:val="001E1EC9"/>
    <w:rsid w:val="002204C6"/>
    <w:rsid w:val="00240B64"/>
    <w:rsid w:val="002D64D0"/>
    <w:rsid w:val="002E38AE"/>
    <w:rsid w:val="002E3DE4"/>
    <w:rsid w:val="00300862"/>
    <w:rsid w:val="0035075F"/>
    <w:rsid w:val="00352C41"/>
    <w:rsid w:val="003679C5"/>
    <w:rsid w:val="00385177"/>
    <w:rsid w:val="003B7627"/>
    <w:rsid w:val="003E0982"/>
    <w:rsid w:val="003E18A8"/>
    <w:rsid w:val="00456409"/>
    <w:rsid w:val="004A48F8"/>
    <w:rsid w:val="004B288B"/>
    <w:rsid w:val="004D6893"/>
    <w:rsid w:val="004E7A93"/>
    <w:rsid w:val="00514987"/>
    <w:rsid w:val="00546B51"/>
    <w:rsid w:val="00560A44"/>
    <w:rsid w:val="005A0078"/>
    <w:rsid w:val="005E097A"/>
    <w:rsid w:val="005F376F"/>
    <w:rsid w:val="0061414F"/>
    <w:rsid w:val="006801AF"/>
    <w:rsid w:val="006E6866"/>
    <w:rsid w:val="007010B2"/>
    <w:rsid w:val="00741B8F"/>
    <w:rsid w:val="0076614B"/>
    <w:rsid w:val="007800A2"/>
    <w:rsid w:val="0081057F"/>
    <w:rsid w:val="00831BFD"/>
    <w:rsid w:val="0088361B"/>
    <w:rsid w:val="008B07A4"/>
    <w:rsid w:val="008B5FB8"/>
    <w:rsid w:val="009004C8"/>
    <w:rsid w:val="00915E83"/>
    <w:rsid w:val="009301D9"/>
    <w:rsid w:val="0095152B"/>
    <w:rsid w:val="00954D00"/>
    <w:rsid w:val="00956054"/>
    <w:rsid w:val="00970E40"/>
    <w:rsid w:val="009A5717"/>
    <w:rsid w:val="009F6E52"/>
    <w:rsid w:val="00A718D4"/>
    <w:rsid w:val="00AA2E50"/>
    <w:rsid w:val="00AB55CC"/>
    <w:rsid w:val="00AD5530"/>
    <w:rsid w:val="00AE22B4"/>
    <w:rsid w:val="00B37D54"/>
    <w:rsid w:val="00BB4F4D"/>
    <w:rsid w:val="00BB5495"/>
    <w:rsid w:val="00BE570B"/>
    <w:rsid w:val="00BF5745"/>
    <w:rsid w:val="00C25446"/>
    <w:rsid w:val="00C36F6E"/>
    <w:rsid w:val="00C4634B"/>
    <w:rsid w:val="00C7620E"/>
    <w:rsid w:val="00CC4946"/>
    <w:rsid w:val="00CE46D9"/>
    <w:rsid w:val="00CF6566"/>
    <w:rsid w:val="00D02ED6"/>
    <w:rsid w:val="00DC6B76"/>
    <w:rsid w:val="00DD1D07"/>
    <w:rsid w:val="00E40364"/>
    <w:rsid w:val="00E56597"/>
    <w:rsid w:val="00E759F1"/>
    <w:rsid w:val="00EB4239"/>
    <w:rsid w:val="00EB6318"/>
    <w:rsid w:val="00F00427"/>
    <w:rsid w:val="00F138AF"/>
    <w:rsid w:val="00F25C62"/>
    <w:rsid w:val="00F31DE6"/>
    <w:rsid w:val="00F90FC1"/>
    <w:rsid w:val="00FB5611"/>
    <w:rsid w:val="00FD68B6"/>
    <w:rsid w:val="00FD745D"/>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A168"/>
  <w15:chartTrackingRefBased/>
  <w15:docId w15:val="{3CF1E42A-FC0A-4DC4-A451-7D870E8E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DE6"/>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E40364"/>
    <w:pPr>
      <w:keepNext/>
      <w:keepLines/>
      <w:numPr>
        <w:numId w:val="19"/>
      </w:numPr>
      <w:pBdr>
        <w:bottom w:val="single" w:sz="4" w:space="1" w:color="595959" w:themeColor="text1" w:themeTint="A6"/>
      </w:pBdr>
      <w:spacing w:before="360"/>
      <w:outlineLvl w:val="0"/>
    </w:pPr>
    <w:rPr>
      <w:rFonts w:eastAsiaTheme="majorEastAsia" w:cstheme="majorBidi"/>
      <w:b/>
      <w:bCs/>
      <w:smallCaps/>
      <w:color w:val="0070C0"/>
      <w:sz w:val="32"/>
      <w:szCs w:val="36"/>
    </w:rPr>
  </w:style>
  <w:style w:type="paragraph" w:styleId="Heading2">
    <w:name w:val="heading 2"/>
    <w:basedOn w:val="Normal"/>
    <w:next w:val="Normal"/>
    <w:link w:val="Heading2Char"/>
    <w:uiPriority w:val="9"/>
    <w:unhideWhenUsed/>
    <w:qFormat/>
    <w:rsid w:val="0076614B"/>
    <w:pPr>
      <w:keepNext/>
      <w:keepLines/>
      <w:numPr>
        <w:ilvl w:val="1"/>
        <w:numId w:val="19"/>
      </w:numPr>
      <w:spacing w:after="0"/>
      <w:outlineLvl w:val="1"/>
    </w:pPr>
    <w:rPr>
      <w:rFonts w:eastAsiaTheme="majorEastAsia" w:cstheme="majorBidi"/>
      <w:b/>
      <w:bCs/>
      <w:color w:val="0070C0"/>
      <w:sz w:val="28"/>
      <w:szCs w:val="28"/>
    </w:rPr>
  </w:style>
  <w:style w:type="paragraph" w:styleId="Heading3">
    <w:name w:val="heading 3"/>
    <w:basedOn w:val="Normal"/>
    <w:next w:val="Normal"/>
    <w:link w:val="Heading3Char"/>
    <w:uiPriority w:val="9"/>
    <w:unhideWhenUsed/>
    <w:qFormat/>
    <w:rsid w:val="00E40364"/>
    <w:pPr>
      <w:keepNext/>
      <w:keepLines/>
      <w:numPr>
        <w:ilvl w:val="2"/>
        <w:numId w:val="19"/>
      </w:numPr>
      <w:spacing w:before="200" w:after="0"/>
      <w:outlineLvl w:val="2"/>
    </w:pPr>
    <w:rPr>
      <w:rFonts w:eastAsiaTheme="majorEastAsia" w:cstheme="majorBidi"/>
      <w:b/>
      <w:bCs/>
      <w:color w:val="0070C0"/>
      <w:sz w:val="26"/>
    </w:rPr>
  </w:style>
  <w:style w:type="paragraph" w:styleId="Heading4">
    <w:name w:val="heading 4"/>
    <w:basedOn w:val="Normal"/>
    <w:next w:val="Normal"/>
    <w:link w:val="Heading4Char"/>
    <w:uiPriority w:val="9"/>
    <w:semiHidden/>
    <w:unhideWhenUsed/>
    <w:qFormat/>
    <w:rsid w:val="00E40364"/>
    <w:pPr>
      <w:keepNext/>
      <w:keepLines/>
      <w:numPr>
        <w:ilvl w:val="3"/>
        <w:numId w:val="19"/>
      </w:num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E40364"/>
    <w:pPr>
      <w:keepNext/>
      <w:keepLines/>
      <w:numPr>
        <w:ilvl w:val="4"/>
        <w:numId w:val="19"/>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E40364"/>
    <w:pPr>
      <w:keepNext/>
      <w:keepLines/>
      <w:numPr>
        <w:ilvl w:val="5"/>
        <w:numId w:val="19"/>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E40364"/>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40364"/>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40364"/>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364"/>
    <w:rPr>
      <w:rFonts w:ascii="Times New Roman" w:eastAsiaTheme="majorEastAsia" w:hAnsi="Times New Roman" w:cstheme="majorBidi"/>
      <w:b/>
      <w:bCs/>
      <w:smallCaps/>
      <w:color w:val="0070C0"/>
      <w:sz w:val="32"/>
      <w:szCs w:val="36"/>
    </w:rPr>
  </w:style>
  <w:style w:type="character" w:customStyle="1" w:styleId="Heading2Char">
    <w:name w:val="Heading 2 Char"/>
    <w:basedOn w:val="DefaultParagraphFont"/>
    <w:link w:val="Heading2"/>
    <w:uiPriority w:val="9"/>
    <w:rsid w:val="0076614B"/>
    <w:rPr>
      <w:rFonts w:ascii="Arial" w:eastAsiaTheme="majorEastAsia" w:hAnsi="Arial" w:cstheme="majorBidi"/>
      <w:b/>
      <w:bCs/>
      <w:color w:val="0070C0"/>
      <w:sz w:val="28"/>
      <w:szCs w:val="28"/>
    </w:rPr>
  </w:style>
  <w:style w:type="character" w:customStyle="1" w:styleId="Heading3Char">
    <w:name w:val="Heading 3 Char"/>
    <w:basedOn w:val="DefaultParagraphFont"/>
    <w:link w:val="Heading3"/>
    <w:uiPriority w:val="9"/>
    <w:rsid w:val="00E40364"/>
    <w:rPr>
      <w:rFonts w:ascii="Times New Roman" w:eastAsiaTheme="majorEastAsia" w:hAnsi="Times New Roman" w:cstheme="majorBidi"/>
      <w:b/>
      <w:bCs/>
      <w:color w:val="0070C0"/>
      <w:sz w:val="26"/>
    </w:rPr>
  </w:style>
  <w:style w:type="paragraph" w:styleId="Title">
    <w:name w:val="Title"/>
    <w:basedOn w:val="Normal"/>
    <w:next w:val="Normal"/>
    <w:link w:val="TitleChar"/>
    <w:uiPriority w:val="10"/>
    <w:qFormat/>
    <w:rsid w:val="00E40364"/>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40364"/>
    <w:rPr>
      <w:rFonts w:asciiTheme="majorHAnsi" w:eastAsiaTheme="majorEastAsia" w:hAnsiTheme="majorHAnsi" w:cstheme="majorBidi"/>
      <w:color w:val="000000" w:themeColor="text1"/>
      <w:sz w:val="56"/>
      <w:szCs w:val="56"/>
    </w:rPr>
  </w:style>
  <w:style w:type="paragraph" w:customStyle="1" w:styleId="HB">
    <w:name w:val="HB"/>
    <w:basedOn w:val="Heading2"/>
    <w:link w:val="HBChar"/>
    <w:autoRedefine/>
    <w:rsid w:val="00A718D4"/>
    <w:rPr>
      <w:b w:val="0"/>
      <w:color w:val="000000" w:themeColor="text1"/>
    </w:rPr>
  </w:style>
  <w:style w:type="character" w:customStyle="1" w:styleId="HBChar">
    <w:name w:val="HB Char"/>
    <w:basedOn w:val="Heading2Char"/>
    <w:link w:val="HB"/>
    <w:rsid w:val="00A718D4"/>
    <w:rPr>
      <w:rFonts w:ascii="Times New Roman" w:eastAsiaTheme="majorEastAsia" w:hAnsi="Times New Roman" w:cstheme="majorBidi"/>
      <w:b w:val="0"/>
      <w:bCs/>
      <w:smallCaps w:val="0"/>
      <w:color w:val="000000" w:themeColor="text1"/>
      <w:kern w:val="0"/>
      <w:sz w:val="32"/>
      <w:szCs w:val="32"/>
      <w:lang w:val="en-GB"/>
      <w14:ligatures w14:val="none"/>
    </w:rPr>
  </w:style>
  <w:style w:type="character" w:customStyle="1" w:styleId="Heading4Char">
    <w:name w:val="Heading 4 Char"/>
    <w:basedOn w:val="DefaultParagraphFont"/>
    <w:link w:val="Heading4"/>
    <w:uiPriority w:val="9"/>
    <w:semiHidden/>
    <w:rsid w:val="00E4036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40364"/>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E40364"/>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E4036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4036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40364"/>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sid w:val="00E4036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40364"/>
    <w:rPr>
      <w:color w:val="5A5A5A" w:themeColor="text1" w:themeTint="A5"/>
      <w:spacing w:val="10"/>
    </w:rPr>
  </w:style>
  <w:style w:type="paragraph" w:styleId="Quote">
    <w:name w:val="Quote"/>
    <w:basedOn w:val="Normal"/>
    <w:next w:val="Normal"/>
    <w:link w:val="QuoteChar"/>
    <w:uiPriority w:val="29"/>
    <w:qFormat/>
    <w:rsid w:val="00E40364"/>
    <w:pPr>
      <w:spacing w:before="160"/>
      <w:ind w:left="720" w:right="720"/>
    </w:pPr>
    <w:rPr>
      <w:i/>
      <w:iCs/>
    </w:rPr>
  </w:style>
  <w:style w:type="character" w:customStyle="1" w:styleId="QuoteChar">
    <w:name w:val="Quote Char"/>
    <w:basedOn w:val="DefaultParagraphFont"/>
    <w:link w:val="Quote"/>
    <w:uiPriority w:val="29"/>
    <w:rsid w:val="00E40364"/>
    <w:rPr>
      <w:i/>
      <w:iCs/>
      <w:color w:val="000000" w:themeColor="text1"/>
    </w:rPr>
  </w:style>
  <w:style w:type="paragraph" w:styleId="ListParagraph">
    <w:name w:val="List Paragraph"/>
    <w:basedOn w:val="Normal"/>
    <w:uiPriority w:val="34"/>
    <w:qFormat/>
    <w:rsid w:val="00915E83"/>
    <w:pPr>
      <w:ind w:left="720"/>
      <w:contextualSpacing/>
    </w:pPr>
  </w:style>
  <w:style w:type="character" w:styleId="IntenseEmphasis">
    <w:name w:val="Intense Emphasis"/>
    <w:basedOn w:val="DefaultParagraphFont"/>
    <w:uiPriority w:val="21"/>
    <w:qFormat/>
    <w:rsid w:val="00E40364"/>
    <w:rPr>
      <w:b/>
      <w:bCs/>
      <w:i/>
      <w:iCs/>
      <w:caps/>
    </w:rPr>
  </w:style>
  <w:style w:type="paragraph" w:styleId="IntenseQuote">
    <w:name w:val="Intense Quote"/>
    <w:basedOn w:val="Normal"/>
    <w:next w:val="Normal"/>
    <w:link w:val="IntenseQuoteChar"/>
    <w:uiPriority w:val="30"/>
    <w:qFormat/>
    <w:rsid w:val="00E4036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style>
  <w:style w:type="character" w:customStyle="1" w:styleId="IntenseQuoteChar">
    <w:name w:val="Intense Quote Char"/>
    <w:basedOn w:val="DefaultParagraphFont"/>
    <w:link w:val="IntenseQuote"/>
    <w:uiPriority w:val="30"/>
    <w:rsid w:val="00E40364"/>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E40364"/>
    <w:rPr>
      <w:b/>
      <w:bCs/>
      <w:smallCaps/>
      <w:u w:val="single"/>
    </w:rPr>
  </w:style>
  <w:style w:type="table" w:styleId="TableGrid">
    <w:name w:val="Table Grid"/>
    <w:basedOn w:val="TableNormal"/>
    <w:uiPriority w:val="39"/>
    <w:rsid w:val="00F00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0364"/>
    <w:pPr>
      <w:outlineLvl w:val="9"/>
    </w:pPr>
  </w:style>
  <w:style w:type="paragraph" w:styleId="TOC1">
    <w:name w:val="toc 1"/>
    <w:basedOn w:val="Normal"/>
    <w:next w:val="Normal"/>
    <w:autoRedefine/>
    <w:uiPriority w:val="39"/>
    <w:unhideWhenUsed/>
    <w:rsid w:val="00AE22B4"/>
    <w:pPr>
      <w:spacing w:after="100"/>
    </w:pPr>
  </w:style>
  <w:style w:type="paragraph" w:styleId="TOC2">
    <w:name w:val="toc 2"/>
    <w:basedOn w:val="Normal"/>
    <w:next w:val="Normal"/>
    <w:autoRedefine/>
    <w:uiPriority w:val="39"/>
    <w:unhideWhenUsed/>
    <w:rsid w:val="00AE22B4"/>
    <w:pPr>
      <w:spacing w:after="100"/>
      <w:ind w:left="240"/>
    </w:pPr>
  </w:style>
  <w:style w:type="paragraph" w:styleId="TOC3">
    <w:name w:val="toc 3"/>
    <w:basedOn w:val="Normal"/>
    <w:next w:val="Normal"/>
    <w:autoRedefine/>
    <w:uiPriority w:val="39"/>
    <w:unhideWhenUsed/>
    <w:rsid w:val="00AE22B4"/>
    <w:pPr>
      <w:spacing w:after="100"/>
      <w:ind w:left="480"/>
    </w:pPr>
  </w:style>
  <w:style w:type="character" w:styleId="Hyperlink">
    <w:name w:val="Hyperlink"/>
    <w:basedOn w:val="DefaultParagraphFont"/>
    <w:uiPriority w:val="99"/>
    <w:unhideWhenUsed/>
    <w:rsid w:val="00AE22B4"/>
    <w:rPr>
      <w:color w:val="467886" w:themeColor="hyperlink"/>
      <w:u w:val="single"/>
    </w:rPr>
  </w:style>
  <w:style w:type="paragraph" w:styleId="Caption">
    <w:name w:val="caption"/>
    <w:basedOn w:val="Normal"/>
    <w:next w:val="Normal"/>
    <w:uiPriority w:val="35"/>
    <w:semiHidden/>
    <w:unhideWhenUsed/>
    <w:qFormat/>
    <w:rsid w:val="00E40364"/>
    <w:pPr>
      <w:spacing w:after="200" w:line="240" w:lineRule="auto"/>
    </w:pPr>
    <w:rPr>
      <w:i/>
      <w:iCs/>
      <w:color w:val="0E2841" w:themeColor="text2"/>
      <w:sz w:val="18"/>
      <w:szCs w:val="18"/>
    </w:rPr>
  </w:style>
  <w:style w:type="character" w:styleId="Strong">
    <w:name w:val="Strong"/>
    <w:basedOn w:val="DefaultParagraphFont"/>
    <w:uiPriority w:val="22"/>
    <w:qFormat/>
    <w:rsid w:val="00E40364"/>
    <w:rPr>
      <w:b/>
      <w:bCs/>
      <w:color w:val="000000" w:themeColor="text1"/>
    </w:rPr>
  </w:style>
  <w:style w:type="character" w:styleId="Emphasis">
    <w:name w:val="Emphasis"/>
    <w:basedOn w:val="DefaultParagraphFont"/>
    <w:uiPriority w:val="20"/>
    <w:qFormat/>
    <w:rsid w:val="00E40364"/>
    <w:rPr>
      <w:i/>
      <w:iCs/>
      <w:color w:val="auto"/>
    </w:rPr>
  </w:style>
  <w:style w:type="paragraph" w:styleId="NoSpacing">
    <w:name w:val="No Spacing"/>
    <w:uiPriority w:val="1"/>
    <w:qFormat/>
    <w:rsid w:val="00E40364"/>
    <w:pPr>
      <w:spacing w:after="0" w:line="240" w:lineRule="auto"/>
    </w:pPr>
  </w:style>
  <w:style w:type="character" w:styleId="SubtleEmphasis">
    <w:name w:val="Subtle Emphasis"/>
    <w:basedOn w:val="DefaultParagraphFont"/>
    <w:uiPriority w:val="19"/>
    <w:qFormat/>
    <w:rsid w:val="00E40364"/>
    <w:rPr>
      <w:i/>
      <w:iCs/>
      <w:color w:val="404040" w:themeColor="text1" w:themeTint="BF"/>
    </w:rPr>
  </w:style>
  <w:style w:type="character" w:styleId="SubtleReference">
    <w:name w:val="Subtle Reference"/>
    <w:basedOn w:val="DefaultParagraphFont"/>
    <w:uiPriority w:val="31"/>
    <w:qFormat/>
    <w:rsid w:val="00E40364"/>
    <w:rPr>
      <w:smallCaps/>
      <w:color w:val="404040" w:themeColor="text1" w:themeTint="BF"/>
      <w:u w:val="single" w:color="7F7F7F" w:themeColor="text1" w:themeTint="80"/>
    </w:rPr>
  </w:style>
  <w:style w:type="character" w:styleId="BookTitle">
    <w:name w:val="Book Title"/>
    <w:basedOn w:val="DefaultParagraphFont"/>
    <w:uiPriority w:val="33"/>
    <w:qFormat/>
    <w:rsid w:val="00E40364"/>
    <w:rPr>
      <w:b w:val="0"/>
      <w:bCs w:val="0"/>
      <w:smallCaps/>
      <w:spacing w:val="5"/>
    </w:rPr>
  </w:style>
  <w:style w:type="paragraph" w:styleId="NormalWeb">
    <w:name w:val="Normal (Web)"/>
    <w:basedOn w:val="Normal"/>
    <w:uiPriority w:val="99"/>
    <w:semiHidden/>
    <w:unhideWhenUsed/>
    <w:rsid w:val="00E40364"/>
    <w:rPr>
      <w:rFonts w:cs="Times New Roman"/>
      <w:szCs w:val="24"/>
    </w:rPr>
  </w:style>
  <w:style w:type="paragraph" w:styleId="Header">
    <w:name w:val="header"/>
    <w:basedOn w:val="Normal"/>
    <w:link w:val="HeaderChar"/>
    <w:uiPriority w:val="99"/>
    <w:unhideWhenUsed/>
    <w:rsid w:val="009515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52B"/>
    <w:rPr>
      <w:rFonts w:ascii="Times New Roman" w:hAnsi="Times New Roman"/>
      <w:color w:val="000000" w:themeColor="text1"/>
      <w:sz w:val="24"/>
    </w:rPr>
  </w:style>
  <w:style w:type="paragraph" w:styleId="Footer">
    <w:name w:val="footer"/>
    <w:basedOn w:val="Normal"/>
    <w:link w:val="FooterChar"/>
    <w:uiPriority w:val="99"/>
    <w:unhideWhenUsed/>
    <w:rsid w:val="009515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52B"/>
    <w:rPr>
      <w:rFonts w:ascii="Times New Roman" w:hAnsi="Times New Roman"/>
      <w:color w:val="000000" w:themeColor="text1"/>
      <w:sz w:val="24"/>
    </w:rPr>
  </w:style>
  <w:style w:type="character" w:styleId="UnresolvedMention">
    <w:name w:val="Unresolved Mention"/>
    <w:basedOn w:val="DefaultParagraphFont"/>
    <w:uiPriority w:val="99"/>
    <w:semiHidden/>
    <w:unhideWhenUsed/>
    <w:rsid w:val="00951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016/j.healthpol.2015.02.002" TargetMode="External"/><Relationship Id="rId26" Type="http://schemas.openxmlformats.org/officeDocument/2006/relationships/hyperlink" Target="https://doi.org/10.36401/JQSH-23-42" TargetMode="External"/><Relationship Id="rId21" Type="http://schemas.openxmlformats.org/officeDocument/2006/relationships/hyperlink" Target="https://doi.org/10.36401/jqsh-23-25" TargetMode="External"/><Relationship Id="rId34" Type="http://schemas.openxmlformats.org/officeDocument/2006/relationships/hyperlink" Target="https://www.ncbi.nlm.nih.gov/pmc/articles/PMC8514562/"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cqc.org.uk/guidance-regulation/providers/assessment/single-assessment-framework/well-led/capable-compassionate-inclusive-leaders" TargetMode="External"/><Relationship Id="rId25" Type="http://schemas.openxmlformats.org/officeDocument/2006/relationships/hyperlink" Target="https://doi.org/10.1016/j.healthpol.2025.105300" TargetMode="External"/><Relationship Id="rId33" Type="http://schemas.openxmlformats.org/officeDocument/2006/relationships/hyperlink" Target="https://doi.org/10.1108/tqm-12-2023-039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cppeds.2025.101759" TargetMode="External"/><Relationship Id="rId20" Type="http://schemas.openxmlformats.org/officeDocument/2006/relationships/hyperlink" Target="https://learn.hms.harvard.edu/insights/all-insights/importance-adopting-lean-mindset-and-culture-health-care-organizations" TargetMode="External"/><Relationship Id="rId29" Type="http://schemas.openxmlformats.org/officeDocument/2006/relationships/hyperlink" Target="https://www.nice.org.uk/guidance/ng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pubmed.ncbi.nlm.nih.gov/24048616/" TargetMode="External"/><Relationship Id="rId32" Type="http://schemas.openxmlformats.org/officeDocument/2006/relationships/hyperlink" Target="https://www.researchgate.net/publication/318013490_The_Five_Whys_Techniqu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m/news/uk-england-shropshire-60925959" TargetMode="External"/><Relationship Id="rId23" Type="http://schemas.openxmlformats.org/officeDocument/2006/relationships/hyperlink" Target="https://doi.org/10.17719/jisr.2017.1832" TargetMode="External"/><Relationship Id="rId28" Type="http://schemas.openxmlformats.org/officeDocument/2006/relationships/hyperlink" Target="https://doi.org/10.55248/gengpi.5.0724.1836" TargetMode="External"/><Relationship Id="rId36"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doi.org/10.1111/tme.12665" TargetMode="External"/><Relationship Id="rId31" Type="http://schemas.openxmlformats.org/officeDocument/2006/relationships/hyperlink" Target="https://www.gov.uk/government/publications/final-report-of-the-ockenden-review/ockenden-review-summary-of-findings-conclusions-and-essential-actions"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doi.org/10.1016/j.amepre.2020.08.019" TargetMode="External"/><Relationship Id="rId27" Type="http://schemas.openxmlformats.org/officeDocument/2006/relationships/hyperlink" Target="https://doi.org/10.1093/pubmed/fdaf019" TargetMode="External"/><Relationship Id="rId30" Type="http://schemas.openxmlformats.org/officeDocument/2006/relationships/hyperlink" Target="https://www.nice.org.uk/guidance/ng133" TargetMode="External"/><Relationship Id="rId35" Type="http://schemas.openxmlformats.org/officeDocument/2006/relationships/hyperlink" Target="https://doi.org/10.1155/jonm/6893336"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6D22A4-FB38-477E-8894-9AF5132631E2}" type="doc">
      <dgm:prSet loTypeId="urn:microsoft.com/office/officeart/2005/8/layout/chevron1" loCatId="process" qsTypeId="urn:microsoft.com/office/officeart/2005/8/quickstyle/simple1" qsCatId="simple" csTypeId="urn:microsoft.com/office/officeart/2005/8/colors/colorful5" csCatId="colorful" phldr="1"/>
      <dgm:spPr/>
    </dgm:pt>
    <dgm:pt modelId="{55596DE2-7476-491A-8DDD-869AB9455A92}">
      <dgm:prSet phldrT="[Text]" custT="1"/>
      <dgm:spPr/>
      <dgm:t>
        <a:bodyPr/>
        <a:lstStyle/>
        <a:p>
          <a:r>
            <a:rPr lang="en-US" sz="1200">
              <a:latin typeface="Arial" panose="020B0604020202020204" pitchFamily="34" charset="0"/>
              <a:cs typeface="Arial" panose="020B0604020202020204" pitchFamily="34" charset="0"/>
            </a:rPr>
            <a:t>Structure</a:t>
          </a:r>
          <a:endParaRPr lang="LID4096" sz="1200">
            <a:latin typeface="Arial" panose="020B0604020202020204" pitchFamily="34" charset="0"/>
            <a:cs typeface="Arial" panose="020B0604020202020204" pitchFamily="34" charset="0"/>
          </a:endParaRPr>
        </a:p>
      </dgm:t>
    </dgm:pt>
    <dgm:pt modelId="{6B3D5281-DF81-499E-9B81-49E312202CC8}" type="parTrans" cxnId="{79DF5597-EB65-4689-9892-07FFF9B2E324}">
      <dgm:prSet/>
      <dgm:spPr/>
      <dgm:t>
        <a:bodyPr/>
        <a:lstStyle/>
        <a:p>
          <a:endParaRPr lang="LID4096" sz="1200">
            <a:latin typeface="Arial" panose="020B0604020202020204" pitchFamily="34" charset="0"/>
            <a:cs typeface="Arial" panose="020B0604020202020204" pitchFamily="34" charset="0"/>
          </a:endParaRPr>
        </a:p>
      </dgm:t>
    </dgm:pt>
    <dgm:pt modelId="{C69D75CF-BE54-463B-BF91-C64BEEF465C7}" type="sibTrans" cxnId="{79DF5597-EB65-4689-9892-07FFF9B2E324}">
      <dgm:prSet/>
      <dgm:spPr/>
      <dgm:t>
        <a:bodyPr/>
        <a:lstStyle/>
        <a:p>
          <a:endParaRPr lang="LID4096" sz="1200">
            <a:latin typeface="Arial" panose="020B0604020202020204" pitchFamily="34" charset="0"/>
            <a:cs typeface="Arial" panose="020B0604020202020204" pitchFamily="34" charset="0"/>
          </a:endParaRPr>
        </a:p>
      </dgm:t>
    </dgm:pt>
    <dgm:pt modelId="{88D0AB3E-0900-44C2-ACE8-D18A5C0EBCF7}">
      <dgm:prSet phldrT="[Text]" custT="1"/>
      <dgm:spPr/>
      <dgm:t>
        <a:bodyPr/>
        <a:lstStyle/>
        <a:p>
          <a:r>
            <a:rPr lang="en-US" sz="1200">
              <a:latin typeface="Arial" panose="020B0604020202020204" pitchFamily="34" charset="0"/>
              <a:cs typeface="Arial" panose="020B0604020202020204" pitchFamily="34" charset="0"/>
            </a:rPr>
            <a:t>Process</a:t>
          </a:r>
          <a:endParaRPr lang="LID4096" sz="1200">
            <a:latin typeface="Arial" panose="020B0604020202020204" pitchFamily="34" charset="0"/>
            <a:cs typeface="Arial" panose="020B0604020202020204" pitchFamily="34" charset="0"/>
          </a:endParaRPr>
        </a:p>
      </dgm:t>
    </dgm:pt>
    <dgm:pt modelId="{B616A714-9DF9-49BC-9C6B-BD6933C2E8FB}" type="parTrans" cxnId="{A61BB299-DCAD-4B82-85F0-C3B472E1017F}">
      <dgm:prSet/>
      <dgm:spPr/>
      <dgm:t>
        <a:bodyPr/>
        <a:lstStyle/>
        <a:p>
          <a:endParaRPr lang="LID4096" sz="1200">
            <a:latin typeface="Arial" panose="020B0604020202020204" pitchFamily="34" charset="0"/>
            <a:cs typeface="Arial" panose="020B0604020202020204" pitchFamily="34" charset="0"/>
          </a:endParaRPr>
        </a:p>
      </dgm:t>
    </dgm:pt>
    <dgm:pt modelId="{9EEB9B52-079D-42C4-82E6-403397414341}" type="sibTrans" cxnId="{A61BB299-DCAD-4B82-85F0-C3B472E1017F}">
      <dgm:prSet/>
      <dgm:spPr/>
      <dgm:t>
        <a:bodyPr/>
        <a:lstStyle/>
        <a:p>
          <a:endParaRPr lang="LID4096" sz="1200">
            <a:latin typeface="Arial" panose="020B0604020202020204" pitchFamily="34" charset="0"/>
            <a:cs typeface="Arial" panose="020B0604020202020204" pitchFamily="34" charset="0"/>
          </a:endParaRPr>
        </a:p>
      </dgm:t>
    </dgm:pt>
    <dgm:pt modelId="{784AC687-AECD-41C7-8E8B-4F2E4070EAE6}">
      <dgm:prSet phldrT="[Text]" custT="1"/>
      <dgm:spPr/>
      <dgm:t>
        <a:bodyPr/>
        <a:lstStyle/>
        <a:p>
          <a:r>
            <a:rPr lang="en-US" sz="1200">
              <a:latin typeface="Arial" panose="020B0604020202020204" pitchFamily="34" charset="0"/>
              <a:cs typeface="Arial" panose="020B0604020202020204" pitchFamily="34" charset="0"/>
            </a:rPr>
            <a:t>Outcome</a:t>
          </a:r>
          <a:endParaRPr lang="LID4096" sz="1200">
            <a:latin typeface="Arial" panose="020B0604020202020204" pitchFamily="34" charset="0"/>
            <a:cs typeface="Arial" panose="020B0604020202020204" pitchFamily="34" charset="0"/>
          </a:endParaRPr>
        </a:p>
      </dgm:t>
    </dgm:pt>
    <dgm:pt modelId="{8F0E25F0-EE55-4C13-89BA-35497B2DDB67}" type="parTrans" cxnId="{28867196-D660-4DE7-8A4B-C8A49E9BCFA8}">
      <dgm:prSet/>
      <dgm:spPr/>
      <dgm:t>
        <a:bodyPr/>
        <a:lstStyle/>
        <a:p>
          <a:endParaRPr lang="LID4096" sz="1200">
            <a:latin typeface="Arial" panose="020B0604020202020204" pitchFamily="34" charset="0"/>
            <a:cs typeface="Arial" panose="020B0604020202020204" pitchFamily="34" charset="0"/>
          </a:endParaRPr>
        </a:p>
      </dgm:t>
    </dgm:pt>
    <dgm:pt modelId="{C06B53CD-2176-4FB8-8675-7D98140416A2}" type="sibTrans" cxnId="{28867196-D660-4DE7-8A4B-C8A49E9BCFA8}">
      <dgm:prSet/>
      <dgm:spPr/>
      <dgm:t>
        <a:bodyPr/>
        <a:lstStyle/>
        <a:p>
          <a:endParaRPr lang="LID4096" sz="1200">
            <a:latin typeface="Arial" panose="020B0604020202020204" pitchFamily="34" charset="0"/>
            <a:cs typeface="Arial" panose="020B0604020202020204" pitchFamily="34" charset="0"/>
          </a:endParaRPr>
        </a:p>
      </dgm:t>
    </dgm:pt>
    <dgm:pt modelId="{5F08CA8A-76E6-46E8-B3DE-32D1DD20202D}" type="pres">
      <dgm:prSet presAssocID="{986D22A4-FB38-477E-8894-9AF5132631E2}" presName="Name0" presStyleCnt="0">
        <dgm:presLayoutVars>
          <dgm:dir/>
          <dgm:animLvl val="lvl"/>
          <dgm:resizeHandles val="exact"/>
        </dgm:presLayoutVars>
      </dgm:prSet>
      <dgm:spPr/>
    </dgm:pt>
    <dgm:pt modelId="{B60BF713-6C71-4BD4-A091-4A306CD2FBE0}" type="pres">
      <dgm:prSet presAssocID="{55596DE2-7476-491A-8DDD-869AB9455A92}" presName="parTxOnly" presStyleLbl="node1" presStyleIdx="0" presStyleCnt="3">
        <dgm:presLayoutVars>
          <dgm:chMax val="0"/>
          <dgm:chPref val="0"/>
          <dgm:bulletEnabled val="1"/>
        </dgm:presLayoutVars>
      </dgm:prSet>
      <dgm:spPr/>
    </dgm:pt>
    <dgm:pt modelId="{FE1A1D77-2D4D-45F2-8B5F-B4FD7B3D8995}" type="pres">
      <dgm:prSet presAssocID="{C69D75CF-BE54-463B-BF91-C64BEEF465C7}" presName="parTxOnlySpace" presStyleCnt="0"/>
      <dgm:spPr/>
    </dgm:pt>
    <dgm:pt modelId="{56520736-756D-4253-96EF-24B0CEAE12BA}" type="pres">
      <dgm:prSet presAssocID="{88D0AB3E-0900-44C2-ACE8-D18A5C0EBCF7}" presName="parTxOnly" presStyleLbl="node1" presStyleIdx="1" presStyleCnt="3">
        <dgm:presLayoutVars>
          <dgm:chMax val="0"/>
          <dgm:chPref val="0"/>
          <dgm:bulletEnabled val="1"/>
        </dgm:presLayoutVars>
      </dgm:prSet>
      <dgm:spPr/>
    </dgm:pt>
    <dgm:pt modelId="{8A0A372E-3525-49A2-9C7B-6414E0E08D57}" type="pres">
      <dgm:prSet presAssocID="{9EEB9B52-079D-42C4-82E6-403397414341}" presName="parTxOnlySpace" presStyleCnt="0"/>
      <dgm:spPr/>
    </dgm:pt>
    <dgm:pt modelId="{D0DF8EFD-1D53-45BD-8B1A-16CC2D83D713}" type="pres">
      <dgm:prSet presAssocID="{784AC687-AECD-41C7-8E8B-4F2E4070EAE6}" presName="parTxOnly" presStyleLbl="node1" presStyleIdx="2" presStyleCnt="3">
        <dgm:presLayoutVars>
          <dgm:chMax val="0"/>
          <dgm:chPref val="0"/>
          <dgm:bulletEnabled val="1"/>
        </dgm:presLayoutVars>
      </dgm:prSet>
      <dgm:spPr/>
    </dgm:pt>
  </dgm:ptLst>
  <dgm:cxnLst>
    <dgm:cxn modelId="{8F625E04-4F41-4F46-A9E5-CD1A56C88923}" type="presOf" srcId="{986D22A4-FB38-477E-8894-9AF5132631E2}" destId="{5F08CA8A-76E6-46E8-B3DE-32D1DD20202D}" srcOrd="0" destOrd="0" presId="urn:microsoft.com/office/officeart/2005/8/layout/chevron1"/>
    <dgm:cxn modelId="{8B6D885B-FBDD-4DEE-AB04-48D1D78E7AE2}" type="presOf" srcId="{55596DE2-7476-491A-8DDD-869AB9455A92}" destId="{B60BF713-6C71-4BD4-A091-4A306CD2FBE0}" srcOrd="0" destOrd="0" presId="urn:microsoft.com/office/officeart/2005/8/layout/chevron1"/>
    <dgm:cxn modelId="{28867196-D660-4DE7-8A4B-C8A49E9BCFA8}" srcId="{986D22A4-FB38-477E-8894-9AF5132631E2}" destId="{784AC687-AECD-41C7-8E8B-4F2E4070EAE6}" srcOrd="2" destOrd="0" parTransId="{8F0E25F0-EE55-4C13-89BA-35497B2DDB67}" sibTransId="{C06B53CD-2176-4FB8-8675-7D98140416A2}"/>
    <dgm:cxn modelId="{79DF5597-EB65-4689-9892-07FFF9B2E324}" srcId="{986D22A4-FB38-477E-8894-9AF5132631E2}" destId="{55596DE2-7476-491A-8DDD-869AB9455A92}" srcOrd="0" destOrd="0" parTransId="{6B3D5281-DF81-499E-9B81-49E312202CC8}" sibTransId="{C69D75CF-BE54-463B-BF91-C64BEEF465C7}"/>
    <dgm:cxn modelId="{6BB57B99-ABFE-4D46-8AAA-5876F6399E15}" type="presOf" srcId="{784AC687-AECD-41C7-8E8B-4F2E4070EAE6}" destId="{D0DF8EFD-1D53-45BD-8B1A-16CC2D83D713}" srcOrd="0" destOrd="0" presId="urn:microsoft.com/office/officeart/2005/8/layout/chevron1"/>
    <dgm:cxn modelId="{A61BB299-DCAD-4B82-85F0-C3B472E1017F}" srcId="{986D22A4-FB38-477E-8894-9AF5132631E2}" destId="{88D0AB3E-0900-44C2-ACE8-D18A5C0EBCF7}" srcOrd="1" destOrd="0" parTransId="{B616A714-9DF9-49BC-9C6B-BD6933C2E8FB}" sibTransId="{9EEB9B52-079D-42C4-82E6-403397414341}"/>
    <dgm:cxn modelId="{1FF3D6DE-0FEF-4C1E-AE2B-4D43487D27D6}" type="presOf" srcId="{88D0AB3E-0900-44C2-ACE8-D18A5C0EBCF7}" destId="{56520736-756D-4253-96EF-24B0CEAE12BA}" srcOrd="0" destOrd="0" presId="urn:microsoft.com/office/officeart/2005/8/layout/chevron1"/>
    <dgm:cxn modelId="{D5805F79-7EE8-4449-A8DD-3C3DB6515BD0}" type="presParOf" srcId="{5F08CA8A-76E6-46E8-B3DE-32D1DD20202D}" destId="{B60BF713-6C71-4BD4-A091-4A306CD2FBE0}" srcOrd="0" destOrd="0" presId="urn:microsoft.com/office/officeart/2005/8/layout/chevron1"/>
    <dgm:cxn modelId="{B4477752-AE8B-438B-9CE2-4FE2C09AD5C3}" type="presParOf" srcId="{5F08CA8A-76E6-46E8-B3DE-32D1DD20202D}" destId="{FE1A1D77-2D4D-45F2-8B5F-B4FD7B3D8995}" srcOrd="1" destOrd="0" presId="urn:microsoft.com/office/officeart/2005/8/layout/chevron1"/>
    <dgm:cxn modelId="{7F83224E-4071-4338-86D7-CBB305309A06}" type="presParOf" srcId="{5F08CA8A-76E6-46E8-B3DE-32D1DD20202D}" destId="{56520736-756D-4253-96EF-24B0CEAE12BA}" srcOrd="2" destOrd="0" presId="urn:microsoft.com/office/officeart/2005/8/layout/chevron1"/>
    <dgm:cxn modelId="{EC5A3340-72AB-4CC8-B51A-0AFF97713F0D}" type="presParOf" srcId="{5F08CA8A-76E6-46E8-B3DE-32D1DD20202D}" destId="{8A0A372E-3525-49A2-9C7B-6414E0E08D57}" srcOrd="3" destOrd="0" presId="urn:microsoft.com/office/officeart/2005/8/layout/chevron1"/>
    <dgm:cxn modelId="{B067D24F-03B0-42C7-9E18-F48DE8F45DF4}" type="presParOf" srcId="{5F08CA8A-76E6-46E8-B3DE-32D1DD20202D}" destId="{D0DF8EFD-1D53-45BD-8B1A-16CC2D83D713}" srcOrd="4"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0BF713-6C71-4BD4-A091-4A306CD2FBE0}">
      <dsp:nvSpPr>
        <dsp:cNvPr id="0" name=""/>
        <dsp:cNvSpPr/>
      </dsp:nvSpPr>
      <dsp:spPr>
        <a:xfrm>
          <a:off x="1638" y="48539"/>
          <a:ext cx="1995678" cy="798271"/>
        </a:xfrm>
        <a:prstGeom prst="chevron">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Structure</a:t>
          </a:r>
          <a:endParaRPr lang="LID4096" sz="1200" kern="1200">
            <a:latin typeface="Arial" panose="020B0604020202020204" pitchFamily="34" charset="0"/>
            <a:cs typeface="Arial" panose="020B0604020202020204" pitchFamily="34" charset="0"/>
          </a:endParaRPr>
        </a:p>
      </dsp:txBody>
      <dsp:txXfrm>
        <a:off x="400774" y="48539"/>
        <a:ext cx="1197407" cy="798271"/>
      </dsp:txXfrm>
    </dsp:sp>
    <dsp:sp modelId="{56520736-756D-4253-96EF-24B0CEAE12BA}">
      <dsp:nvSpPr>
        <dsp:cNvPr id="0" name=""/>
        <dsp:cNvSpPr/>
      </dsp:nvSpPr>
      <dsp:spPr>
        <a:xfrm>
          <a:off x="1797748" y="48539"/>
          <a:ext cx="1995678" cy="798271"/>
        </a:xfrm>
        <a:prstGeom prst="chevron">
          <a:avLst/>
        </a:prstGeom>
        <a:solidFill>
          <a:schemeClr val="accent5">
            <a:hueOff val="-6076075"/>
            <a:satOff val="-413"/>
            <a:lumOff val="98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Process</a:t>
          </a:r>
          <a:endParaRPr lang="LID4096" sz="1200" kern="1200">
            <a:latin typeface="Arial" panose="020B0604020202020204" pitchFamily="34" charset="0"/>
            <a:cs typeface="Arial" panose="020B0604020202020204" pitchFamily="34" charset="0"/>
          </a:endParaRPr>
        </a:p>
      </dsp:txBody>
      <dsp:txXfrm>
        <a:off x="2196884" y="48539"/>
        <a:ext cx="1197407" cy="798271"/>
      </dsp:txXfrm>
    </dsp:sp>
    <dsp:sp modelId="{D0DF8EFD-1D53-45BD-8B1A-16CC2D83D713}">
      <dsp:nvSpPr>
        <dsp:cNvPr id="0" name=""/>
        <dsp:cNvSpPr/>
      </dsp:nvSpPr>
      <dsp:spPr>
        <a:xfrm>
          <a:off x="3593858" y="48539"/>
          <a:ext cx="1995678" cy="798271"/>
        </a:xfrm>
        <a:prstGeom prst="chevron">
          <a:avLst/>
        </a:prstGeom>
        <a:solidFill>
          <a:schemeClr val="accent5">
            <a:hueOff val="-12152150"/>
            <a:satOff val="-826"/>
            <a:lumOff val="196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Outcome</a:t>
          </a:r>
          <a:endParaRPr lang="LID4096" sz="1200" kern="1200">
            <a:latin typeface="Arial" panose="020B0604020202020204" pitchFamily="34" charset="0"/>
            <a:cs typeface="Arial" panose="020B0604020202020204" pitchFamily="34" charset="0"/>
          </a:endParaRPr>
        </a:p>
      </dsp:txBody>
      <dsp:txXfrm>
        <a:off x="3992994" y="48539"/>
        <a:ext cx="1197407" cy="7982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EF791-10F0-48A7-940F-F8FCA58E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4210</Words>
  <Characters>23997</Characters>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2026-04-02T03:19:00Z</dcterms:created>
  <dcterms:modified xsi:type="dcterms:W3CDTF">2026-04-02T03:19:00Z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2026-03-30T16:44:20Z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50986e77-d4d6-4fe3-909e-3e77c716d61c</vt:lpwstr>
  </property>
  <property fmtid="{D5CDD505-2E9C-101B-9397-08002B2CF9AE}" pid="7" name="MSIP_Label_defa4170-0d19-0005-0004-bc88714345d2_ActionId">
    <vt:lpwstr>cca2a688-b19c-449f-8043-d3d7ac1616d6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