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2"/>
      </w:tblGrid>
      <w:tr w:rsidR="00F927A1" w:rsidRPr="005D3F07" w14:paraId="68CAA39D" w14:textId="77777777" w:rsidTr="00C16039">
        <w:tc>
          <w:tcPr>
            <w:tcW w:w="11052" w:type="dxa"/>
            <w:shd w:val="clear" w:color="auto" w:fill="auto"/>
          </w:tcPr>
          <w:p w14:paraId="02F8EE88" w14:textId="4A26DB3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05191">
              <w:rPr>
                <w:rFonts w:ascii="Times New Roman" w:hAnsi="Times New Roman" w:cs="Times New Roman"/>
                <w:b/>
                <w:sz w:val="48"/>
              </w:rPr>
              <w:t>Gillian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80C51C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05191">
              <w:rPr>
                <w:rFonts w:ascii="Times New Roman" w:hAnsi="Times New Roman" w:cs="Times New Roman"/>
                <w:b/>
                <w:sz w:val="48"/>
              </w:rPr>
              <w:t xml:space="preserve"> 2421533@student.uwtsd.ac.uk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EF03A1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05191">
              <w:rPr>
                <w:rFonts w:ascii="Times New Roman" w:hAnsi="Times New Roman" w:cs="Times New Roman"/>
                <w:b/>
                <w:sz w:val="48"/>
              </w:rPr>
              <w:t xml:space="preserve"> 2421533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5E6D4CA" w14:textId="77777777" w:rsidR="00EB695F" w:rsidRPr="0020283A" w:rsidRDefault="00EB695F" w:rsidP="0020283A">
      <w:pPr>
        <w:spacing w:line="360" w:lineRule="auto"/>
        <w:jc w:val="both"/>
        <w:rPr>
          <w:sz w:val="24"/>
          <w:szCs w:val="24"/>
        </w:rPr>
      </w:pPr>
    </w:p>
    <w:p w14:paraId="215FA40E"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Banks, S. (2012) </w:t>
      </w:r>
      <w:r w:rsidRPr="0020283A">
        <w:rPr>
          <w:i/>
          <w:iCs/>
          <w:color w:val="auto"/>
          <w:sz w:val="24"/>
          <w:szCs w:val="24"/>
        </w:rPr>
        <w:t>Ethics and values in social work</w:t>
      </w:r>
      <w:r w:rsidRPr="0020283A">
        <w:rPr>
          <w:color w:val="auto"/>
          <w:sz w:val="24"/>
          <w:szCs w:val="24"/>
        </w:rPr>
        <w:t>. 4th edn. Basingstoke: Palgrave Macmillan.</w:t>
      </w:r>
    </w:p>
    <w:p w14:paraId="6D2562BB"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BASW (2021) </w:t>
      </w:r>
      <w:r w:rsidRPr="0020283A">
        <w:rPr>
          <w:i/>
          <w:iCs/>
          <w:color w:val="auto"/>
          <w:sz w:val="24"/>
          <w:szCs w:val="24"/>
        </w:rPr>
        <w:t>The BASW code of ethics for social work</w:t>
      </w:r>
      <w:r w:rsidRPr="0020283A">
        <w:rPr>
          <w:color w:val="auto"/>
          <w:sz w:val="24"/>
          <w:szCs w:val="24"/>
        </w:rPr>
        <w:t xml:space="preserve">. Birmingham: British Association of Social Workers. Available at: </w:t>
      </w:r>
      <w:hyperlink r:id="rId12" w:tgtFrame="_new" w:history="1">
        <w:r w:rsidRPr="0020283A">
          <w:rPr>
            <w:color w:val="auto"/>
            <w:sz w:val="24"/>
            <w:szCs w:val="24"/>
            <w:u w:val="single"/>
          </w:rPr>
          <w:t>https://basw.co.uk/policy-practice/standards/code-ethics</w:t>
        </w:r>
      </w:hyperlink>
      <w:r w:rsidRPr="0020283A">
        <w:rPr>
          <w:color w:val="auto"/>
          <w:sz w:val="24"/>
          <w:szCs w:val="24"/>
        </w:rPr>
        <w:t xml:space="preserve"> (Accessed: 6 October 2025).</w:t>
      </w:r>
    </w:p>
    <w:p w14:paraId="4E49A23C"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Bernard, C. and Harris, P. (2019) </w:t>
      </w:r>
      <w:r w:rsidRPr="0020283A">
        <w:rPr>
          <w:i/>
          <w:iCs/>
          <w:color w:val="auto"/>
          <w:sz w:val="24"/>
          <w:szCs w:val="24"/>
        </w:rPr>
        <w:t>Safeguarding Black Children: Good practice in child protection</w:t>
      </w:r>
      <w:r w:rsidRPr="0020283A">
        <w:rPr>
          <w:color w:val="auto"/>
          <w:sz w:val="24"/>
          <w:szCs w:val="24"/>
        </w:rPr>
        <w:t>. London: Jessica Kingsley Publishers.</w:t>
      </w:r>
    </w:p>
    <w:p w14:paraId="79E1ACD6"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Bowlby, J. (1969) </w:t>
      </w:r>
      <w:r w:rsidRPr="0020283A">
        <w:rPr>
          <w:i/>
          <w:iCs/>
          <w:color w:val="auto"/>
          <w:sz w:val="24"/>
          <w:szCs w:val="24"/>
        </w:rPr>
        <w:t>Attachment and loss: Volume 1 – Attachment</w:t>
      </w:r>
      <w:r w:rsidRPr="0020283A">
        <w:rPr>
          <w:color w:val="auto"/>
          <w:sz w:val="24"/>
          <w:szCs w:val="24"/>
        </w:rPr>
        <w:t>. London: Hogarth Press.</w:t>
      </w:r>
    </w:p>
    <w:p w14:paraId="61B09429"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Braye, S., Orr, D. and Preston-Shoot, M. (2017) </w:t>
      </w:r>
      <w:r w:rsidRPr="0020283A">
        <w:rPr>
          <w:i/>
          <w:iCs/>
          <w:color w:val="auto"/>
          <w:sz w:val="24"/>
          <w:szCs w:val="24"/>
        </w:rPr>
        <w:t>Self-neglect policy and practice: Building an evidence base for adult social care</w:t>
      </w:r>
      <w:r w:rsidRPr="0020283A">
        <w:rPr>
          <w:color w:val="auto"/>
          <w:sz w:val="24"/>
          <w:szCs w:val="24"/>
        </w:rPr>
        <w:t>. London: Social Care Institute for Excellence.</w:t>
      </w:r>
    </w:p>
    <w:p w14:paraId="4E30E400"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Bronfenbrenner, U. (1979) </w:t>
      </w:r>
      <w:r w:rsidRPr="0020283A">
        <w:rPr>
          <w:i/>
          <w:iCs/>
          <w:color w:val="auto"/>
          <w:sz w:val="24"/>
          <w:szCs w:val="24"/>
        </w:rPr>
        <w:t>The ecology of human development: Experiments by nature and design</w:t>
      </w:r>
      <w:r w:rsidRPr="0020283A">
        <w:rPr>
          <w:color w:val="auto"/>
          <w:sz w:val="24"/>
          <w:szCs w:val="24"/>
        </w:rPr>
        <w:t>. Cambridge, MA: Harvard University Press.</w:t>
      </w:r>
    </w:p>
    <w:p w14:paraId="44A7BE8C"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Dominelli, L. (2002) </w:t>
      </w:r>
      <w:r w:rsidRPr="0020283A">
        <w:rPr>
          <w:i/>
          <w:iCs/>
          <w:color w:val="auto"/>
          <w:sz w:val="24"/>
          <w:szCs w:val="24"/>
        </w:rPr>
        <w:t>Anti-oppressive social work theory and practice</w:t>
      </w:r>
      <w:r w:rsidRPr="0020283A">
        <w:rPr>
          <w:color w:val="auto"/>
          <w:sz w:val="24"/>
          <w:szCs w:val="24"/>
        </w:rPr>
        <w:t>. Basingstoke: Palgrave Macmillan.</w:t>
      </w:r>
    </w:p>
    <w:p w14:paraId="7245E5EF"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F v West Berkshire Health Authority [1989] 2 All ER 545 (HL).</w:t>
      </w:r>
    </w:p>
    <w:p w14:paraId="7E93034C"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Featherstone, B., Gupta, A., Morris, K. and Warner, J. (2018) </w:t>
      </w:r>
      <w:r w:rsidRPr="0020283A">
        <w:rPr>
          <w:i/>
          <w:iCs/>
          <w:color w:val="auto"/>
          <w:sz w:val="24"/>
          <w:szCs w:val="24"/>
        </w:rPr>
        <w:t>Protecting children: A social model</w:t>
      </w:r>
      <w:r w:rsidRPr="0020283A">
        <w:rPr>
          <w:color w:val="auto"/>
          <w:sz w:val="24"/>
          <w:szCs w:val="24"/>
        </w:rPr>
        <w:t>. Bristol: Policy Press.</w:t>
      </w:r>
    </w:p>
    <w:p w14:paraId="68F27604"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Ferguson, E. and Rodway, P. (1994) ‘Cognitive behavioural approaches to perfectionism and self-criticism’, </w:t>
      </w:r>
      <w:r w:rsidRPr="0020283A">
        <w:rPr>
          <w:i/>
          <w:iCs/>
          <w:color w:val="auto"/>
          <w:sz w:val="24"/>
          <w:szCs w:val="24"/>
        </w:rPr>
        <w:t>Journal of Rational-Emotive &amp; Cognitive-Behavior Therapy</w:t>
      </w:r>
      <w:r w:rsidRPr="0020283A">
        <w:rPr>
          <w:color w:val="auto"/>
          <w:sz w:val="24"/>
          <w:szCs w:val="24"/>
        </w:rPr>
        <w:t>, 12(4), pp. 229–243.</w:t>
      </w:r>
    </w:p>
    <w:p w14:paraId="38A65796"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General Data Protection Regulation (GDPR) (2018) </w:t>
      </w:r>
      <w:r w:rsidRPr="0020283A">
        <w:rPr>
          <w:i/>
          <w:iCs/>
          <w:color w:val="auto"/>
          <w:sz w:val="24"/>
          <w:szCs w:val="24"/>
        </w:rPr>
        <w:t>Regulation (EU) 2016/679 of the European Parliament and of the Council of 27 April 2016</w:t>
      </w:r>
      <w:r w:rsidRPr="0020283A">
        <w:rPr>
          <w:color w:val="auto"/>
          <w:sz w:val="24"/>
          <w:szCs w:val="24"/>
        </w:rPr>
        <w:t xml:space="preserve">. </w:t>
      </w:r>
      <w:r w:rsidRPr="0020283A">
        <w:rPr>
          <w:i/>
          <w:iCs/>
          <w:color w:val="auto"/>
          <w:sz w:val="24"/>
          <w:szCs w:val="24"/>
        </w:rPr>
        <w:t xml:space="preserve">Official Journal of the European </w:t>
      </w:r>
      <w:r w:rsidRPr="0020283A">
        <w:rPr>
          <w:i/>
          <w:iCs/>
          <w:color w:val="auto"/>
          <w:sz w:val="24"/>
          <w:szCs w:val="24"/>
        </w:rPr>
        <w:lastRenderedPageBreak/>
        <w:t>Union</w:t>
      </w:r>
      <w:r w:rsidRPr="0020283A">
        <w:rPr>
          <w:color w:val="auto"/>
          <w:sz w:val="24"/>
          <w:szCs w:val="24"/>
        </w:rPr>
        <w:t xml:space="preserve">. Available at: </w:t>
      </w:r>
      <w:hyperlink r:id="rId13" w:history="1">
        <w:r w:rsidRPr="0020283A">
          <w:rPr>
            <w:rStyle w:val="Hyperlink"/>
            <w:color w:val="auto"/>
            <w:sz w:val="24"/>
            <w:szCs w:val="24"/>
          </w:rPr>
          <w:t>https://eur-lex.europa.eu/eli/reg/2016/679/oj</w:t>
        </w:r>
      </w:hyperlink>
      <w:r w:rsidRPr="0020283A">
        <w:rPr>
          <w:color w:val="auto"/>
          <w:sz w:val="24"/>
          <w:szCs w:val="24"/>
        </w:rPr>
        <w:t xml:space="preserve"> (Accessed: 20 September 2025)</w:t>
      </w:r>
    </w:p>
    <w:p w14:paraId="607AF10E"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Gibbs, G. (1988) </w:t>
      </w:r>
      <w:r w:rsidRPr="0020283A">
        <w:rPr>
          <w:i/>
          <w:iCs/>
          <w:color w:val="auto"/>
          <w:sz w:val="24"/>
          <w:szCs w:val="24"/>
        </w:rPr>
        <w:t>Learning by doing: A guide to teaching and learning methods</w:t>
      </w:r>
      <w:r w:rsidRPr="0020283A">
        <w:rPr>
          <w:color w:val="auto"/>
          <w:sz w:val="24"/>
          <w:szCs w:val="24"/>
        </w:rPr>
        <w:t>. Oxford: Oxford Polytechnic.</w:t>
      </w:r>
    </w:p>
    <w:p w14:paraId="677E7E93"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Gillick v West Norfolk and Wisbech Area Health Authority [1986] AC 112 (HL).</w:t>
      </w:r>
    </w:p>
    <w:p w14:paraId="7ACABB18"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Human Rights Act 1998. London: The Stationery Office. Available at: </w:t>
      </w:r>
      <w:hyperlink r:id="rId14" w:tgtFrame="_new" w:history="1">
        <w:r w:rsidRPr="0020283A">
          <w:rPr>
            <w:color w:val="auto"/>
            <w:sz w:val="24"/>
            <w:szCs w:val="24"/>
            <w:u w:val="single"/>
          </w:rPr>
          <w:t>https://www.legislation.gov.uk/ukpga/1998/42/contents</w:t>
        </w:r>
      </w:hyperlink>
      <w:r w:rsidRPr="0020283A">
        <w:rPr>
          <w:color w:val="auto"/>
          <w:sz w:val="24"/>
          <w:szCs w:val="24"/>
        </w:rPr>
        <w:t xml:space="preserve"> (Accessed: 6 October 2025).</w:t>
      </w:r>
    </w:p>
    <w:p w14:paraId="4E7884EC"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HM Government (1989) </w:t>
      </w:r>
      <w:r w:rsidRPr="0020283A">
        <w:rPr>
          <w:i/>
          <w:iCs/>
          <w:color w:val="auto"/>
          <w:sz w:val="24"/>
          <w:szCs w:val="24"/>
        </w:rPr>
        <w:t>Children Act 1989</w:t>
      </w:r>
      <w:r w:rsidRPr="0020283A">
        <w:rPr>
          <w:color w:val="auto"/>
          <w:sz w:val="24"/>
          <w:szCs w:val="24"/>
        </w:rPr>
        <w:t xml:space="preserve">. London: The Stationery Office. Available at: </w:t>
      </w:r>
      <w:hyperlink r:id="rId15" w:tgtFrame="_new" w:history="1">
        <w:r w:rsidRPr="0020283A">
          <w:rPr>
            <w:color w:val="auto"/>
            <w:sz w:val="24"/>
            <w:szCs w:val="24"/>
            <w:u w:val="single"/>
          </w:rPr>
          <w:t>https://www.legislation.gov.uk/ukpga/1989/41/contents</w:t>
        </w:r>
      </w:hyperlink>
      <w:r w:rsidRPr="0020283A">
        <w:rPr>
          <w:color w:val="auto"/>
          <w:sz w:val="24"/>
          <w:szCs w:val="24"/>
        </w:rPr>
        <w:t xml:space="preserve"> (Accessed: 8 August 2025).</w:t>
      </w:r>
    </w:p>
    <w:p w14:paraId="00903FA9"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HM Government (2004) </w:t>
      </w:r>
      <w:r w:rsidRPr="0020283A">
        <w:rPr>
          <w:i/>
          <w:iCs/>
          <w:color w:val="auto"/>
          <w:sz w:val="24"/>
          <w:szCs w:val="24"/>
        </w:rPr>
        <w:t>Children Act 2004</w:t>
      </w:r>
      <w:r w:rsidRPr="0020283A">
        <w:rPr>
          <w:color w:val="auto"/>
          <w:sz w:val="24"/>
          <w:szCs w:val="24"/>
        </w:rPr>
        <w:t xml:space="preserve">. London: The Stationery Office. Available at: </w:t>
      </w:r>
      <w:hyperlink r:id="rId16" w:tgtFrame="_new" w:history="1">
        <w:r w:rsidRPr="0020283A">
          <w:rPr>
            <w:color w:val="auto"/>
            <w:sz w:val="24"/>
            <w:szCs w:val="24"/>
            <w:u w:val="single"/>
          </w:rPr>
          <w:t>https://www.legislation.gov.uk/ukpga/2004/6/contents</w:t>
        </w:r>
      </w:hyperlink>
      <w:r w:rsidRPr="0020283A">
        <w:rPr>
          <w:color w:val="auto"/>
          <w:sz w:val="24"/>
          <w:szCs w:val="24"/>
        </w:rPr>
        <w:t xml:space="preserve"> (Accessed: 1 October 2025).</w:t>
      </w:r>
    </w:p>
    <w:p w14:paraId="38E6D56A"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HM Government (2018) </w:t>
      </w:r>
      <w:r w:rsidRPr="0020283A">
        <w:rPr>
          <w:i/>
          <w:iCs/>
          <w:color w:val="auto"/>
          <w:sz w:val="24"/>
          <w:szCs w:val="24"/>
        </w:rPr>
        <w:t>Working together to safeguard children: A guide to inter-agency working to safeguard and promote the welfare of children</w:t>
      </w:r>
      <w:r w:rsidRPr="0020283A">
        <w:rPr>
          <w:color w:val="auto"/>
          <w:sz w:val="24"/>
          <w:szCs w:val="24"/>
        </w:rPr>
        <w:t xml:space="preserve">. London: The Stationery Office. Available at: </w:t>
      </w:r>
      <w:hyperlink r:id="rId17" w:tgtFrame="_new" w:history="1">
        <w:r w:rsidRPr="0020283A">
          <w:rPr>
            <w:color w:val="auto"/>
            <w:sz w:val="24"/>
            <w:szCs w:val="24"/>
            <w:u w:val="single"/>
          </w:rPr>
          <w:t>https://www.gov.uk/government/publications/working-together-to-safeguard-children--2</w:t>
        </w:r>
      </w:hyperlink>
      <w:r w:rsidRPr="0020283A">
        <w:rPr>
          <w:color w:val="auto"/>
          <w:sz w:val="24"/>
          <w:szCs w:val="24"/>
        </w:rPr>
        <w:t xml:space="preserve"> (Accessed: 1 October 2025).</w:t>
      </w:r>
    </w:p>
    <w:p w14:paraId="0A9624FF" w14:textId="77777777" w:rsidR="007A7F71" w:rsidRPr="0020283A" w:rsidRDefault="007A7F71" w:rsidP="0020283A">
      <w:pPr>
        <w:spacing w:before="100" w:beforeAutospacing="1" w:after="100" w:afterAutospacing="1" w:line="360" w:lineRule="auto"/>
        <w:rPr>
          <w:color w:val="auto"/>
          <w:sz w:val="24"/>
          <w:szCs w:val="24"/>
        </w:rPr>
      </w:pPr>
      <w:r w:rsidRPr="0020283A">
        <w:rPr>
          <w:noProof/>
          <w:color w:val="auto"/>
          <w:sz w:val="24"/>
          <w:szCs w:val="24"/>
        </w:rPr>
        <w:t xml:space="preserve">HM Government, 2024. </w:t>
      </w:r>
      <w:r w:rsidRPr="0020283A">
        <w:rPr>
          <w:i/>
          <w:iCs/>
          <w:noProof/>
          <w:color w:val="auto"/>
          <w:sz w:val="24"/>
          <w:szCs w:val="24"/>
        </w:rPr>
        <w:t xml:space="preserve">Statutory guidance Working together to safeguard children. </w:t>
      </w:r>
      <w:r w:rsidRPr="0020283A">
        <w:rPr>
          <w:noProof/>
          <w:color w:val="auto"/>
          <w:sz w:val="24"/>
          <w:szCs w:val="24"/>
        </w:rPr>
        <w:t xml:space="preserve">[Online] </w:t>
      </w:r>
      <w:r w:rsidRPr="0020283A">
        <w:rPr>
          <w:noProof/>
          <w:color w:val="auto"/>
          <w:sz w:val="24"/>
          <w:szCs w:val="24"/>
        </w:rPr>
        <w:br/>
        <w:t xml:space="preserve">Available at: </w:t>
      </w:r>
      <w:hyperlink r:id="rId18" w:history="1">
        <w:r w:rsidRPr="0020283A">
          <w:rPr>
            <w:rStyle w:val="Hyperlink"/>
            <w:noProof/>
            <w:color w:val="auto"/>
            <w:sz w:val="24"/>
            <w:szCs w:val="24"/>
          </w:rPr>
          <w:t>https://assets.publishing.service.gov.uk/media/669e7501ab418ab055592a7b/Working_together_to_safeguard_children_2023.pdf</w:t>
        </w:r>
      </w:hyperlink>
      <w:r w:rsidRPr="0020283A">
        <w:rPr>
          <w:color w:val="auto"/>
          <w:sz w:val="24"/>
          <w:szCs w:val="24"/>
        </w:rPr>
        <w:t xml:space="preserve"> (Accessed: 1 October 2025).</w:t>
      </w:r>
      <w:r w:rsidRPr="0020283A">
        <w:rPr>
          <w:color w:val="auto"/>
          <w:sz w:val="24"/>
          <w:szCs w:val="24"/>
        </w:rPr>
        <w:br/>
      </w:r>
    </w:p>
    <w:p w14:paraId="3D15EF47"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Hook, J.N., Davis, D.E., Owen, J., Worthington, E.L. and Utsey, S.O. (2013) ‘Cultural humility: Measuring openness to culturally diverse clients’, </w:t>
      </w:r>
      <w:r w:rsidRPr="0020283A">
        <w:rPr>
          <w:i/>
          <w:iCs/>
          <w:color w:val="auto"/>
          <w:sz w:val="24"/>
          <w:szCs w:val="24"/>
        </w:rPr>
        <w:t>Journal of Counseling Psychology</w:t>
      </w:r>
      <w:r w:rsidRPr="0020283A">
        <w:rPr>
          <w:color w:val="auto"/>
          <w:sz w:val="24"/>
          <w:szCs w:val="24"/>
        </w:rPr>
        <w:t>, 60(3), pp. 353–366.</w:t>
      </w:r>
    </w:p>
    <w:p w14:paraId="0D8949D1"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Kolb, D.A. (1984) </w:t>
      </w:r>
      <w:r w:rsidRPr="0020283A">
        <w:rPr>
          <w:i/>
          <w:iCs/>
          <w:color w:val="auto"/>
          <w:sz w:val="24"/>
          <w:szCs w:val="24"/>
        </w:rPr>
        <w:t>Experiential learning: Experience as the source of learning and development</w:t>
      </w:r>
      <w:r w:rsidRPr="0020283A">
        <w:rPr>
          <w:color w:val="auto"/>
          <w:sz w:val="24"/>
          <w:szCs w:val="24"/>
        </w:rPr>
        <w:t>. Englewood Cliffs, NJ: Prentice Hall.</w:t>
      </w:r>
    </w:p>
    <w:p w14:paraId="66E1944A"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lastRenderedPageBreak/>
        <w:t xml:space="preserve">Magin, P., Adams, J., Heading, G., Pond, D. and Smith, W. (2019) ‘Skin conditions and bruising in children of different skin tones’, </w:t>
      </w:r>
      <w:r w:rsidRPr="0020283A">
        <w:rPr>
          <w:i/>
          <w:iCs/>
          <w:color w:val="auto"/>
          <w:sz w:val="24"/>
          <w:szCs w:val="24"/>
        </w:rPr>
        <w:t>Child Abuse &amp; Neglect</w:t>
      </w:r>
      <w:r w:rsidRPr="0020283A">
        <w:rPr>
          <w:color w:val="auto"/>
          <w:sz w:val="24"/>
          <w:szCs w:val="24"/>
        </w:rPr>
        <w:t>, 88, pp. 43–52.</w:t>
      </w:r>
    </w:p>
    <w:p w14:paraId="7702D204"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Mental Capacity Act 2005. London: The Stationery Office. Available at: </w:t>
      </w:r>
      <w:hyperlink r:id="rId19" w:tgtFrame="_new" w:history="1">
        <w:r w:rsidRPr="0020283A">
          <w:rPr>
            <w:color w:val="auto"/>
            <w:sz w:val="24"/>
            <w:szCs w:val="24"/>
            <w:u w:val="single"/>
          </w:rPr>
          <w:t>https://www.legislation.gov.uk/ukpga/2005/9/contents</w:t>
        </w:r>
      </w:hyperlink>
      <w:r w:rsidRPr="0020283A">
        <w:rPr>
          <w:color w:val="auto"/>
          <w:sz w:val="24"/>
          <w:szCs w:val="24"/>
        </w:rPr>
        <w:t xml:space="preserve"> (Accessed: 6 October 2025).</w:t>
      </w:r>
    </w:p>
    <w:p w14:paraId="423FDC50"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Mental Health Act 1983. London: The Stationery Office. Available at:</w:t>
      </w:r>
      <w:r w:rsidRPr="0020283A">
        <w:rPr>
          <w:noProof/>
          <w:color w:val="auto"/>
          <w:sz w:val="24"/>
          <w:szCs w:val="24"/>
        </w:rPr>
        <w:t xml:space="preserve"> </w:t>
      </w:r>
      <w:hyperlink r:id="rId20" w:history="1">
        <w:r w:rsidRPr="0020283A">
          <w:rPr>
            <w:rStyle w:val="Hyperlink"/>
            <w:noProof/>
            <w:color w:val="auto"/>
            <w:sz w:val="24"/>
            <w:szCs w:val="24"/>
          </w:rPr>
          <w:t>https://www.legislation.gov.uk/ukpga/1983/20/contents</w:t>
        </w:r>
      </w:hyperlink>
      <w:r w:rsidRPr="0020283A">
        <w:rPr>
          <w:noProof/>
          <w:color w:val="auto"/>
          <w:sz w:val="24"/>
          <w:szCs w:val="24"/>
          <w:u w:val="single"/>
        </w:rPr>
        <w:t xml:space="preserve"> </w:t>
      </w:r>
      <w:r w:rsidRPr="0020283A">
        <w:rPr>
          <w:color w:val="auto"/>
          <w:sz w:val="24"/>
          <w:szCs w:val="24"/>
        </w:rPr>
        <w:t>(Accessed: 6 October 2025)</w:t>
      </w:r>
      <w:r w:rsidRPr="0020283A">
        <w:rPr>
          <w:noProof/>
          <w:color w:val="auto"/>
          <w:sz w:val="24"/>
          <w:szCs w:val="24"/>
        </w:rPr>
        <w:br/>
      </w:r>
    </w:p>
    <w:p w14:paraId="26F3C274"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Mental Health Act 2007. London: The Stationery Office. Available at: </w:t>
      </w:r>
      <w:hyperlink r:id="rId21" w:tgtFrame="_new" w:history="1">
        <w:r w:rsidRPr="0020283A">
          <w:rPr>
            <w:color w:val="auto"/>
            <w:sz w:val="24"/>
            <w:szCs w:val="24"/>
            <w:u w:val="single"/>
          </w:rPr>
          <w:t>https://www.legislation.gov.uk/ukpga/2007/12/contents</w:t>
        </w:r>
      </w:hyperlink>
      <w:r w:rsidRPr="0020283A">
        <w:rPr>
          <w:color w:val="auto"/>
          <w:sz w:val="24"/>
          <w:szCs w:val="24"/>
        </w:rPr>
        <w:t xml:space="preserve"> (Accessed: 6 October 2025).</w:t>
      </w:r>
    </w:p>
    <w:p w14:paraId="7077AA5D"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Ministry of Justice (2022) </w:t>
      </w:r>
      <w:r w:rsidRPr="0020283A">
        <w:rPr>
          <w:i/>
          <w:iCs/>
          <w:color w:val="auto"/>
          <w:sz w:val="24"/>
          <w:szCs w:val="24"/>
        </w:rPr>
        <w:t>Achieving Best Evidence in Criminal Proceedings: Guidance on Interviewing Victims and Witnesses, and Guidance on Using Special Measures</w:t>
      </w:r>
      <w:r w:rsidRPr="0020283A">
        <w:rPr>
          <w:color w:val="auto"/>
          <w:sz w:val="24"/>
          <w:szCs w:val="24"/>
        </w:rPr>
        <w:t xml:space="preserve">. [Online] Available at: </w:t>
      </w:r>
      <w:hyperlink r:id="rId22" w:tgtFrame="_new" w:history="1">
        <w:r w:rsidRPr="0020283A">
          <w:rPr>
            <w:color w:val="auto"/>
            <w:sz w:val="24"/>
            <w:szCs w:val="24"/>
            <w:u w:val="single"/>
          </w:rPr>
          <w:t>https://assets.publishing.service.gov.uk/media/6492e26c103ca6001303a331/achieving-best-evidence-criminal-proceedings-2023.pdf</w:t>
        </w:r>
      </w:hyperlink>
      <w:r w:rsidRPr="0020283A">
        <w:rPr>
          <w:color w:val="auto"/>
          <w:sz w:val="24"/>
          <w:szCs w:val="24"/>
        </w:rPr>
        <w:t xml:space="preserve"> (Accessed: 6 October 2025).</w:t>
      </w:r>
    </w:p>
    <w:p w14:paraId="39CFA3E7"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Mweru, M. (2010) ‘Why are Kenyan teachers still using corporal punishment eight years after a ban on corporal punishment?’, </w:t>
      </w:r>
      <w:r w:rsidRPr="0020283A">
        <w:rPr>
          <w:i/>
          <w:iCs/>
          <w:color w:val="auto"/>
          <w:sz w:val="24"/>
          <w:szCs w:val="24"/>
        </w:rPr>
        <w:t>Child Abuse Review</w:t>
      </w:r>
      <w:r w:rsidRPr="0020283A">
        <w:rPr>
          <w:color w:val="auto"/>
          <w:sz w:val="24"/>
          <w:szCs w:val="24"/>
        </w:rPr>
        <w:t>, 19(4), pp. 247–258.</w:t>
      </w:r>
    </w:p>
    <w:p w14:paraId="6DCFA0F8"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Munro, E. (2011) </w:t>
      </w:r>
      <w:r w:rsidRPr="0020283A">
        <w:rPr>
          <w:i/>
          <w:iCs/>
          <w:color w:val="auto"/>
          <w:sz w:val="24"/>
          <w:szCs w:val="24"/>
        </w:rPr>
        <w:t>The Munro Review of Child Protection: Final Report – A child-centred system</w:t>
      </w:r>
      <w:r w:rsidRPr="0020283A">
        <w:rPr>
          <w:color w:val="auto"/>
          <w:sz w:val="24"/>
          <w:szCs w:val="24"/>
        </w:rPr>
        <w:t xml:space="preserve">. London: Department for Education. Available at: </w:t>
      </w:r>
      <w:hyperlink r:id="rId23" w:tgtFrame="_new" w:history="1">
        <w:r w:rsidRPr="0020283A">
          <w:rPr>
            <w:color w:val="auto"/>
            <w:sz w:val="24"/>
            <w:szCs w:val="24"/>
            <w:u w:val="single"/>
          </w:rPr>
          <w:t>https://assets.publishing.service.gov.uk/media/5a7b455ee5274a34770ea939/Munro-Review.pdf</w:t>
        </w:r>
      </w:hyperlink>
      <w:r w:rsidRPr="0020283A">
        <w:rPr>
          <w:color w:val="auto"/>
          <w:sz w:val="24"/>
          <w:szCs w:val="24"/>
        </w:rPr>
        <w:t xml:space="preserve"> (Accessed: 5 August 2025).</w:t>
      </w:r>
    </w:p>
    <w:p w14:paraId="515F31F2"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National Assembly for Wales (2000) </w:t>
      </w:r>
      <w:r w:rsidRPr="0020283A">
        <w:rPr>
          <w:i/>
          <w:iCs/>
          <w:color w:val="auto"/>
          <w:sz w:val="24"/>
          <w:szCs w:val="24"/>
        </w:rPr>
        <w:t>In safe hands: Implementing adult protection procedures in Wales</w:t>
      </w:r>
      <w:r w:rsidRPr="0020283A">
        <w:rPr>
          <w:color w:val="auto"/>
          <w:sz w:val="24"/>
          <w:szCs w:val="24"/>
        </w:rPr>
        <w:t xml:space="preserve">. Cardiff: National Assembly for Wales. Available at: </w:t>
      </w:r>
      <w:hyperlink r:id="rId24" w:tgtFrame="_new" w:history="1">
        <w:r w:rsidRPr="0020283A">
          <w:rPr>
            <w:color w:val="auto"/>
            <w:sz w:val="24"/>
            <w:szCs w:val="24"/>
            <w:u w:val="single"/>
          </w:rPr>
          <w:t>https://www.gov.wales/docs/cssiw/report/100325overviewen.pdf</w:t>
        </w:r>
      </w:hyperlink>
      <w:r w:rsidRPr="0020283A">
        <w:rPr>
          <w:color w:val="auto"/>
          <w:sz w:val="24"/>
          <w:szCs w:val="24"/>
        </w:rPr>
        <w:t xml:space="preserve"> (Accessed: 6 October 2025).</w:t>
      </w:r>
    </w:p>
    <w:p w14:paraId="4C0BE176"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Parker, J. and Bradley, G. (2010) ‘Introduction’, in Parker, J. and Bradley, G. (eds.) </w:t>
      </w:r>
      <w:r w:rsidRPr="0020283A">
        <w:rPr>
          <w:i/>
          <w:iCs/>
          <w:color w:val="auto"/>
          <w:sz w:val="24"/>
          <w:szCs w:val="24"/>
        </w:rPr>
        <w:t>Social work practice: Assessment, planning, intervention and review</w:t>
      </w:r>
      <w:r w:rsidRPr="0020283A">
        <w:rPr>
          <w:color w:val="auto"/>
          <w:sz w:val="24"/>
          <w:szCs w:val="24"/>
        </w:rPr>
        <w:t>. 3rd edn. Exeter: Learning Matters Ltd, pp. ix–xiv.</w:t>
      </w:r>
    </w:p>
    <w:p w14:paraId="7ED54FD1"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Payne, M. (2020) </w:t>
      </w:r>
      <w:r w:rsidRPr="0020283A">
        <w:rPr>
          <w:i/>
          <w:iCs/>
          <w:color w:val="auto"/>
          <w:sz w:val="24"/>
          <w:szCs w:val="24"/>
        </w:rPr>
        <w:t>Modern social work theory</w:t>
      </w:r>
      <w:r w:rsidRPr="0020283A">
        <w:rPr>
          <w:color w:val="auto"/>
          <w:sz w:val="24"/>
          <w:szCs w:val="24"/>
        </w:rPr>
        <w:t>. 5th edn. London: Red Globe Press.</w:t>
      </w:r>
    </w:p>
    <w:p w14:paraId="586410F7"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lastRenderedPageBreak/>
        <w:t xml:space="preserve">Rogers, C. (1957) ‘The necessary and sufficient conditions of therapeutic personality change’, </w:t>
      </w:r>
      <w:r w:rsidRPr="0020283A">
        <w:rPr>
          <w:i/>
          <w:iCs/>
          <w:color w:val="auto"/>
          <w:sz w:val="24"/>
          <w:szCs w:val="24"/>
        </w:rPr>
        <w:t>Journal of Consulting Psychology</w:t>
      </w:r>
      <w:r w:rsidRPr="0020283A">
        <w:rPr>
          <w:color w:val="auto"/>
          <w:sz w:val="24"/>
          <w:szCs w:val="24"/>
        </w:rPr>
        <w:t>, 21(2), pp. 95–103.</w:t>
      </w:r>
    </w:p>
    <w:p w14:paraId="11EBC04E"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Ruch, G. (2007) ‘Reflective practice in contemporary child-care social work: The role of containment’, </w:t>
      </w:r>
      <w:r w:rsidRPr="0020283A">
        <w:rPr>
          <w:i/>
          <w:iCs/>
          <w:color w:val="auto"/>
          <w:sz w:val="24"/>
          <w:szCs w:val="24"/>
        </w:rPr>
        <w:t>British Journal of Social Work</w:t>
      </w:r>
      <w:r w:rsidRPr="0020283A">
        <w:rPr>
          <w:color w:val="auto"/>
          <w:sz w:val="24"/>
          <w:szCs w:val="24"/>
        </w:rPr>
        <w:t>, 37(4), pp. 659–680.</w:t>
      </w:r>
    </w:p>
    <w:p w14:paraId="1C3D2B62"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Ruch, G. (2012) ‘Where have all the feelings gone? Developing reflective and relationship-based management in child-care social work’, </w:t>
      </w:r>
      <w:r w:rsidRPr="0020283A">
        <w:rPr>
          <w:i/>
          <w:iCs/>
          <w:color w:val="auto"/>
          <w:sz w:val="24"/>
          <w:szCs w:val="24"/>
        </w:rPr>
        <w:t>British Journal of Social Work</w:t>
      </w:r>
      <w:r w:rsidRPr="0020283A">
        <w:rPr>
          <w:color w:val="auto"/>
          <w:sz w:val="24"/>
          <w:szCs w:val="24"/>
        </w:rPr>
        <w:t>, 42(7), pp. 1315–1332.</w:t>
      </w:r>
    </w:p>
    <w:p w14:paraId="71B6072B" w14:textId="1D1CDF48"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Saleebey, D. (2006) </w:t>
      </w:r>
      <w:r w:rsidRPr="0020283A">
        <w:rPr>
          <w:i/>
          <w:iCs/>
          <w:color w:val="auto"/>
          <w:sz w:val="24"/>
          <w:szCs w:val="24"/>
        </w:rPr>
        <w:t>The strengths perspective in social work practice</w:t>
      </w:r>
      <w:r w:rsidRPr="0020283A">
        <w:rPr>
          <w:color w:val="auto"/>
          <w:sz w:val="24"/>
          <w:szCs w:val="24"/>
        </w:rPr>
        <w:t>. 4th edn. Boston: Allyn &amp;The reflective practitioner: How professionals think in action*. New York: Basic Books.</w:t>
      </w:r>
    </w:p>
    <w:p w14:paraId="6F3E0224" w14:textId="64194CAE" w:rsidR="007A7F71" w:rsidRPr="0020283A" w:rsidRDefault="007A7F71" w:rsidP="0020283A">
      <w:pPr>
        <w:pStyle w:val="NormalWeb"/>
        <w:spacing w:line="360" w:lineRule="auto"/>
        <w:rPr>
          <w:rFonts w:ascii="Arial" w:hAnsi="Arial" w:cs="Arial"/>
        </w:rPr>
      </w:pPr>
      <w:r w:rsidRPr="0020283A">
        <w:rPr>
          <w:rFonts w:ascii="Arial" w:hAnsi="Arial" w:cs="Arial"/>
        </w:rPr>
        <w:t xml:space="preserve">Schön, D.A. (1983) </w:t>
      </w:r>
      <w:r w:rsidRPr="0020283A">
        <w:rPr>
          <w:rStyle w:val="Emphasis"/>
          <w:rFonts w:ascii="Arial" w:hAnsi="Arial" w:cs="Arial"/>
        </w:rPr>
        <w:t>The reflective practitioner: How professionals think in action</w:t>
      </w:r>
      <w:r w:rsidRPr="0020283A">
        <w:rPr>
          <w:rFonts w:ascii="Arial" w:hAnsi="Arial" w:cs="Arial"/>
        </w:rPr>
        <w:t>. New York: Basic Books.</w:t>
      </w:r>
    </w:p>
    <w:p w14:paraId="399FA24D" w14:textId="330186E4" w:rsidR="007A7F71" w:rsidRPr="0020283A" w:rsidRDefault="007A7F71" w:rsidP="0020283A">
      <w:pPr>
        <w:pStyle w:val="NormalWeb"/>
        <w:spacing w:line="360" w:lineRule="auto"/>
        <w:rPr>
          <w:rFonts w:ascii="Arial" w:hAnsi="Arial" w:cs="Arial"/>
        </w:rPr>
      </w:pPr>
      <w:r w:rsidRPr="0020283A">
        <w:rPr>
          <w:rFonts w:ascii="Arial" w:hAnsi="Arial" w:cs="Arial"/>
          <w:bCs/>
          <w:color w:val="000000"/>
        </w:rPr>
        <w:t>Social Care Wales</w:t>
      </w:r>
      <w:r w:rsidRPr="0020283A">
        <w:rPr>
          <w:rFonts w:ascii="Arial" w:hAnsi="Arial" w:cs="Arial"/>
          <w:color w:val="000000"/>
        </w:rPr>
        <w:t xml:space="preserve"> (2025) </w:t>
      </w:r>
      <w:r w:rsidRPr="0020283A">
        <w:rPr>
          <w:rFonts w:ascii="Arial" w:hAnsi="Arial" w:cs="Arial"/>
          <w:iCs/>
          <w:color w:val="000000"/>
        </w:rPr>
        <w:t>Wales Safeguarding Procedures (mobile app)</w:t>
      </w:r>
      <w:r w:rsidRPr="0020283A">
        <w:rPr>
          <w:rFonts w:ascii="Arial" w:hAnsi="Arial" w:cs="Arial"/>
          <w:color w:val="000000"/>
        </w:rPr>
        <w:t xml:space="preserve">. Android version. Available at: </w:t>
      </w:r>
      <w:hyperlink r:id="rId25" w:tgtFrame="_new" w:history="1">
        <w:r w:rsidRPr="0020283A">
          <w:rPr>
            <w:rFonts w:ascii="Arial" w:hAnsi="Arial" w:cs="Arial"/>
            <w:color w:val="0000FF"/>
            <w:u w:val="single"/>
          </w:rPr>
          <w:t>https://play.google.com/store/apps/details?hl=en_US&amp;id=com.socialcarewales.safeguarding</w:t>
        </w:r>
      </w:hyperlink>
      <w:r w:rsidRPr="0020283A">
        <w:rPr>
          <w:rFonts w:ascii="Arial" w:hAnsi="Arial" w:cs="Arial"/>
          <w:color w:val="000000"/>
        </w:rPr>
        <w:t xml:space="preserve"> </w:t>
      </w:r>
      <w:r w:rsidRPr="0020283A">
        <w:rPr>
          <w:rFonts w:ascii="Arial" w:hAnsi="Arial" w:cs="Arial"/>
        </w:rPr>
        <w:t>(Accessed: 20 July 2025)</w:t>
      </w:r>
    </w:p>
    <w:p w14:paraId="38E5134B" w14:textId="5B795169"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Tervalon, M. and Murray-García, J. (1998) ‘Cultural humility versus cultural competence: A critical distinction in defining physician training outcomes in multicultural education’, </w:t>
      </w:r>
      <w:r w:rsidRPr="0020283A">
        <w:rPr>
          <w:i/>
          <w:iCs/>
          <w:color w:val="auto"/>
          <w:sz w:val="24"/>
          <w:szCs w:val="24"/>
        </w:rPr>
        <w:t>Journal of Health Care for the Poor and Underserved</w:t>
      </w:r>
      <w:r w:rsidRPr="0020283A">
        <w:rPr>
          <w:color w:val="auto"/>
          <w:sz w:val="24"/>
          <w:szCs w:val="24"/>
        </w:rPr>
        <w:t>, 9(2).</w:t>
      </w:r>
    </w:p>
    <w:p w14:paraId="44F08194" w14:textId="77777777" w:rsidR="007A7F71" w:rsidRPr="0020283A" w:rsidRDefault="007A7F71" w:rsidP="0020283A">
      <w:pPr>
        <w:spacing w:before="100" w:beforeAutospacing="1" w:after="100" w:afterAutospacing="1" w:line="360" w:lineRule="auto"/>
        <w:rPr>
          <w:color w:val="auto"/>
          <w:sz w:val="24"/>
          <w:szCs w:val="24"/>
        </w:rPr>
      </w:pPr>
      <w:r w:rsidRPr="0020283A">
        <w:rPr>
          <w:rStyle w:val="Emphasis"/>
          <w:i w:val="0"/>
          <w:sz w:val="24"/>
          <w:szCs w:val="24"/>
        </w:rPr>
        <w:t>The Care and Support (Assessment) (Wales) Regulations 2015</w:t>
      </w:r>
      <w:r w:rsidRPr="0020283A">
        <w:rPr>
          <w:i/>
          <w:sz w:val="24"/>
          <w:szCs w:val="24"/>
        </w:rPr>
        <w:t xml:space="preserve"> (SI 2015/1305). </w:t>
      </w:r>
      <w:r w:rsidRPr="0020283A">
        <w:rPr>
          <w:rStyle w:val="Emphasis"/>
          <w:i w:val="0"/>
          <w:sz w:val="24"/>
          <w:szCs w:val="24"/>
        </w:rPr>
        <w:t>Legislation</w:t>
      </w:r>
      <w:r w:rsidRPr="0020283A">
        <w:rPr>
          <w:sz w:val="24"/>
          <w:szCs w:val="24"/>
        </w:rPr>
        <w:t xml:space="preserve">. Available at: </w:t>
      </w:r>
      <w:hyperlink r:id="rId26" w:history="1">
        <w:r w:rsidRPr="0020283A">
          <w:rPr>
            <w:rStyle w:val="Hyperlink"/>
            <w:sz w:val="24"/>
            <w:szCs w:val="24"/>
          </w:rPr>
          <w:t>https://www.legislation.gov.uk/wsi/2015/1305</w:t>
        </w:r>
      </w:hyperlink>
      <w:r w:rsidRPr="0020283A">
        <w:rPr>
          <w:sz w:val="24"/>
          <w:szCs w:val="24"/>
        </w:rPr>
        <w:t xml:space="preserve"> </w:t>
      </w:r>
      <w:r w:rsidRPr="0020283A">
        <w:rPr>
          <w:color w:val="auto"/>
          <w:sz w:val="24"/>
          <w:szCs w:val="24"/>
        </w:rPr>
        <w:t>(Accessed: 6 October 2025).</w:t>
      </w:r>
    </w:p>
    <w:p w14:paraId="58350D9F" w14:textId="7BEFC68F" w:rsidR="007A7F71" w:rsidRPr="0020283A" w:rsidRDefault="007A7F71" w:rsidP="0020283A">
      <w:pPr>
        <w:spacing w:before="100" w:beforeAutospacing="1" w:after="100" w:afterAutospacing="1" w:line="360" w:lineRule="auto"/>
        <w:rPr>
          <w:color w:val="auto"/>
          <w:sz w:val="24"/>
          <w:szCs w:val="24"/>
        </w:rPr>
      </w:pPr>
    </w:p>
    <w:p w14:paraId="4721F398" w14:textId="41007E0D" w:rsidR="007A7F71" w:rsidRPr="0020283A" w:rsidRDefault="007A7F71" w:rsidP="0020283A">
      <w:pPr>
        <w:spacing w:line="360" w:lineRule="auto"/>
        <w:rPr>
          <w:color w:val="auto"/>
          <w:sz w:val="24"/>
          <w:szCs w:val="24"/>
        </w:rPr>
      </w:pPr>
      <w:r w:rsidRPr="0020283A">
        <w:rPr>
          <w:color w:val="auto"/>
          <w:sz w:val="24"/>
          <w:szCs w:val="24"/>
        </w:rPr>
        <w:t xml:space="preserve">Thompson, N. and Pascal, J. (2012) ‘Developing critically reflective practice’, </w:t>
      </w:r>
      <w:r w:rsidRPr="0020283A">
        <w:rPr>
          <w:rStyle w:val="Emphasis"/>
          <w:color w:val="auto"/>
          <w:sz w:val="24"/>
          <w:szCs w:val="24"/>
        </w:rPr>
        <w:t>Reflective Practice</w:t>
      </w:r>
      <w:r w:rsidRPr="0020283A">
        <w:rPr>
          <w:color w:val="auto"/>
          <w:sz w:val="24"/>
          <w:szCs w:val="24"/>
        </w:rPr>
        <w:t>, 13(2), pp. 311–325</w:t>
      </w:r>
    </w:p>
    <w:p w14:paraId="4AF090D7" w14:textId="77777777" w:rsidR="007A7F71" w:rsidRPr="0020283A" w:rsidRDefault="007A7F71" w:rsidP="0020283A">
      <w:pPr>
        <w:spacing w:line="360" w:lineRule="auto"/>
        <w:rPr>
          <w:color w:val="auto"/>
          <w:sz w:val="24"/>
          <w:szCs w:val="24"/>
        </w:rPr>
      </w:pPr>
    </w:p>
    <w:p w14:paraId="7C8AF5C4" w14:textId="77777777" w:rsidR="007A7F71" w:rsidRPr="0020283A" w:rsidRDefault="007A7F71" w:rsidP="0020283A">
      <w:pPr>
        <w:spacing w:line="360" w:lineRule="auto"/>
        <w:rPr>
          <w:color w:val="auto"/>
          <w:sz w:val="24"/>
          <w:szCs w:val="24"/>
        </w:rPr>
      </w:pPr>
      <w:r w:rsidRPr="0020283A">
        <w:rPr>
          <w:color w:val="auto"/>
          <w:sz w:val="24"/>
          <w:szCs w:val="24"/>
        </w:rPr>
        <w:t xml:space="preserve">Trevithick, P. (2014) </w:t>
      </w:r>
      <w:r w:rsidRPr="0020283A">
        <w:rPr>
          <w:rStyle w:val="Emphasis"/>
          <w:color w:val="auto"/>
          <w:sz w:val="24"/>
          <w:szCs w:val="24"/>
        </w:rPr>
        <w:t>Social work skills and knowledge: A practice handbook</w:t>
      </w:r>
      <w:r w:rsidRPr="0020283A">
        <w:rPr>
          <w:color w:val="auto"/>
          <w:sz w:val="24"/>
          <w:szCs w:val="24"/>
        </w:rPr>
        <w:t>. 3rd edn. Maidenhead: Open University Press.</w:t>
      </w:r>
    </w:p>
    <w:p w14:paraId="7A036174"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lastRenderedPageBreak/>
        <w:t xml:space="preserve">United Nations (1989) </w:t>
      </w:r>
      <w:r w:rsidRPr="0020283A">
        <w:rPr>
          <w:i/>
          <w:iCs/>
          <w:color w:val="auto"/>
          <w:sz w:val="24"/>
          <w:szCs w:val="24"/>
        </w:rPr>
        <w:t>Convention on the Rights of the Child</w:t>
      </w:r>
      <w:r w:rsidRPr="0020283A">
        <w:rPr>
          <w:color w:val="auto"/>
          <w:sz w:val="24"/>
          <w:szCs w:val="24"/>
        </w:rPr>
        <w:t xml:space="preserve">. Geneva: United Nations. Available at: </w:t>
      </w:r>
      <w:hyperlink r:id="rId27" w:tgtFrame="_new" w:history="1">
        <w:r w:rsidRPr="0020283A">
          <w:rPr>
            <w:color w:val="auto"/>
            <w:sz w:val="24"/>
            <w:szCs w:val="24"/>
            <w:u w:val="single"/>
          </w:rPr>
          <w:t>https://www.unicef.org.uk/what-we-do/un-convention-child-rights</w:t>
        </w:r>
      </w:hyperlink>
      <w:r w:rsidRPr="0020283A">
        <w:rPr>
          <w:color w:val="auto"/>
          <w:sz w:val="24"/>
          <w:szCs w:val="24"/>
        </w:rPr>
        <w:t xml:space="preserve"> (Accessed: 6 October 2025).</w:t>
      </w:r>
    </w:p>
    <w:p w14:paraId="6EBE85B7"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Welsh Government (2010) </w:t>
      </w:r>
      <w:r w:rsidRPr="0020283A">
        <w:rPr>
          <w:i/>
          <w:iCs/>
          <w:color w:val="auto"/>
          <w:sz w:val="24"/>
          <w:szCs w:val="24"/>
        </w:rPr>
        <w:t>Analysis of safeguarding adults in Wales</w:t>
      </w:r>
      <w:r w:rsidRPr="0020283A">
        <w:rPr>
          <w:color w:val="auto"/>
          <w:sz w:val="24"/>
          <w:szCs w:val="24"/>
        </w:rPr>
        <w:t xml:space="preserve">. Pontypridd: University of Glamorgan. Available at: </w:t>
      </w:r>
      <w:hyperlink r:id="rId28" w:tgtFrame="_new" w:history="1">
        <w:r w:rsidRPr="0020283A">
          <w:rPr>
            <w:color w:val="auto"/>
            <w:sz w:val="24"/>
            <w:szCs w:val="24"/>
            <w:u w:val="single"/>
          </w:rPr>
          <w:t>https://www.safeguarding.wales/en/int-i/int-i-i1/i1-p1/</w:t>
        </w:r>
      </w:hyperlink>
      <w:r w:rsidRPr="0020283A">
        <w:rPr>
          <w:color w:val="auto"/>
          <w:sz w:val="24"/>
          <w:szCs w:val="24"/>
        </w:rPr>
        <w:t xml:space="preserve"> (Accessed: 6 October 2025).</w:t>
      </w:r>
    </w:p>
    <w:p w14:paraId="1E1CB0F3"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Welsh Government (2011) </w:t>
      </w:r>
      <w:r w:rsidRPr="0020283A">
        <w:rPr>
          <w:i/>
          <w:iCs/>
          <w:color w:val="auto"/>
          <w:sz w:val="24"/>
          <w:szCs w:val="24"/>
        </w:rPr>
        <w:t>Welsh Language (Wales) Measure 2011</w:t>
      </w:r>
      <w:r w:rsidRPr="0020283A">
        <w:rPr>
          <w:color w:val="auto"/>
          <w:sz w:val="24"/>
          <w:szCs w:val="24"/>
        </w:rPr>
        <w:t xml:space="preserve">. Cardiff: Welsh Government. Available at: </w:t>
      </w:r>
      <w:hyperlink r:id="rId29" w:tgtFrame="_new" w:history="1">
        <w:r w:rsidRPr="0020283A">
          <w:rPr>
            <w:color w:val="auto"/>
            <w:sz w:val="24"/>
            <w:szCs w:val="24"/>
            <w:u w:val="single"/>
          </w:rPr>
          <w:t>https://law.gov.wales/culture/welsh-language/welsh-language-wales-measure-2011</w:t>
        </w:r>
      </w:hyperlink>
      <w:r w:rsidRPr="0020283A">
        <w:rPr>
          <w:color w:val="auto"/>
          <w:sz w:val="24"/>
          <w:szCs w:val="24"/>
        </w:rPr>
        <w:t xml:space="preserve"> (Accessed: 6 October 2025).</w:t>
      </w:r>
    </w:p>
    <w:p w14:paraId="4DBD0A4E"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Welsh Government (2012) </w:t>
      </w:r>
      <w:r w:rsidRPr="0020283A">
        <w:rPr>
          <w:i/>
          <w:iCs/>
          <w:color w:val="auto"/>
          <w:sz w:val="24"/>
          <w:szCs w:val="24"/>
        </w:rPr>
        <w:t>More than just words: Strategic framework for Welsh language services in health, social services and social care</w:t>
      </w:r>
      <w:r w:rsidRPr="0020283A">
        <w:rPr>
          <w:color w:val="auto"/>
          <w:sz w:val="24"/>
          <w:szCs w:val="24"/>
        </w:rPr>
        <w:t xml:space="preserve">. Cardiff: Welsh Government. Available at: </w:t>
      </w:r>
      <w:hyperlink r:id="rId30" w:tgtFrame="_new" w:history="1">
        <w:r w:rsidRPr="0020283A">
          <w:rPr>
            <w:color w:val="auto"/>
            <w:sz w:val="24"/>
            <w:szCs w:val="24"/>
            <w:u w:val="single"/>
          </w:rPr>
          <w:t>https://gov.wales/more-just-words-strategic-framework-welsh-language-services-health-social-services-and-social-care</w:t>
        </w:r>
      </w:hyperlink>
      <w:r w:rsidRPr="0020283A">
        <w:rPr>
          <w:color w:val="auto"/>
          <w:sz w:val="24"/>
          <w:szCs w:val="24"/>
        </w:rPr>
        <w:t xml:space="preserve"> (Accessed: 6 October 2025).</w:t>
      </w:r>
    </w:p>
    <w:p w14:paraId="68413CBB"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Welsh Government (2014) </w:t>
      </w:r>
      <w:r w:rsidRPr="0020283A">
        <w:rPr>
          <w:i/>
          <w:iCs/>
          <w:color w:val="auto"/>
          <w:sz w:val="24"/>
          <w:szCs w:val="24"/>
        </w:rPr>
        <w:t>Social Services and Well-being (Wales) Act 2014</w:t>
      </w:r>
      <w:r w:rsidRPr="0020283A">
        <w:rPr>
          <w:color w:val="auto"/>
          <w:sz w:val="24"/>
          <w:szCs w:val="24"/>
        </w:rPr>
        <w:t xml:space="preserve">. Cardiff: Welsh Government. Available at: </w:t>
      </w:r>
      <w:hyperlink r:id="rId31" w:tgtFrame="_new" w:history="1">
        <w:r w:rsidRPr="0020283A">
          <w:rPr>
            <w:color w:val="auto"/>
            <w:sz w:val="24"/>
            <w:szCs w:val="24"/>
            <w:u w:val="single"/>
          </w:rPr>
          <w:t>https://law.gov.wales/social-services-and-well-being-wales-act-2014</w:t>
        </w:r>
      </w:hyperlink>
      <w:r w:rsidRPr="0020283A">
        <w:rPr>
          <w:color w:val="auto"/>
          <w:sz w:val="24"/>
          <w:szCs w:val="24"/>
        </w:rPr>
        <w:t xml:space="preserve"> (Accessed: 6 October 2025).</w:t>
      </w:r>
    </w:p>
    <w:p w14:paraId="29C3CF71"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Welsh Government (2017) </w:t>
      </w:r>
      <w:r w:rsidRPr="0020283A">
        <w:rPr>
          <w:i/>
          <w:iCs/>
          <w:color w:val="auto"/>
          <w:sz w:val="24"/>
          <w:szCs w:val="24"/>
        </w:rPr>
        <w:t>Code of professional practice for social care</w:t>
      </w:r>
      <w:r w:rsidRPr="0020283A">
        <w:rPr>
          <w:color w:val="auto"/>
          <w:sz w:val="24"/>
          <w:szCs w:val="24"/>
        </w:rPr>
        <w:t xml:space="preserve">. Cardiff: Social Care Wales. Available at: </w:t>
      </w:r>
      <w:hyperlink r:id="rId32" w:tgtFrame="_new" w:history="1">
        <w:r w:rsidRPr="0020283A">
          <w:rPr>
            <w:color w:val="auto"/>
            <w:sz w:val="24"/>
            <w:szCs w:val="24"/>
            <w:u w:val="single"/>
          </w:rPr>
          <w:t>https://socialcare.wales/about-us/code-of-professional-practice</w:t>
        </w:r>
      </w:hyperlink>
      <w:r w:rsidRPr="0020283A">
        <w:rPr>
          <w:color w:val="auto"/>
          <w:sz w:val="24"/>
          <w:szCs w:val="24"/>
        </w:rPr>
        <w:t xml:space="preserve"> (Accessed: 6 October 2025).</w:t>
      </w:r>
    </w:p>
    <w:p w14:paraId="57F9DF0B"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Welsh Government (2019) </w:t>
      </w:r>
      <w:r w:rsidRPr="0020283A">
        <w:rPr>
          <w:i/>
          <w:iCs/>
          <w:color w:val="auto"/>
          <w:sz w:val="24"/>
          <w:szCs w:val="24"/>
        </w:rPr>
        <w:t>Children’s rights in Wales: Report to the UN Committee on the Rights of the Child</w:t>
      </w:r>
      <w:r w:rsidRPr="0020283A">
        <w:rPr>
          <w:color w:val="auto"/>
          <w:sz w:val="24"/>
          <w:szCs w:val="24"/>
        </w:rPr>
        <w:t xml:space="preserve">. Cardiff: Welsh Government. Available at: </w:t>
      </w:r>
      <w:hyperlink r:id="rId33" w:tgtFrame="_new" w:history="1">
        <w:r w:rsidRPr="0020283A">
          <w:rPr>
            <w:color w:val="auto"/>
            <w:sz w:val="24"/>
            <w:szCs w:val="24"/>
            <w:u w:val="single"/>
          </w:rPr>
          <w:t>https://www.gov.wales/childrens-rights-wales</w:t>
        </w:r>
      </w:hyperlink>
      <w:r w:rsidRPr="0020283A">
        <w:rPr>
          <w:color w:val="auto"/>
          <w:sz w:val="24"/>
          <w:szCs w:val="24"/>
        </w:rPr>
        <w:t xml:space="preserve"> (Accessed: 6 October 2025).</w:t>
      </w:r>
    </w:p>
    <w:p w14:paraId="27EE7D4B"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Welsh Government (2019) </w:t>
      </w:r>
      <w:r w:rsidRPr="0020283A">
        <w:rPr>
          <w:i/>
          <w:iCs/>
          <w:color w:val="auto"/>
          <w:sz w:val="24"/>
          <w:szCs w:val="24"/>
        </w:rPr>
        <w:t>Welsh index of multiple deprivation (full index update with ranks): 2019</w:t>
      </w:r>
      <w:r w:rsidRPr="0020283A">
        <w:rPr>
          <w:color w:val="auto"/>
          <w:sz w:val="24"/>
          <w:szCs w:val="24"/>
        </w:rPr>
        <w:t xml:space="preserve">. Cardiff: Welsh Government. Available at: </w:t>
      </w:r>
      <w:hyperlink r:id="rId34" w:tgtFrame="_new" w:history="1">
        <w:r w:rsidRPr="0020283A">
          <w:rPr>
            <w:color w:val="auto"/>
            <w:sz w:val="24"/>
            <w:szCs w:val="24"/>
            <w:u w:val="single"/>
          </w:rPr>
          <w:t>https://gov.wales/welsh-index-multiple-deprivation-full-index-update-ranks-2019</w:t>
        </w:r>
      </w:hyperlink>
      <w:r w:rsidRPr="0020283A">
        <w:rPr>
          <w:color w:val="auto"/>
          <w:sz w:val="24"/>
          <w:szCs w:val="24"/>
        </w:rPr>
        <w:t xml:space="preserve"> (Accessed: 6 October 2025).</w:t>
      </w:r>
    </w:p>
    <w:p w14:paraId="034966FD"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lastRenderedPageBreak/>
        <w:t xml:space="preserve">Welsh Government (2020) </w:t>
      </w:r>
      <w:r w:rsidRPr="0020283A">
        <w:rPr>
          <w:i/>
          <w:iCs/>
          <w:color w:val="auto"/>
          <w:sz w:val="24"/>
          <w:szCs w:val="24"/>
        </w:rPr>
        <w:t>Children (Abolition of Defence of Reasonable Punishment) (Wales) Act 2020</w:t>
      </w:r>
      <w:r w:rsidRPr="0020283A">
        <w:rPr>
          <w:color w:val="auto"/>
          <w:sz w:val="24"/>
          <w:szCs w:val="24"/>
        </w:rPr>
        <w:t xml:space="preserve">. Cardiff: Welsh Government. Available at: </w:t>
      </w:r>
      <w:hyperlink r:id="rId35" w:tgtFrame="_new" w:history="1">
        <w:r w:rsidRPr="0020283A">
          <w:rPr>
            <w:color w:val="auto"/>
            <w:sz w:val="24"/>
            <w:szCs w:val="24"/>
            <w:u w:val="single"/>
          </w:rPr>
          <w:t>https://www.legislation.gov.uk/anaw/2020/3/contents</w:t>
        </w:r>
      </w:hyperlink>
      <w:r w:rsidRPr="0020283A">
        <w:rPr>
          <w:color w:val="auto"/>
          <w:sz w:val="24"/>
          <w:szCs w:val="24"/>
        </w:rPr>
        <w:t xml:space="preserve"> (Accessed: 6 October 2025).</w:t>
      </w:r>
    </w:p>
    <w:p w14:paraId="3200A8FD"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Welsh Government (2020) </w:t>
      </w:r>
      <w:r w:rsidRPr="0020283A">
        <w:rPr>
          <w:i/>
          <w:iCs/>
          <w:color w:val="auto"/>
          <w:sz w:val="24"/>
          <w:szCs w:val="24"/>
        </w:rPr>
        <w:t>Wales safeguarding procedures</w:t>
      </w:r>
      <w:r w:rsidRPr="0020283A">
        <w:rPr>
          <w:color w:val="auto"/>
          <w:sz w:val="24"/>
          <w:szCs w:val="24"/>
        </w:rPr>
        <w:t xml:space="preserve">. Cardiff: Welsh Government. Available at: </w:t>
      </w:r>
      <w:hyperlink r:id="rId36" w:tgtFrame="_new" w:history="1">
        <w:r w:rsidRPr="0020283A">
          <w:rPr>
            <w:color w:val="auto"/>
            <w:sz w:val="24"/>
            <w:szCs w:val="24"/>
            <w:u w:val="single"/>
          </w:rPr>
          <w:t>https://safeguarding.wales/</w:t>
        </w:r>
      </w:hyperlink>
      <w:r w:rsidRPr="0020283A">
        <w:rPr>
          <w:color w:val="auto"/>
          <w:sz w:val="24"/>
          <w:szCs w:val="24"/>
        </w:rPr>
        <w:t xml:space="preserve"> (Accessed: 6 October 2025).</w:t>
      </w:r>
    </w:p>
    <w:p w14:paraId="5E5FCAC7"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Welsh Government (2022) </w:t>
      </w:r>
      <w:r w:rsidRPr="0020283A">
        <w:rPr>
          <w:i/>
          <w:iCs/>
          <w:color w:val="auto"/>
          <w:sz w:val="24"/>
          <w:szCs w:val="24"/>
        </w:rPr>
        <w:t>More than just words: Action plan 2022–2027</w:t>
      </w:r>
      <w:r w:rsidRPr="0020283A">
        <w:rPr>
          <w:color w:val="auto"/>
          <w:sz w:val="24"/>
          <w:szCs w:val="24"/>
        </w:rPr>
        <w:t xml:space="preserve">. Cardiff: Welsh Government. Available at: </w:t>
      </w:r>
      <w:hyperlink r:id="rId37" w:tgtFrame="_new" w:history="1">
        <w:r w:rsidRPr="0020283A">
          <w:rPr>
            <w:color w:val="auto"/>
            <w:sz w:val="24"/>
            <w:szCs w:val="24"/>
            <w:u w:val="single"/>
          </w:rPr>
          <w:t>https://www.gov.wales/more-just-words-action-plan-2022-2027</w:t>
        </w:r>
      </w:hyperlink>
      <w:r w:rsidRPr="0020283A">
        <w:rPr>
          <w:color w:val="auto"/>
          <w:sz w:val="24"/>
          <w:szCs w:val="24"/>
        </w:rPr>
        <w:t xml:space="preserve"> (Accessed: 6 October 2025).</w:t>
      </w:r>
    </w:p>
    <w:p w14:paraId="1BF30F1C" w14:textId="77777777" w:rsidR="007A7F71" w:rsidRPr="0020283A" w:rsidRDefault="007A7F71" w:rsidP="0020283A">
      <w:pPr>
        <w:spacing w:before="100" w:beforeAutospacing="1" w:after="100" w:afterAutospacing="1" w:line="360" w:lineRule="auto"/>
        <w:rPr>
          <w:color w:val="auto"/>
          <w:sz w:val="24"/>
          <w:szCs w:val="24"/>
        </w:rPr>
      </w:pPr>
      <w:r w:rsidRPr="0020283A">
        <w:rPr>
          <w:color w:val="auto"/>
          <w:sz w:val="24"/>
          <w:szCs w:val="24"/>
        </w:rPr>
        <w:t xml:space="preserve">Welsh Government (2025) </w:t>
      </w:r>
      <w:r w:rsidRPr="0020283A">
        <w:rPr>
          <w:i/>
          <w:iCs/>
          <w:color w:val="auto"/>
          <w:sz w:val="24"/>
          <w:szCs w:val="24"/>
        </w:rPr>
        <w:t>Wales safeguarding procedures</w:t>
      </w:r>
      <w:r w:rsidRPr="0020283A">
        <w:rPr>
          <w:color w:val="auto"/>
          <w:sz w:val="24"/>
          <w:szCs w:val="24"/>
        </w:rPr>
        <w:t xml:space="preserve">. Cardiff: Welsh Government. Available at: </w:t>
      </w:r>
      <w:hyperlink r:id="rId38" w:tgtFrame="_new" w:history="1">
        <w:r w:rsidRPr="0020283A">
          <w:rPr>
            <w:color w:val="auto"/>
            <w:sz w:val="24"/>
            <w:szCs w:val="24"/>
            <w:u w:val="single"/>
          </w:rPr>
          <w:t>https://safeguarding.wales/</w:t>
        </w:r>
      </w:hyperlink>
      <w:r w:rsidRPr="0020283A">
        <w:rPr>
          <w:color w:val="auto"/>
          <w:sz w:val="24"/>
          <w:szCs w:val="24"/>
        </w:rPr>
        <w:t xml:space="preserve"> (Accessed: 6 October 2025).</w:t>
      </w:r>
    </w:p>
    <w:p w14:paraId="337E3A73" w14:textId="77777777" w:rsidR="00EB695F" w:rsidRPr="0020283A" w:rsidRDefault="00EB695F" w:rsidP="0020283A">
      <w:pPr>
        <w:spacing w:line="360" w:lineRule="auto"/>
        <w:jc w:val="both"/>
        <w:rPr>
          <w:sz w:val="24"/>
          <w:szCs w:val="24"/>
        </w:rPr>
      </w:pPr>
    </w:p>
    <w:p w14:paraId="0C952B5E" w14:textId="01B15891" w:rsidR="00EB695F" w:rsidRPr="0020283A" w:rsidRDefault="007A7F71" w:rsidP="0020283A">
      <w:pPr>
        <w:spacing w:line="360" w:lineRule="auto"/>
        <w:jc w:val="both"/>
        <w:rPr>
          <w:sz w:val="24"/>
          <w:szCs w:val="24"/>
        </w:rPr>
      </w:pPr>
      <w:r w:rsidRPr="0020283A">
        <w:rPr>
          <w:sz w:val="24"/>
          <w:szCs w:val="24"/>
        </w:rPr>
        <w:t>XXXX Local Authority Threshold policy, October 2023</w:t>
      </w: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522E233" w:rsidR="00E559CE" w:rsidRPr="00B17FA0" w:rsidRDefault="00105191" w:rsidP="00B94443">
            <w:pPr>
              <w:jc w:val="both"/>
              <w:rPr>
                <w:sz w:val="24"/>
                <w:szCs w:val="24"/>
              </w:rPr>
            </w:pPr>
            <w:r>
              <w:rPr>
                <w:sz w:val="24"/>
                <w:szCs w:val="24"/>
              </w:rPr>
              <w:t>26th November 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9BC467E" w:rsidR="00E559CE" w:rsidRPr="00B17FA0" w:rsidRDefault="00105191" w:rsidP="00B94443">
            <w:pPr>
              <w:jc w:val="both"/>
              <w:rPr>
                <w:sz w:val="24"/>
                <w:szCs w:val="24"/>
              </w:rPr>
            </w:pPr>
            <w:r>
              <w:rPr>
                <w:sz w:val="24"/>
                <w:szCs w:val="24"/>
              </w:rPr>
              <w:t>12</w:t>
            </w:r>
            <w:r w:rsidRPr="00105191">
              <w:rPr>
                <w:sz w:val="24"/>
                <w:szCs w:val="24"/>
                <w:vertAlign w:val="superscript"/>
              </w:rPr>
              <w:t>th</w:t>
            </w:r>
            <w:r>
              <w:rPr>
                <w:sz w:val="24"/>
                <w:szCs w:val="24"/>
              </w:rPr>
              <w:t xml:space="preserve"> February 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4DFB55C" w:rsidR="00E559CE" w:rsidRPr="00B17FA0" w:rsidRDefault="0020283A" w:rsidP="00B94443">
            <w:pPr>
              <w:jc w:val="both"/>
              <w:rPr>
                <w:sz w:val="24"/>
                <w:szCs w:val="24"/>
              </w:rPr>
            </w:pPr>
            <w:r>
              <w:rPr>
                <w:sz w:val="24"/>
                <w:szCs w:val="24"/>
              </w:rPr>
              <w:t>10</w:t>
            </w:r>
            <w:r>
              <w:rPr>
                <w:sz w:val="24"/>
                <w:szCs w:val="24"/>
                <w:vertAlign w:val="superscript"/>
              </w:rPr>
              <w:t>th</w:t>
            </w:r>
            <w:r>
              <w:rPr>
                <w:sz w:val="24"/>
                <w:szCs w:val="24"/>
              </w:rPr>
              <w:t xml:space="preserve"> June 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85140C7" w:rsidR="00E559CE" w:rsidRPr="00B17FA0" w:rsidRDefault="00105191" w:rsidP="00B94443">
            <w:pPr>
              <w:jc w:val="both"/>
              <w:rPr>
                <w:sz w:val="24"/>
                <w:szCs w:val="24"/>
              </w:rPr>
            </w:pPr>
            <w:r>
              <w:rPr>
                <w:sz w:val="24"/>
                <w:szCs w:val="24"/>
              </w:rPr>
              <w:t>6</w:t>
            </w:r>
            <w:r w:rsidRPr="00105191">
              <w:rPr>
                <w:sz w:val="24"/>
                <w:szCs w:val="24"/>
                <w:vertAlign w:val="superscript"/>
              </w:rPr>
              <w:t>th</w:t>
            </w:r>
            <w:r>
              <w:rPr>
                <w:sz w:val="24"/>
                <w:szCs w:val="24"/>
              </w:rPr>
              <w:t xml:space="preserve"> August 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07F5CCF9" w14:textId="77777777" w:rsidR="0020283A" w:rsidRDefault="0020283A" w:rsidP="0020283A">
            <w:pPr>
              <w:spacing w:line="360" w:lineRule="auto"/>
              <w:jc w:val="both"/>
              <w:rPr>
                <w:color w:val="auto"/>
                <w:sz w:val="24"/>
                <w:szCs w:val="24"/>
              </w:rPr>
            </w:pPr>
            <w:r>
              <w:rPr>
                <w:color w:val="auto"/>
                <w:sz w:val="24"/>
                <w:szCs w:val="24"/>
              </w:rPr>
              <w:t>The learner has shown positive professional development in their role as a social worker and has been able to consistently dem</w:t>
            </w:r>
            <w:bookmarkStart w:id="1" w:name="_GoBack"/>
            <w:bookmarkEnd w:id="1"/>
            <w:r>
              <w:rPr>
                <w:color w:val="auto"/>
                <w:sz w:val="24"/>
                <w:szCs w:val="24"/>
              </w:rPr>
              <w:t xml:space="preserve">onstrates dedication to forming meaningful connections with the children and families they support. The learner has also been able to become a key member of the team that they currently work in and has been able to form positive relationships with colleagues and partner organisations, contributing to their ability to achieve positive outcomes for the people we work with. </w:t>
            </w:r>
          </w:p>
          <w:p w14:paraId="7BC51D02" w14:textId="77777777" w:rsidR="0020283A" w:rsidRDefault="0020283A" w:rsidP="0020283A">
            <w:pPr>
              <w:spacing w:line="360" w:lineRule="auto"/>
              <w:jc w:val="both"/>
              <w:rPr>
                <w:color w:val="auto"/>
                <w:sz w:val="24"/>
                <w:szCs w:val="24"/>
              </w:rPr>
            </w:pPr>
          </w:p>
          <w:p w14:paraId="53F6CA8A" w14:textId="77777777" w:rsidR="0020283A" w:rsidRDefault="0020283A" w:rsidP="0020283A">
            <w:pPr>
              <w:spacing w:line="360" w:lineRule="auto"/>
              <w:jc w:val="both"/>
              <w:rPr>
                <w:color w:val="auto"/>
                <w:sz w:val="24"/>
                <w:szCs w:val="24"/>
              </w:rPr>
            </w:pPr>
            <w:r>
              <w:rPr>
                <w:color w:val="auto"/>
                <w:sz w:val="24"/>
                <w:szCs w:val="24"/>
              </w:rPr>
              <w:lastRenderedPageBreak/>
              <w:t>This report outlines the learner’s progress in relation to the learning objectives for this period and offers an evaluation of their practice, highlighting both strengths and areas for further growth.</w:t>
            </w:r>
          </w:p>
          <w:p w14:paraId="3DC4F0DE" w14:textId="77777777" w:rsidR="0020283A" w:rsidRDefault="0020283A" w:rsidP="0020283A">
            <w:pPr>
              <w:spacing w:line="360" w:lineRule="auto"/>
              <w:jc w:val="both"/>
              <w:rPr>
                <w:sz w:val="24"/>
                <w:szCs w:val="24"/>
              </w:rPr>
            </w:pPr>
          </w:p>
          <w:p w14:paraId="47593B3B" w14:textId="77777777" w:rsidR="0020283A" w:rsidRDefault="0020283A" w:rsidP="0020283A">
            <w:pPr>
              <w:pStyle w:val="ListParagraph"/>
              <w:numPr>
                <w:ilvl w:val="0"/>
                <w:numId w:val="54"/>
              </w:numPr>
              <w:spacing w:line="360" w:lineRule="auto"/>
              <w:jc w:val="both"/>
              <w:rPr>
                <w:sz w:val="24"/>
                <w:szCs w:val="24"/>
              </w:rPr>
            </w:pPr>
            <w:r>
              <w:rPr>
                <w:sz w:val="24"/>
                <w:szCs w:val="24"/>
              </w:rPr>
              <w:t>Applying analysis in assessment to inform interventions.</w:t>
            </w:r>
          </w:p>
          <w:p w14:paraId="45422452" w14:textId="77777777" w:rsidR="0020283A" w:rsidRDefault="0020283A" w:rsidP="0020283A">
            <w:pPr>
              <w:pStyle w:val="ListParagraph"/>
              <w:spacing w:line="360" w:lineRule="auto"/>
              <w:jc w:val="both"/>
              <w:rPr>
                <w:sz w:val="24"/>
                <w:szCs w:val="24"/>
              </w:rPr>
            </w:pPr>
          </w:p>
          <w:p w14:paraId="1578281F" w14:textId="77777777" w:rsidR="0020283A" w:rsidRDefault="0020283A" w:rsidP="0020283A">
            <w:pPr>
              <w:spacing w:line="360" w:lineRule="auto"/>
              <w:jc w:val="both"/>
              <w:rPr>
                <w:sz w:val="24"/>
                <w:szCs w:val="24"/>
              </w:rPr>
            </w:pPr>
            <w:r>
              <w:rPr>
                <w:sz w:val="24"/>
                <w:szCs w:val="24"/>
              </w:rPr>
              <w:t xml:space="preserve">The learner has consistently demonstrated a strong ability to analyse complex situations within their assessments. Their thorough approach to gathering and evaluating information ensures that the assessments produced are both comprehensive and insightful, offering a true understanding of the lived experiences of the children they support. </w:t>
            </w:r>
          </w:p>
          <w:p w14:paraId="3DA7E7EE" w14:textId="77777777" w:rsidR="0020283A" w:rsidRDefault="0020283A" w:rsidP="0020283A">
            <w:pPr>
              <w:spacing w:line="360" w:lineRule="auto"/>
              <w:jc w:val="both"/>
              <w:rPr>
                <w:sz w:val="24"/>
                <w:szCs w:val="24"/>
              </w:rPr>
            </w:pPr>
          </w:p>
          <w:p w14:paraId="6D7977EA" w14:textId="77777777" w:rsidR="0020283A" w:rsidRDefault="0020283A" w:rsidP="0020283A">
            <w:pPr>
              <w:spacing w:line="360" w:lineRule="auto"/>
              <w:jc w:val="both"/>
              <w:rPr>
                <w:sz w:val="24"/>
                <w:szCs w:val="24"/>
              </w:rPr>
            </w:pPr>
            <w:r>
              <w:rPr>
                <w:sz w:val="24"/>
                <w:szCs w:val="24"/>
              </w:rPr>
              <w:t>One area the learner has reflected on is the challenge of managing differing professional opinions, particularly when imposter syndrome has impacted their confidence in decision-making. In such instances, the learner has appropriately sought guidance from management. Importantly, this does not diminish the quality of their analytical work, which remains detailed, balanced, and focused on achieving the best outcomes for children. With continued support and growing confidence in their role, the learner is expected to further strengthen their ability to navigate professional disagreements with assurance.</w:t>
            </w:r>
          </w:p>
          <w:p w14:paraId="066D5AD6" w14:textId="2979A984" w:rsidR="0020283A" w:rsidRDefault="0020283A" w:rsidP="0020283A">
            <w:pPr>
              <w:spacing w:line="360" w:lineRule="auto"/>
              <w:jc w:val="both"/>
              <w:rPr>
                <w:sz w:val="24"/>
                <w:szCs w:val="24"/>
              </w:rPr>
            </w:pPr>
          </w:p>
          <w:p w14:paraId="2C42774B" w14:textId="77777777" w:rsidR="0020283A" w:rsidRDefault="0020283A" w:rsidP="0020283A">
            <w:pPr>
              <w:numPr>
                <w:ilvl w:val="0"/>
                <w:numId w:val="54"/>
              </w:numPr>
              <w:spacing w:line="360" w:lineRule="auto"/>
              <w:jc w:val="both"/>
              <w:textAlignment w:val="auto"/>
              <w:rPr>
                <w:sz w:val="24"/>
                <w:szCs w:val="24"/>
              </w:rPr>
            </w:pPr>
            <w:r>
              <w:rPr>
                <w:sz w:val="24"/>
                <w:szCs w:val="24"/>
              </w:rPr>
              <w:t>Working collaboratively with people in need of care and support, their carers</w:t>
            </w:r>
            <w:r>
              <w:rPr>
                <w:i/>
                <w:iCs/>
                <w:sz w:val="24"/>
                <w:szCs w:val="24"/>
              </w:rPr>
              <w:t xml:space="preserve"> </w:t>
            </w:r>
            <w:r>
              <w:rPr>
                <w:sz w:val="24"/>
                <w:szCs w:val="24"/>
              </w:rPr>
              <w:t>and other professionals.</w:t>
            </w:r>
          </w:p>
          <w:p w14:paraId="0CE750E4" w14:textId="77777777" w:rsidR="0020283A" w:rsidRDefault="0020283A" w:rsidP="0020283A">
            <w:pPr>
              <w:spacing w:line="360" w:lineRule="auto"/>
              <w:ind w:left="720"/>
              <w:jc w:val="both"/>
              <w:rPr>
                <w:sz w:val="24"/>
                <w:szCs w:val="24"/>
              </w:rPr>
            </w:pPr>
          </w:p>
          <w:p w14:paraId="2116E9BC" w14:textId="77777777" w:rsidR="0020283A" w:rsidRDefault="0020283A" w:rsidP="0020283A">
            <w:pPr>
              <w:spacing w:line="360" w:lineRule="auto"/>
              <w:jc w:val="both"/>
              <w:rPr>
                <w:sz w:val="24"/>
                <w:szCs w:val="24"/>
              </w:rPr>
            </w:pPr>
            <w:r>
              <w:rPr>
                <w:sz w:val="24"/>
                <w:szCs w:val="24"/>
              </w:rPr>
              <w:t xml:space="preserve">The learner excels in building positive relationships with both the children and families they support, as well as with their wider professional network. Their communication with partnering agencies (such as school settings and health colleagues is a particular strength, ensuring that all parties remain well-informed about any changes in the children’s circumstances. This contributes significantly to the delivery of seamless care and support and promotes collaborative working across different agencies. </w:t>
            </w:r>
          </w:p>
          <w:p w14:paraId="07119FE7" w14:textId="77777777" w:rsidR="0020283A" w:rsidRDefault="0020283A" w:rsidP="0020283A">
            <w:pPr>
              <w:spacing w:line="360" w:lineRule="auto"/>
              <w:jc w:val="both"/>
              <w:rPr>
                <w:sz w:val="24"/>
                <w:szCs w:val="24"/>
              </w:rPr>
            </w:pPr>
          </w:p>
          <w:p w14:paraId="4A3002C9" w14:textId="77777777" w:rsidR="0020283A" w:rsidRDefault="0020283A" w:rsidP="0020283A">
            <w:pPr>
              <w:spacing w:line="360" w:lineRule="auto"/>
              <w:jc w:val="both"/>
              <w:rPr>
                <w:sz w:val="24"/>
                <w:szCs w:val="24"/>
              </w:rPr>
            </w:pPr>
            <w:r>
              <w:rPr>
                <w:sz w:val="24"/>
                <w:szCs w:val="24"/>
              </w:rPr>
              <w:t xml:space="preserve">The learner has also demonstrated a respectful and confident approach when challenging colleagues and partner agencies during Care and Support Planning meeting. They are willing </w:t>
            </w:r>
            <w:r>
              <w:rPr>
                <w:sz w:val="24"/>
                <w:szCs w:val="24"/>
              </w:rPr>
              <w:lastRenderedPageBreak/>
              <w:t>to raise concerns when support falls short of expectations. However, there is scope for further development in their ability to challenge more assertively. With continued experience and support, the learner is expected to grow in confidence and strengthen their collaborative practice.</w:t>
            </w:r>
          </w:p>
          <w:p w14:paraId="2EE7B6C2" w14:textId="77777777" w:rsidR="0020283A" w:rsidRDefault="0020283A" w:rsidP="0020283A">
            <w:pPr>
              <w:spacing w:line="360" w:lineRule="auto"/>
              <w:jc w:val="both"/>
              <w:rPr>
                <w:sz w:val="24"/>
                <w:szCs w:val="24"/>
              </w:rPr>
            </w:pPr>
          </w:p>
          <w:p w14:paraId="0A5AECDF" w14:textId="77777777" w:rsidR="0020283A" w:rsidRDefault="0020283A" w:rsidP="0020283A">
            <w:pPr>
              <w:spacing w:line="360" w:lineRule="auto"/>
              <w:jc w:val="both"/>
              <w:rPr>
                <w:sz w:val="24"/>
                <w:szCs w:val="24"/>
              </w:rPr>
            </w:pPr>
            <w:r>
              <w:rPr>
                <w:sz w:val="24"/>
                <w:szCs w:val="24"/>
              </w:rPr>
              <w:t xml:space="preserve">Advocacy is a notable strength for the learner. Their empathetic and supportive approach to working with parents ensures that families feel encouraged and empowered to seek help when needed. The learner can balance their responsibility to the child with their duty of care to parents, ensuring that all parties are appropriately supported and their rights are upheld. </w:t>
            </w:r>
          </w:p>
          <w:p w14:paraId="5D3DE9EC" w14:textId="77777777" w:rsidR="0020283A" w:rsidRDefault="0020283A" w:rsidP="0020283A">
            <w:pPr>
              <w:spacing w:line="360" w:lineRule="auto"/>
              <w:jc w:val="both"/>
              <w:rPr>
                <w:sz w:val="24"/>
                <w:szCs w:val="24"/>
              </w:rPr>
            </w:pPr>
          </w:p>
          <w:p w14:paraId="2B43E471" w14:textId="6F5968F4" w:rsidR="0020283A" w:rsidRDefault="0020283A" w:rsidP="0020283A">
            <w:pPr>
              <w:spacing w:line="360" w:lineRule="auto"/>
              <w:jc w:val="both"/>
              <w:rPr>
                <w:sz w:val="24"/>
                <w:szCs w:val="24"/>
              </w:rPr>
            </w:pPr>
            <w:r>
              <w:rPr>
                <w:sz w:val="24"/>
                <w:szCs w:val="24"/>
              </w:rPr>
              <w:t xml:space="preserve">A particularly example of the learner’s practice was observed during an assessment visit, where they demonstrated an exceptional ability to connect with a pregnant Mother who has learning needs. The learner was able to adapt their tone, body language, and approach. The learner took </w:t>
            </w:r>
            <w:r w:rsidR="0089241B">
              <w:rPr>
                <w:sz w:val="24"/>
                <w:szCs w:val="24"/>
              </w:rPr>
              <w:t>on board</w:t>
            </w:r>
            <w:r>
              <w:rPr>
                <w:sz w:val="24"/>
                <w:szCs w:val="24"/>
              </w:rPr>
              <w:t xml:space="preserve"> the best style of communication for this Mother and this in turn supported her understanding of what an assessment entails and what the hopes were for her and the baby. </w:t>
            </w:r>
          </w:p>
          <w:p w14:paraId="3E4947C3" w14:textId="69AF5606" w:rsidR="0020283A" w:rsidRDefault="0020283A" w:rsidP="0020283A">
            <w:pPr>
              <w:spacing w:line="360" w:lineRule="auto"/>
              <w:jc w:val="both"/>
              <w:rPr>
                <w:sz w:val="24"/>
                <w:szCs w:val="24"/>
              </w:rPr>
            </w:pPr>
          </w:p>
          <w:p w14:paraId="1C52DD75" w14:textId="77777777" w:rsidR="0020283A" w:rsidRDefault="0020283A" w:rsidP="0020283A">
            <w:pPr>
              <w:numPr>
                <w:ilvl w:val="0"/>
                <w:numId w:val="54"/>
              </w:numPr>
              <w:spacing w:line="360" w:lineRule="auto"/>
              <w:jc w:val="both"/>
              <w:textAlignment w:val="auto"/>
              <w:rPr>
                <w:sz w:val="24"/>
                <w:szCs w:val="24"/>
              </w:rPr>
            </w:pPr>
            <w:r>
              <w:rPr>
                <w:sz w:val="24"/>
                <w:szCs w:val="24"/>
              </w:rPr>
              <w:t>Intervention and application of professional judgement in increasingly complex situations.</w:t>
            </w:r>
          </w:p>
          <w:p w14:paraId="32068E46" w14:textId="77777777" w:rsidR="0020283A" w:rsidRDefault="0020283A" w:rsidP="0020283A">
            <w:pPr>
              <w:spacing w:line="360" w:lineRule="auto"/>
              <w:jc w:val="both"/>
              <w:rPr>
                <w:color w:val="auto"/>
                <w:sz w:val="24"/>
                <w:szCs w:val="24"/>
              </w:rPr>
            </w:pPr>
          </w:p>
          <w:p w14:paraId="408CD2D2" w14:textId="77777777" w:rsidR="0020283A" w:rsidRDefault="0020283A" w:rsidP="0020283A">
            <w:pPr>
              <w:spacing w:line="360" w:lineRule="auto"/>
              <w:jc w:val="both"/>
              <w:rPr>
                <w:color w:val="auto"/>
                <w:sz w:val="24"/>
                <w:szCs w:val="24"/>
              </w:rPr>
            </w:pPr>
            <w:r>
              <w:rPr>
                <w:color w:val="auto"/>
                <w:sz w:val="24"/>
                <w:szCs w:val="24"/>
              </w:rPr>
              <w:t>The learner has managed increasingly complex cases with professionalism and sound judgment. I am in the fortunate position to have oversight of the learner’s cases as their manager and as such, I provide oversight of the learner’s casework, which included working with children in who require care and support, children who require protection from harm under care and support protection plans and children who have been accommodated in an emergency. The learner demonstrated the ability to escalate concerns appropriately when  and manage the associated risk(s) with any such case work by applying professional judgment in what are ever increasingly complex situations.</w:t>
            </w:r>
          </w:p>
          <w:p w14:paraId="75808F63" w14:textId="77777777" w:rsidR="0020283A" w:rsidRDefault="0020283A" w:rsidP="0020283A">
            <w:pPr>
              <w:spacing w:line="360" w:lineRule="auto"/>
              <w:jc w:val="both"/>
              <w:rPr>
                <w:color w:val="auto"/>
                <w:sz w:val="24"/>
                <w:szCs w:val="24"/>
              </w:rPr>
            </w:pPr>
          </w:p>
          <w:p w14:paraId="6009C5A5" w14:textId="77777777" w:rsidR="0020283A" w:rsidRDefault="0020283A" w:rsidP="0020283A">
            <w:pPr>
              <w:spacing w:line="360" w:lineRule="auto"/>
              <w:jc w:val="both"/>
              <w:rPr>
                <w:color w:val="auto"/>
                <w:sz w:val="24"/>
                <w:szCs w:val="24"/>
              </w:rPr>
            </w:pPr>
            <w:r>
              <w:rPr>
                <w:color w:val="auto"/>
                <w:sz w:val="24"/>
                <w:szCs w:val="24"/>
              </w:rPr>
              <w:t xml:space="preserve">A particularly strong example of the learner’s intervention involved a young person who had no adult exercising their PR effectively and in their best interests following the breakdown of </w:t>
            </w:r>
            <w:r>
              <w:rPr>
                <w:color w:val="auto"/>
                <w:sz w:val="24"/>
                <w:szCs w:val="24"/>
              </w:rPr>
              <w:lastRenderedPageBreak/>
              <w:t xml:space="preserve">the Special Guardianship Placement. Given this young person’s age, consideration had to be given as to whether it was necessary or proportionate to make an application to the court. This was a real challenge given the powers that come with any court order and the learner made extensive enquiries to evidence why on this occasion, an application to the court was in this young person’s best interests. </w:t>
            </w:r>
          </w:p>
          <w:p w14:paraId="71F02E5E" w14:textId="77777777" w:rsidR="0020283A" w:rsidRDefault="0020283A" w:rsidP="0020283A">
            <w:pPr>
              <w:spacing w:line="360" w:lineRule="auto"/>
              <w:jc w:val="both"/>
              <w:rPr>
                <w:color w:val="auto"/>
                <w:sz w:val="24"/>
                <w:szCs w:val="24"/>
              </w:rPr>
            </w:pPr>
          </w:p>
          <w:p w14:paraId="262FCDC7" w14:textId="77777777" w:rsidR="0020283A" w:rsidRDefault="0020283A" w:rsidP="0020283A">
            <w:pPr>
              <w:spacing w:line="360" w:lineRule="auto"/>
              <w:jc w:val="both"/>
              <w:rPr>
                <w:color w:val="auto"/>
                <w:sz w:val="24"/>
                <w:szCs w:val="24"/>
              </w:rPr>
            </w:pPr>
            <w:r>
              <w:rPr>
                <w:color w:val="auto"/>
                <w:sz w:val="24"/>
                <w:szCs w:val="24"/>
              </w:rPr>
              <w:t xml:space="preserve">During these enquiries, the learner built a trusting and supportive relationship with the young person. Their persistence and determination ensured that decisions were made in the child’s best interests and the information collated supported the professional judgement / decision making. </w:t>
            </w:r>
          </w:p>
          <w:p w14:paraId="12F60810" w14:textId="77777777" w:rsidR="0020283A" w:rsidRDefault="0020283A" w:rsidP="0020283A">
            <w:pPr>
              <w:spacing w:line="360" w:lineRule="auto"/>
              <w:jc w:val="both"/>
              <w:rPr>
                <w:color w:val="auto"/>
                <w:sz w:val="24"/>
                <w:szCs w:val="24"/>
              </w:rPr>
            </w:pPr>
          </w:p>
          <w:p w14:paraId="03A00D35" w14:textId="77777777" w:rsidR="0020283A" w:rsidRDefault="0020283A" w:rsidP="0020283A">
            <w:pPr>
              <w:spacing w:line="360" w:lineRule="auto"/>
              <w:jc w:val="both"/>
              <w:rPr>
                <w:color w:val="auto"/>
                <w:sz w:val="24"/>
                <w:szCs w:val="24"/>
              </w:rPr>
            </w:pPr>
            <w:r>
              <w:rPr>
                <w:color w:val="auto"/>
                <w:sz w:val="24"/>
                <w:szCs w:val="24"/>
              </w:rPr>
              <w:t>The learner’s ability to present clear and comprehensive overviews of complex cases has been consistently evident in a wide range of meetings, which include child protection conferences, strategy discussions and internal meetings (such as exploration panels / accommodation panels). They effectively balance protective factors with presenting concerns and demonstrate a detailed understanding of the children they work with. This enables them to make informed decisions and contribute valuable insights to multi-agency discussions.</w:t>
            </w:r>
          </w:p>
          <w:p w14:paraId="2E2750FE" w14:textId="77777777" w:rsidR="0020283A" w:rsidRDefault="0020283A" w:rsidP="0020283A">
            <w:pPr>
              <w:spacing w:line="360" w:lineRule="auto"/>
              <w:jc w:val="both"/>
              <w:rPr>
                <w:color w:val="auto"/>
                <w:sz w:val="24"/>
                <w:szCs w:val="24"/>
              </w:rPr>
            </w:pPr>
          </w:p>
          <w:p w14:paraId="355AF698" w14:textId="77777777" w:rsidR="0020283A" w:rsidRDefault="0020283A" w:rsidP="0020283A">
            <w:pPr>
              <w:spacing w:line="360" w:lineRule="auto"/>
              <w:jc w:val="both"/>
              <w:rPr>
                <w:color w:val="auto"/>
                <w:sz w:val="24"/>
                <w:szCs w:val="24"/>
              </w:rPr>
            </w:pPr>
          </w:p>
          <w:p w14:paraId="7DB2E248" w14:textId="77777777" w:rsidR="0020283A" w:rsidRDefault="0020283A" w:rsidP="0020283A">
            <w:pPr>
              <w:spacing w:line="360" w:lineRule="auto"/>
              <w:jc w:val="both"/>
              <w:rPr>
                <w:sz w:val="24"/>
                <w:szCs w:val="24"/>
              </w:rPr>
            </w:pPr>
            <w:r>
              <w:rPr>
                <w:b/>
                <w:bCs/>
                <w:sz w:val="24"/>
                <w:szCs w:val="24"/>
              </w:rPr>
              <w:t>Conclusion and Recommendations for Development:</w:t>
            </w:r>
          </w:p>
          <w:p w14:paraId="529FE5C8" w14:textId="77777777" w:rsidR="0020283A" w:rsidRDefault="0020283A" w:rsidP="0020283A">
            <w:pPr>
              <w:spacing w:line="360" w:lineRule="auto"/>
              <w:jc w:val="both"/>
              <w:rPr>
                <w:color w:val="auto"/>
                <w:sz w:val="24"/>
                <w:szCs w:val="24"/>
              </w:rPr>
            </w:pPr>
            <w:r>
              <w:rPr>
                <w:color w:val="auto"/>
                <w:sz w:val="24"/>
                <w:szCs w:val="24"/>
              </w:rPr>
              <w:t>The learner has consistently demonstrated a high level of professionalism and is proving to be a valuable member of the team. Their strengths include excellent relationship-building skills, a strong commitment to advocacy, and the ability to apply professional judgment to complex situations. These qualities are evident in their day-to-day practice and contribute positively to outcomes for children and families.</w:t>
            </w:r>
          </w:p>
          <w:p w14:paraId="5B3F0CC9" w14:textId="77777777" w:rsidR="0020283A" w:rsidRDefault="0020283A" w:rsidP="0020283A">
            <w:pPr>
              <w:spacing w:line="360" w:lineRule="auto"/>
              <w:jc w:val="both"/>
              <w:rPr>
                <w:color w:val="auto"/>
                <w:sz w:val="24"/>
                <w:szCs w:val="24"/>
              </w:rPr>
            </w:pPr>
          </w:p>
          <w:p w14:paraId="1CDA60C6" w14:textId="77777777" w:rsidR="0020283A" w:rsidRDefault="0020283A" w:rsidP="0020283A">
            <w:pPr>
              <w:spacing w:line="360" w:lineRule="auto"/>
              <w:jc w:val="both"/>
              <w:rPr>
                <w:color w:val="auto"/>
                <w:sz w:val="24"/>
                <w:szCs w:val="24"/>
              </w:rPr>
            </w:pPr>
            <w:r>
              <w:rPr>
                <w:color w:val="auto"/>
                <w:sz w:val="24"/>
                <w:szCs w:val="24"/>
              </w:rPr>
              <w:t>The learner has identified court report writing as an area for development and has shown enthusiasm for gaining experience in this aspect of social work. To support this, they will be allocated cases involving children subject to court proceedings, providing opportunities to build confidence and competence in this area.</w:t>
            </w:r>
          </w:p>
          <w:p w14:paraId="00BF5909" w14:textId="77777777" w:rsidR="0020283A" w:rsidRDefault="0020283A" w:rsidP="0020283A">
            <w:pPr>
              <w:spacing w:line="360" w:lineRule="auto"/>
              <w:jc w:val="both"/>
              <w:rPr>
                <w:color w:val="auto"/>
                <w:sz w:val="24"/>
                <w:szCs w:val="24"/>
              </w:rPr>
            </w:pPr>
          </w:p>
          <w:p w14:paraId="47C75E39" w14:textId="6E8B0B65" w:rsidR="0020283A" w:rsidRDefault="0020283A" w:rsidP="0020283A">
            <w:pPr>
              <w:spacing w:line="360" w:lineRule="auto"/>
              <w:jc w:val="both"/>
              <w:rPr>
                <w:color w:val="auto"/>
                <w:sz w:val="24"/>
                <w:szCs w:val="24"/>
              </w:rPr>
            </w:pPr>
            <w:r>
              <w:rPr>
                <w:color w:val="auto"/>
                <w:sz w:val="24"/>
                <w:szCs w:val="24"/>
              </w:rPr>
              <w:lastRenderedPageBreak/>
              <w:t xml:space="preserve">In addition, the learner is encouraged to consider undertaking the Practice Educator course. Their ability to support and guide newly qualified social workers, combined with their reflective approach and growing expertise, </w:t>
            </w:r>
            <w:r>
              <w:rPr>
                <w:color w:val="auto"/>
                <w:sz w:val="24"/>
                <w:szCs w:val="24"/>
              </w:rPr>
              <w:t>and would</w:t>
            </w:r>
            <w:r>
              <w:rPr>
                <w:color w:val="auto"/>
                <w:sz w:val="24"/>
                <w:szCs w:val="24"/>
              </w:rPr>
              <w:t xml:space="preserve"> make them a strong candidate. This would also support their continued professional development and benefit the wider team.</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354E30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105191">
        <w:rPr>
          <w:b/>
          <w:sz w:val="24"/>
          <w:szCs w:val="24"/>
        </w:rPr>
        <w:tab/>
      </w:r>
      <w:r w:rsidR="00105191">
        <w:rPr>
          <w:b/>
          <w:sz w:val="24"/>
          <w:szCs w:val="24"/>
        </w:rPr>
        <w:tab/>
      </w:r>
      <w:r w:rsidR="00105191">
        <w:rPr>
          <w:b/>
          <w:sz w:val="24"/>
          <w:szCs w:val="24"/>
        </w:rPr>
        <w:tab/>
      </w:r>
      <w:r w:rsidR="00105191">
        <w:rPr>
          <w:b/>
          <w:sz w:val="24"/>
          <w:szCs w:val="24"/>
        </w:rPr>
        <w:tab/>
        <w:t xml:space="preserve">Gillian Fiona Williams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F270F1A"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05191">
        <w:rPr>
          <w:b/>
          <w:sz w:val="24"/>
          <w:szCs w:val="24"/>
        </w:rPr>
        <w:t xml:space="preserve"> </w:t>
      </w:r>
      <w:r w:rsidR="00105191">
        <w:rPr>
          <w:b/>
          <w:sz w:val="24"/>
          <w:szCs w:val="24"/>
        </w:rPr>
        <w:tab/>
      </w:r>
      <w:r w:rsidR="00105191">
        <w:rPr>
          <w:b/>
          <w:sz w:val="24"/>
          <w:szCs w:val="24"/>
        </w:rPr>
        <w:tab/>
        <w:t>2421533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4247DA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105191">
        <w:rPr>
          <w:b/>
          <w:sz w:val="24"/>
          <w:szCs w:val="24"/>
        </w:rPr>
        <w:t xml:space="preserve">  15 Garden Village, St Martins. Oswestry SY11 3AU</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D11AFF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05191">
        <w:rPr>
          <w:b/>
          <w:sz w:val="24"/>
          <w:szCs w:val="24"/>
        </w:rPr>
        <w:t xml:space="preserve"> 07527691069</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C1D1B7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105191">
        <w:rPr>
          <w:b/>
          <w:sz w:val="24"/>
          <w:szCs w:val="24"/>
        </w:rPr>
        <w:t xml:space="preserve"> gillshorty@hotmail.co.uk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1C7FB2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05191">
        <w:rPr>
          <w:b/>
          <w:sz w:val="24"/>
          <w:szCs w:val="24"/>
        </w:rPr>
        <w:t>31</w:t>
      </w:r>
      <w:r w:rsidR="00105191" w:rsidRPr="00105191">
        <w:rPr>
          <w:b/>
          <w:sz w:val="24"/>
          <w:szCs w:val="24"/>
          <w:vertAlign w:val="superscript"/>
        </w:rPr>
        <w:t>st</w:t>
      </w:r>
      <w:r w:rsidR="00105191">
        <w:rPr>
          <w:b/>
          <w:sz w:val="24"/>
          <w:szCs w:val="24"/>
        </w:rPr>
        <w:t xml:space="preserve"> October 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4D1DE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D7664">
        <w:rPr>
          <w:b/>
          <w:sz w:val="24"/>
          <w:szCs w:val="24"/>
        </w:rPr>
        <w:t>17/11/2023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799E4A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7D7664" w:rsidRPr="007D7664">
        <w:rPr>
          <w:b/>
          <w:sz w:val="24"/>
          <w:szCs w:val="24"/>
        </w:rPr>
        <w:t xml:space="preserve"> </w:t>
      </w:r>
      <w:r w:rsidR="007D7664">
        <w:rPr>
          <w:b/>
          <w:sz w:val="24"/>
          <w:szCs w:val="24"/>
        </w:rPr>
        <w:tab/>
      </w:r>
      <w:r w:rsidR="007D7664">
        <w:rPr>
          <w:b/>
          <w:sz w:val="24"/>
          <w:szCs w:val="24"/>
        </w:rPr>
        <w:tab/>
      </w:r>
      <w:r w:rsidR="007D7664">
        <w:rPr>
          <w:b/>
          <w:sz w:val="24"/>
          <w:szCs w:val="24"/>
        </w:rPr>
        <w:tab/>
        <w:t>Wrexham County Borough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6CA3C5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D7664" w:rsidRPr="007D7664">
        <w:rPr>
          <w:b/>
          <w:sz w:val="24"/>
          <w:szCs w:val="24"/>
        </w:rPr>
        <w:t xml:space="preserve"> </w:t>
      </w:r>
      <w:r w:rsidR="007D7664">
        <w:rPr>
          <w:b/>
          <w:sz w:val="24"/>
          <w:szCs w:val="24"/>
        </w:rPr>
        <w:tab/>
      </w:r>
      <w:r w:rsidR="007D7664">
        <w:rPr>
          <w:b/>
          <w:sz w:val="24"/>
          <w:szCs w:val="24"/>
        </w:rPr>
        <w:tab/>
      </w:r>
      <w:r w:rsidR="007D7664">
        <w:rPr>
          <w:b/>
          <w:sz w:val="24"/>
          <w:szCs w:val="24"/>
        </w:rPr>
        <w:tab/>
      </w:r>
      <w:r w:rsidR="007D7664">
        <w:rPr>
          <w:b/>
          <w:sz w:val="24"/>
          <w:szCs w:val="24"/>
        </w:rPr>
        <w:tab/>
      </w:r>
      <w:r w:rsidR="007D7664">
        <w:rPr>
          <w:b/>
          <w:sz w:val="24"/>
          <w:szCs w:val="24"/>
        </w:rPr>
        <w:tab/>
        <w:t>David Nulty/Workforce Development</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0805951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7D7664" w:rsidRPr="007D7664">
        <w:rPr>
          <w:b/>
          <w:sz w:val="24"/>
          <w:szCs w:val="24"/>
        </w:rPr>
        <w:t xml:space="preserve"> </w:t>
      </w:r>
      <w:r w:rsidR="007D7664">
        <w:rPr>
          <w:b/>
          <w:sz w:val="24"/>
          <w:szCs w:val="24"/>
        </w:rPr>
        <w:tab/>
      </w:r>
      <w:r w:rsidR="007D7664">
        <w:rPr>
          <w:b/>
          <w:sz w:val="24"/>
          <w:szCs w:val="24"/>
        </w:rPr>
        <w:tab/>
      </w:r>
      <w:r w:rsidR="007D7664">
        <w:rPr>
          <w:b/>
          <w:sz w:val="24"/>
          <w:szCs w:val="24"/>
        </w:rPr>
        <w:tab/>
      </w:r>
      <w:r w:rsidR="007D7664">
        <w:rPr>
          <w:b/>
          <w:sz w:val="24"/>
          <w:szCs w:val="24"/>
        </w:rPr>
        <w:tab/>
      </w:r>
      <w:r w:rsidR="007D7664">
        <w:rPr>
          <w:b/>
          <w:sz w:val="24"/>
          <w:szCs w:val="24"/>
        </w:rPr>
        <w:tab/>
        <w:t>Guildhall, Wrexham</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E5EAF2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D7664" w:rsidRPr="007D7664">
        <w:rPr>
          <w:b/>
          <w:sz w:val="24"/>
          <w:szCs w:val="24"/>
        </w:rPr>
        <w:t xml:space="preserve"> </w:t>
      </w:r>
      <w:r w:rsidR="007D7664">
        <w:rPr>
          <w:b/>
          <w:sz w:val="24"/>
          <w:szCs w:val="24"/>
        </w:rPr>
        <w:tab/>
      </w:r>
      <w:r w:rsidR="007D7664">
        <w:rPr>
          <w:b/>
          <w:sz w:val="24"/>
          <w:szCs w:val="24"/>
        </w:rPr>
        <w:tab/>
      </w:r>
      <w:r w:rsidR="007D7664">
        <w:rPr>
          <w:b/>
          <w:sz w:val="24"/>
          <w:szCs w:val="24"/>
        </w:rPr>
        <w:tab/>
        <w:t>01978295341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BE96771" w14:textId="76A2F024" w:rsidR="007D7664" w:rsidRDefault="004923DA" w:rsidP="007D766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7D7664">
        <w:rPr>
          <w:b/>
          <w:sz w:val="24"/>
          <w:szCs w:val="24"/>
        </w:rPr>
        <w:tab/>
      </w:r>
      <w:r w:rsidR="007D7664">
        <w:rPr>
          <w:b/>
          <w:sz w:val="24"/>
          <w:szCs w:val="24"/>
        </w:rPr>
        <w:tab/>
      </w:r>
      <w:r w:rsidR="007D7664">
        <w:rPr>
          <w:b/>
          <w:sz w:val="24"/>
          <w:szCs w:val="24"/>
        </w:rPr>
        <w:tab/>
      </w:r>
      <w:r w:rsidR="007D7664">
        <w:rPr>
          <w:b/>
          <w:sz w:val="24"/>
          <w:szCs w:val="24"/>
        </w:rPr>
        <w:tab/>
        <w:t>David.nulty@wrexham.gov.uk</w:t>
      </w: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22F2752"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r w:rsidRPr="007D7664">
        <w:rPr>
          <w:b/>
          <w:sz w:val="24"/>
          <w:szCs w:val="24"/>
          <w:highlight w:val="yellow"/>
        </w:rPr>
        <w:t xml:space="preserve">English only </w:t>
      </w:r>
      <w:r w:rsidRPr="007D7664">
        <w:rPr>
          <w:b/>
          <w:sz w:val="24"/>
          <w:szCs w:val="24"/>
          <w:highlight w:val="yellow"/>
        </w:rPr>
        <w:sym w:font="Wingdings" w:char="F06F"/>
      </w:r>
      <w:r w:rsidR="007D7664" w:rsidRPr="007D7664">
        <w:rPr>
          <w:b/>
          <w:sz w:val="24"/>
          <w:szCs w:val="24"/>
          <w:highlight w:val="yellow"/>
        </w:rPr>
        <w:t xml:space="preserve"> (x)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E5E556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20283A" w:rsidRPr="0020283A">
        <w:rPr>
          <w:b/>
          <w:sz w:val="24"/>
          <w:szCs w:val="24"/>
        </w:rPr>
        <w:t xml:space="preserve"> </w:t>
      </w:r>
      <w:r w:rsidR="0020283A">
        <w:rPr>
          <w:b/>
          <w:sz w:val="24"/>
          <w:szCs w:val="24"/>
        </w:rPr>
        <w:t>Kyle Dovey</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A1F17A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D7664">
        <w:rPr>
          <w:b/>
          <w:sz w:val="24"/>
          <w:szCs w:val="24"/>
        </w:rPr>
        <w:t xml:space="preserve">  </w:t>
      </w:r>
      <w:r w:rsidR="007D7664" w:rsidRPr="00521788">
        <w:rPr>
          <w:b/>
          <w:bCs/>
          <w:sz w:val="24"/>
          <w:szCs w:val="24"/>
        </w:rPr>
        <w:t>Crown Buildings</w:t>
      </w:r>
      <w:r w:rsidR="007D7664">
        <w:rPr>
          <w:b/>
          <w:bCs/>
          <w:sz w:val="24"/>
          <w:szCs w:val="24"/>
        </w:rPr>
        <w:t xml:space="preserve">, </w:t>
      </w:r>
      <w:r w:rsidR="007D7664" w:rsidRPr="00521788">
        <w:rPr>
          <w:b/>
          <w:bCs/>
          <w:sz w:val="24"/>
          <w:szCs w:val="24"/>
        </w:rPr>
        <w:t>31 Chester St, Wrexham LL13 8BG</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AE12EC4" w14:textId="77777777" w:rsidR="0020283A" w:rsidRDefault="004923DA" w:rsidP="0020283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20283A">
        <w:rPr>
          <w:b/>
          <w:sz w:val="24"/>
          <w:szCs w:val="24"/>
        </w:rPr>
        <w:t xml:space="preserve"> </w:t>
      </w:r>
      <w:hyperlink r:id="rId39" w:history="1">
        <w:r w:rsidR="0020283A">
          <w:rPr>
            <w:rStyle w:val="Hyperlink"/>
            <w:b/>
            <w:sz w:val="24"/>
            <w:szCs w:val="24"/>
          </w:rPr>
          <w:t>kyle.dovey@wrexham.gov.uk</w:t>
        </w:r>
      </w:hyperlink>
      <w:r w:rsidR="0020283A">
        <w:rPr>
          <w:b/>
          <w:sz w:val="24"/>
          <w:szCs w:val="24"/>
        </w:rPr>
        <w:t xml:space="preserve"> </w:t>
      </w:r>
    </w:p>
    <w:p w14:paraId="4F4DECA5" w14:textId="65290EB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23A84B6" w:rsidR="004923DA" w:rsidRDefault="004923DA" w:rsidP="00FF7EBB">
            <w:pPr>
              <w:jc w:val="both"/>
              <w:rPr>
                <w:b/>
                <w:sz w:val="24"/>
                <w:szCs w:val="24"/>
              </w:rPr>
            </w:pPr>
            <w:r w:rsidRPr="008B28E7">
              <w:rPr>
                <w:b/>
                <w:sz w:val="24"/>
                <w:szCs w:val="24"/>
              </w:rPr>
              <w:t>Name:</w:t>
            </w:r>
            <w:r w:rsidR="007D7664">
              <w:rPr>
                <w:b/>
                <w:sz w:val="24"/>
                <w:szCs w:val="24"/>
              </w:rPr>
              <w:t xml:space="preserve"> Kyle Dovey</w:t>
            </w:r>
          </w:p>
          <w:p w14:paraId="4EF4A770" w14:textId="77777777" w:rsidR="004923DA" w:rsidRPr="008B28E7" w:rsidRDefault="004923DA" w:rsidP="00FF7EBB">
            <w:pPr>
              <w:jc w:val="both"/>
              <w:rPr>
                <w:b/>
                <w:sz w:val="24"/>
                <w:szCs w:val="24"/>
              </w:rPr>
            </w:pPr>
          </w:p>
          <w:p w14:paraId="1AC8522D" w14:textId="1F06E5BF" w:rsidR="004923DA" w:rsidRDefault="004923DA" w:rsidP="00FF7EBB">
            <w:pPr>
              <w:jc w:val="both"/>
              <w:rPr>
                <w:b/>
                <w:sz w:val="24"/>
                <w:szCs w:val="24"/>
              </w:rPr>
            </w:pPr>
            <w:r w:rsidRPr="008B28E7">
              <w:rPr>
                <w:b/>
                <w:sz w:val="24"/>
                <w:szCs w:val="24"/>
              </w:rPr>
              <w:t xml:space="preserve">Work Address: </w:t>
            </w:r>
            <w:r w:rsidR="007D7664" w:rsidRPr="00521788">
              <w:rPr>
                <w:b/>
                <w:bCs/>
                <w:sz w:val="24"/>
                <w:szCs w:val="24"/>
              </w:rPr>
              <w:t>Crown Buildings</w:t>
            </w:r>
            <w:r w:rsidR="007D7664">
              <w:rPr>
                <w:b/>
                <w:bCs/>
                <w:sz w:val="24"/>
                <w:szCs w:val="24"/>
              </w:rPr>
              <w:t xml:space="preserve">, </w:t>
            </w:r>
            <w:r w:rsidR="007D7664" w:rsidRPr="00521788">
              <w:rPr>
                <w:b/>
                <w:bCs/>
                <w:sz w:val="24"/>
                <w:szCs w:val="24"/>
              </w:rPr>
              <w:t>31 Chester St, Wrexham LL13 8BG</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66C2A279" w14:textId="77777777" w:rsidR="0020283A" w:rsidRDefault="009D59C2" w:rsidP="0020283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20283A">
              <w:rPr>
                <w:b/>
                <w:sz w:val="24"/>
                <w:szCs w:val="24"/>
              </w:rPr>
              <w:t xml:space="preserve"> </w:t>
            </w:r>
            <w:hyperlink r:id="rId40" w:history="1">
              <w:r w:rsidR="0020283A">
                <w:rPr>
                  <w:rStyle w:val="Hyperlink"/>
                  <w:b/>
                  <w:sz w:val="24"/>
                  <w:szCs w:val="24"/>
                </w:rPr>
                <w:t>kyle.dovey@wrexham.gov.uk</w:t>
              </w:r>
            </w:hyperlink>
            <w:r w:rsidR="0020283A">
              <w:rPr>
                <w:b/>
                <w:sz w:val="24"/>
                <w:szCs w:val="24"/>
              </w:rPr>
              <w:t xml:space="preserve"> </w:t>
            </w:r>
          </w:p>
          <w:p w14:paraId="4FDEE73F" w14:textId="1385D3DF" w:rsidR="009D59C2" w:rsidRPr="008B28E7" w:rsidRDefault="009D59C2" w:rsidP="00FF7EBB">
            <w:pPr>
              <w:jc w:val="both"/>
              <w:rPr>
                <w:b/>
                <w:sz w:val="24"/>
                <w:szCs w:val="24"/>
              </w:rPr>
            </w:pP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00876D75" w14:textId="0F2625F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7D7664">
        <w:rPr>
          <w:sz w:val="24"/>
          <w:szCs w:val="24"/>
        </w:rPr>
        <w:t xml:space="preserve"> </w:t>
      </w:r>
      <w:r w:rsidR="007D7664" w:rsidRPr="003B5E23">
        <w:rPr>
          <w:noProof/>
        </w:rPr>
        <w:drawing>
          <wp:inline distT="0" distB="0" distL="0" distR="0" wp14:anchorId="72A6CC52" wp14:editId="0504314B">
            <wp:extent cx="1895475" cy="3630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902611" cy="364375"/>
                    </a:xfrm>
                    <a:prstGeom prst="rect">
                      <a:avLst/>
                    </a:prstGeom>
                    <a:noFill/>
                    <a:ln>
                      <a:noFill/>
                    </a:ln>
                  </pic:spPr>
                </pic:pic>
              </a:graphicData>
            </a:graphic>
          </wp:inline>
        </w:drawing>
      </w:r>
      <w:r>
        <w:rPr>
          <w:sz w:val="24"/>
          <w:szCs w:val="24"/>
        </w:rPr>
        <w:t xml:space="preserve">  </w:t>
      </w:r>
      <w:r w:rsidR="009D59C2">
        <w:rPr>
          <w:sz w:val="24"/>
          <w:szCs w:val="24"/>
        </w:rPr>
        <w:t xml:space="preserve"> </w:t>
      </w:r>
      <w:r w:rsidR="007D7664">
        <w:rPr>
          <w:sz w:val="24"/>
          <w:szCs w:val="24"/>
        </w:rPr>
        <w:t>(Learner)</w:t>
      </w:r>
    </w:p>
    <w:p w14:paraId="667ECC49" w14:textId="5165E24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20283A">
        <w:rPr>
          <w:sz w:val="24"/>
          <w:szCs w:val="24"/>
        </w:rPr>
        <w:t xml:space="preserve">08/10/2025 </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E2C1CA0"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20283A">
        <w:rPr>
          <w:noProof/>
        </w:rPr>
        <w:t>Kyle Dovey</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4D095C8" w14:textId="77777777" w:rsidR="0020283A" w:rsidRPr="008B28E7" w:rsidRDefault="00B577D3" w:rsidP="0020283A">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Date_ </w:t>
      </w:r>
      <w:r w:rsidR="0020283A">
        <w:rPr>
          <w:sz w:val="24"/>
          <w:szCs w:val="24"/>
        </w:rPr>
        <w:t xml:space="preserve">08/10/2025 </w:t>
      </w:r>
    </w:p>
    <w:p w14:paraId="710ED166" w14:textId="77777777" w:rsidR="0020283A" w:rsidRPr="008B28E7" w:rsidRDefault="0020283A" w:rsidP="0020283A">
      <w:pPr>
        <w:pBdr>
          <w:top w:val="single" w:sz="6" w:space="1" w:color="auto"/>
          <w:left w:val="single" w:sz="6" w:space="1" w:color="auto"/>
          <w:bottom w:val="single" w:sz="6" w:space="1" w:color="auto"/>
          <w:right w:val="single" w:sz="6" w:space="1" w:color="auto"/>
        </w:pBdr>
        <w:jc w:val="both"/>
        <w:rPr>
          <w:sz w:val="24"/>
          <w:szCs w:val="24"/>
        </w:rPr>
      </w:pPr>
    </w:p>
    <w:p w14:paraId="2FAB77D8" w14:textId="2CD32588"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7B6D6DD" w:rsidR="00335C41" w:rsidRPr="00D3203C" w:rsidRDefault="0020283A" w:rsidP="00335C41">
            <w:pPr>
              <w:ind w:right="180"/>
              <w:jc w:val="both"/>
              <w:rPr>
                <w:sz w:val="24"/>
                <w:szCs w:val="24"/>
              </w:rPr>
            </w:pPr>
            <w:r>
              <w:rPr>
                <w:sz w:val="24"/>
                <w:szCs w:val="24"/>
              </w:rPr>
              <w:t xml:space="preserve">Signed K.Dovey </w:t>
            </w:r>
            <w:r w:rsidR="00335C41"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008F28E3" w14:textId="77777777" w:rsidR="0020283A" w:rsidRPr="008B28E7" w:rsidRDefault="00335C41" w:rsidP="0020283A">
            <w:pPr>
              <w:pBdr>
                <w:top w:val="single" w:sz="6" w:space="1" w:color="auto"/>
                <w:left w:val="single" w:sz="6" w:space="1" w:color="auto"/>
                <w:bottom w:val="single" w:sz="6" w:space="1" w:color="auto"/>
                <w:right w:val="single" w:sz="6" w:space="1" w:color="auto"/>
              </w:pBdr>
              <w:jc w:val="both"/>
              <w:rPr>
                <w:sz w:val="24"/>
                <w:szCs w:val="24"/>
              </w:rPr>
            </w:pPr>
            <w:r w:rsidRPr="00D3203C">
              <w:rPr>
                <w:sz w:val="24"/>
                <w:szCs w:val="24"/>
              </w:rPr>
              <w:t xml:space="preserve">Date </w:t>
            </w:r>
            <w:r w:rsidR="0020283A">
              <w:rPr>
                <w:sz w:val="24"/>
                <w:szCs w:val="24"/>
              </w:rPr>
              <w:t xml:space="preserve">08/10/2025 </w:t>
            </w:r>
          </w:p>
          <w:p w14:paraId="0F2043B1" w14:textId="77777777" w:rsidR="0020283A" w:rsidRPr="008B28E7" w:rsidRDefault="0020283A" w:rsidP="0020283A">
            <w:pPr>
              <w:pBdr>
                <w:top w:val="single" w:sz="6" w:space="1" w:color="auto"/>
                <w:left w:val="single" w:sz="6" w:space="1" w:color="auto"/>
                <w:bottom w:val="single" w:sz="6" w:space="1" w:color="auto"/>
                <w:right w:val="single" w:sz="6" w:space="1" w:color="auto"/>
              </w:pBdr>
              <w:jc w:val="both"/>
              <w:rPr>
                <w:sz w:val="24"/>
                <w:szCs w:val="24"/>
              </w:rPr>
            </w:pPr>
          </w:p>
          <w:p w14:paraId="24E1B8A5" w14:textId="58C950F9" w:rsidR="00335C41" w:rsidRPr="00D3203C" w:rsidRDefault="00335C41" w:rsidP="00335C41">
            <w:pPr>
              <w:ind w:right="180"/>
              <w:jc w:val="both"/>
              <w:rPr>
                <w:sz w:val="24"/>
                <w:szCs w:val="24"/>
              </w:rPr>
            </w:pP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6AD846BA" w14:textId="77777777" w:rsidR="0020283A" w:rsidRDefault="004923DA" w:rsidP="0020283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20283A">
        <w:rPr>
          <w:caps/>
          <w:sz w:val="24"/>
          <w:szCs w:val="24"/>
        </w:rPr>
        <w:t xml:space="preserve">SARAH gRAY </w:t>
      </w:r>
    </w:p>
    <w:p w14:paraId="3162220C" w14:textId="77777777" w:rsidR="0020283A" w:rsidRDefault="009D59C2"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Pr>
          <w:caps/>
          <w:sz w:val="24"/>
          <w:szCs w:val="24"/>
        </w:rPr>
        <w:t xml:space="preserve"> </w:t>
      </w:r>
    </w:p>
    <w:p w14:paraId="7C11F360" w14:textId="094502D2"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20283A">
        <w:rPr>
          <w:noProof/>
        </w:rPr>
        <w:drawing>
          <wp:inline distT="0" distB="0" distL="0" distR="0" wp14:anchorId="3789F414" wp14:editId="4265692D">
            <wp:extent cx="914400" cy="619125"/>
            <wp:effectExtent l="0" t="0" r="0" b="9525"/>
            <wp:docPr id="4" name="Picture 4" descr="cid:image001.png@01D7F0F5.CF5A3BD0"/>
            <wp:cNvGraphicFramePr/>
            <a:graphic xmlns:a="http://schemas.openxmlformats.org/drawingml/2006/main">
              <a:graphicData uri="http://schemas.openxmlformats.org/drawingml/2006/picture">
                <pic:pic xmlns:pic="http://schemas.openxmlformats.org/drawingml/2006/picture">
                  <pic:nvPicPr>
                    <pic:cNvPr id="4" name="Picture 4" descr="cid:image001.png@01D7F0F5.CF5A3BD0"/>
                    <pic:cNvPicPr/>
                  </pic:nvPicPr>
                  <pic:blipFill>
                    <a:blip r:embed="rId42" r:link="rId43">
                      <a:extLst>
                        <a:ext uri="{28A0092B-C50C-407E-A947-70E740481C1C}">
                          <a14:useLocalDpi xmlns:a14="http://schemas.microsoft.com/office/drawing/2010/main" val="0"/>
                        </a:ext>
                      </a:extLst>
                    </a:blip>
                    <a:srcRect/>
                    <a:stretch>
                      <a:fillRect/>
                    </a:stretch>
                  </pic:blipFill>
                  <pic:spPr bwMode="auto">
                    <a:xfrm>
                      <a:off x="0" y="0"/>
                      <a:ext cx="914400" cy="619125"/>
                    </a:xfrm>
                    <a:prstGeom prst="rect">
                      <a:avLst/>
                    </a:prstGeom>
                    <a:noFill/>
                    <a:ln>
                      <a:noFill/>
                    </a:ln>
                  </pic:spPr>
                </pic:pic>
              </a:graphicData>
            </a:graphic>
          </wp:inline>
        </w:drawing>
      </w:r>
    </w:p>
    <w:p w14:paraId="326C85FC" w14:textId="77777777" w:rsidR="0020283A" w:rsidRPr="008B28E7" w:rsidRDefault="0020283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p>
    <w:p w14:paraId="57B2A00A" w14:textId="387BBAB6" w:rsidR="004923DA"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sz w:val="24"/>
          <w:szCs w:val="24"/>
        </w:rPr>
        <w:t>DATE:</w:t>
      </w:r>
      <w:r w:rsidR="004923DA" w:rsidRPr="008B28E7">
        <w:rPr>
          <w:sz w:val="24"/>
          <w:szCs w:val="24"/>
        </w:rPr>
        <w:t xml:space="preserve"> </w:t>
      </w:r>
      <w:r w:rsidR="009D59C2">
        <w:rPr>
          <w:sz w:val="24"/>
          <w:szCs w:val="24"/>
        </w:rPr>
        <w:t xml:space="preserve">               </w:t>
      </w:r>
      <w:r w:rsidR="0089241B">
        <w:rPr>
          <w:sz w:val="24"/>
          <w:szCs w:val="24"/>
        </w:rPr>
        <w:t>1</w:t>
      </w:r>
      <w:r w:rsidR="0089241B">
        <w:rPr>
          <w:sz w:val="24"/>
          <w:szCs w:val="24"/>
          <w:vertAlign w:val="superscript"/>
        </w:rPr>
        <w:t>st</w:t>
      </w:r>
      <w:r w:rsidR="0089241B">
        <w:rPr>
          <w:sz w:val="24"/>
          <w:szCs w:val="24"/>
        </w:rPr>
        <w:t xml:space="preserve"> October 2024.                                     </w:t>
      </w:r>
      <w:r w:rsidR="009D59C2">
        <w:rPr>
          <w:sz w:val="24"/>
          <w:szCs w:val="24"/>
        </w:rPr>
        <w:t xml:space="preserve">                                </w:t>
      </w:r>
    </w:p>
    <w:p w14:paraId="2BA7469B" w14:textId="77777777" w:rsidR="0089241B" w:rsidRPr="008B28E7" w:rsidRDefault="0089241B"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B988284" w:rsidR="00D05A5D" w:rsidRPr="00DA5682" w:rsidRDefault="007D7664" w:rsidP="00CC14B6">
            <w:pPr>
              <w:rPr>
                <w:sz w:val="24"/>
                <w:szCs w:val="24"/>
              </w:rPr>
            </w:pPr>
            <w:r>
              <w:rPr>
                <w:sz w:val="24"/>
                <w:szCs w:val="24"/>
              </w:rPr>
              <w:t xml:space="preserve">Gillian Williams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185CD934" w:rsidR="00D05A5D" w:rsidRPr="00DA5682" w:rsidRDefault="00244E52" w:rsidP="00CC14B6">
            <w:pPr>
              <w:rPr>
                <w:sz w:val="24"/>
                <w:szCs w:val="24"/>
              </w:rPr>
            </w:pPr>
            <w:r>
              <w:rPr>
                <w:sz w:val="24"/>
                <w:szCs w:val="24"/>
              </w:rPr>
              <w:t>Assessment</w:t>
            </w:r>
            <w:r w:rsidR="007D7664">
              <w:rPr>
                <w:sz w:val="24"/>
                <w:szCs w:val="24"/>
              </w:rPr>
              <w:t xml:space="preserve"> and Intervention Team/ Wrexham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C3FB21A" w:rsidR="00D05A5D" w:rsidRPr="00DA5682" w:rsidRDefault="0089241B" w:rsidP="00CC14B6">
            <w:pPr>
              <w:rPr>
                <w:sz w:val="24"/>
                <w:szCs w:val="24"/>
              </w:rPr>
            </w:pPr>
            <w:r>
              <w:rPr>
                <w:sz w:val="24"/>
                <w:szCs w:val="24"/>
              </w:rPr>
              <w:t>Kyle Dovey</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08170C02" w:rsidR="00D05A5D" w:rsidRPr="00DA5682" w:rsidRDefault="0089241B" w:rsidP="00CC14B6">
            <w:pPr>
              <w:rPr>
                <w:sz w:val="24"/>
                <w:szCs w:val="24"/>
              </w:rPr>
            </w:pPr>
            <w:r>
              <w:rPr>
                <w:sz w:val="24"/>
                <w:szCs w:val="24"/>
              </w:rPr>
              <w:t>Sarah Gray</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6109663E" w:rsidR="00D05A5D" w:rsidRPr="00DA5682" w:rsidRDefault="00D05A5D" w:rsidP="00D05A5D">
      <w:pPr>
        <w:rPr>
          <w:sz w:val="24"/>
          <w:szCs w:val="24"/>
        </w:rPr>
      </w:pPr>
      <w:r w:rsidRPr="00DA5682">
        <w:rPr>
          <w:sz w:val="24"/>
          <w:szCs w:val="24"/>
        </w:rPr>
        <w:t xml:space="preserve">Signed: </w:t>
      </w:r>
      <w:r w:rsidR="007D7664" w:rsidRPr="003B5E23">
        <w:rPr>
          <w:noProof/>
        </w:rPr>
        <w:drawing>
          <wp:inline distT="0" distB="0" distL="0" distR="0" wp14:anchorId="2ADD93DF" wp14:editId="117E8C75">
            <wp:extent cx="1895475" cy="523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895475" cy="523875"/>
                    </a:xfrm>
                    <a:prstGeom prst="rect">
                      <a:avLst/>
                    </a:prstGeom>
                    <a:noFill/>
                    <a:ln>
                      <a:noFill/>
                    </a:ln>
                  </pic:spPr>
                </pic:pic>
              </a:graphicData>
            </a:graphic>
          </wp:inline>
        </w:drawing>
      </w:r>
      <w:r w:rsidRPr="00DA5682">
        <w:rPr>
          <w:sz w:val="24"/>
          <w:szCs w:val="24"/>
        </w:rPr>
        <w:t>Print Name:</w:t>
      </w:r>
      <w:r w:rsidR="007D7664">
        <w:rPr>
          <w:sz w:val="24"/>
          <w:szCs w:val="24"/>
        </w:rPr>
        <w:t xml:space="preserve"> Gillian Williams </w:t>
      </w:r>
      <w:r w:rsidRPr="00DA5682">
        <w:rPr>
          <w:sz w:val="24"/>
          <w:szCs w:val="24"/>
        </w:rPr>
        <w:t xml:space="preserve"> Date: </w:t>
      </w:r>
      <w:r w:rsidR="0089241B">
        <w:rPr>
          <w:sz w:val="24"/>
          <w:szCs w:val="24"/>
        </w:rPr>
        <w:t>01/10/2024</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216E53FB" w:rsidR="00D05A5D" w:rsidRPr="00DA5682" w:rsidRDefault="00D05A5D" w:rsidP="00D05A5D">
      <w:pPr>
        <w:rPr>
          <w:sz w:val="24"/>
          <w:szCs w:val="24"/>
        </w:rPr>
      </w:pPr>
      <w:r w:rsidRPr="00DA5682">
        <w:rPr>
          <w:sz w:val="24"/>
          <w:szCs w:val="24"/>
        </w:rPr>
        <w:t>Signed:</w:t>
      </w:r>
      <w:r w:rsidR="0089241B" w:rsidRPr="0089241B">
        <w:rPr>
          <w:noProof/>
        </w:rPr>
        <w:t xml:space="preserve"> </w:t>
      </w:r>
      <w:r w:rsidR="0089241B">
        <w:rPr>
          <w:noProof/>
        </w:rPr>
        <w:drawing>
          <wp:inline distT="0" distB="0" distL="0" distR="0" wp14:anchorId="1998DFCF" wp14:editId="403B0F9D">
            <wp:extent cx="914400" cy="408616"/>
            <wp:effectExtent l="0" t="0" r="0" b="0"/>
            <wp:docPr id="3" name="Picture 3" descr="cid:image001.png@01D7F0F5.CF5A3BD0"/>
            <wp:cNvGraphicFramePr/>
            <a:graphic xmlns:a="http://schemas.openxmlformats.org/drawingml/2006/main">
              <a:graphicData uri="http://schemas.openxmlformats.org/drawingml/2006/picture">
                <pic:pic xmlns:pic="http://schemas.openxmlformats.org/drawingml/2006/picture">
                  <pic:nvPicPr>
                    <pic:cNvPr id="3" name="Picture 3" descr="cid:image001.png@01D7F0F5.CF5A3BD0"/>
                    <pic:cNvPicPr/>
                  </pic:nvPicPr>
                  <pic:blipFill>
                    <a:blip r:embed="rId42" r:link="rId43">
                      <a:extLst>
                        <a:ext uri="{28A0092B-C50C-407E-A947-70E740481C1C}">
                          <a14:useLocalDpi xmlns:a14="http://schemas.microsoft.com/office/drawing/2010/main" val="0"/>
                        </a:ext>
                      </a:extLst>
                    </a:blip>
                    <a:srcRect/>
                    <a:stretch>
                      <a:fillRect/>
                    </a:stretch>
                  </pic:blipFill>
                  <pic:spPr bwMode="auto">
                    <a:xfrm>
                      <a:off x="0" y="0"/>
                      <a:ext cx="930227" cy="415688"/>
                    </a:xfrm>
                    <a:prstGeom prst="rect">
                      <a:avLst/>
                    </a:prstGeom>
                    <a:noFill/>
                    <a:ln>
                      <a:noFill/>
                    </a:ln>
                  </pic:spPr>
                </pic:pic>
              </a:graphicData>
            </a:graphic>
          </wp:inline>
        </w:drawing>
      </w:r>
      <w:r w:rsidRPr="00DA5682">
        <w:rPr>
          <w:sz w:val="24"/>
          <w:szCs w:val="24"/>
        </w:rPr>
        <w:t xml:space="preserve"> Print Name:</w:t>
      </w:r>
      <w:r w:rsidR="0089241B">
        <w:rPr>
          <w:sz w:val="24"/>
          <w:szCs w:val="24"/>
        </w:rPr>
        <w:t xml:space="preserve"> Sarah Gray</w:t>
      </w:r>
      <w:r w:rsidRPr="00DA5682">
        <w:rPr>
          <w:sz w:val="24"/>
          <w:szCs w:val="24"/>
        </w:rPr>
        <w:t>.</w:t>
      </w:r>
      <w:r w:rsidR="0089241B">
        <w:rPr>
          <w:sz w:val="24"/>
          <w:szCs w:val="24"/>
        </w:rPr>
        <w:t xml:space="preserve"> Date: 01/10/2024</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3B618BDB" w:rsidR="00D05A5D" w:rsidRPr="00DA5682" w:rsidRDefault="00D05A5D" w:rsidP="00D05A5D">
      <w:pPr>
        <w:rPr>
          <w:sz w:val="24"/>
          <w:szCs w:val="24"/>
        </w:rPr>
      </w:pPr>
      <w:r w:rsidRPr="00DA5682">
        <w:rPr>
          <w:sz w:val="24"/>
          <w:szCs w:val="24"/>
        </w:rPr>
        <w:t>Signed:</w:t>
      </w:r>
      <w:r w:rsidR="0089241B">
        <w:rPr>
          <w:sz w:val="24"/>
          <w:szCs w:val="24"/>
        </w:rPr>
        <w:t xml:space="preserve"> K Dovey</w:t>
      </w:r>
      <w:r w:rsidRPr="00DA5682">
        <w:rPr>
          <w:sz w:val="24"/>
          <w:szCs w:val="24"/>
        </w:rPr>
        <w:t xml:space="preserve"> Print Name:</w:t>
      </w:r>
      <w:r w:rsidR="0089241B">
        <w:rPr>
          <w:sz w:val="24"/>
          <w:szCs w:val="24"/>
        </w:rPr>
        <w:t xml:space="preserve"> Kyle Dovey</w:t>
      </w:r>
      <w:r w:rsidR="0089241B" w:rsidRPr="00DA5682">
        <w:rPr>
          <w:sz w:val="24"/>
          <w:szCs w:val="24"/>
        </w:rPr>
        <w:t xml:space="preserve"> </w:t>
      </w:r>
      <w:r w:rsidR="0089241B">
        <w:rPr>
          <w:sz w:val="24"/>
          <w:szCs w:val="24"/>
        </w:rPr>
        <w:t xml:space="preserve">Date: </w:t>
      </w:r>
      <w:r w:rsidR="0089241B">
        <w:rPr>
          <w:sz w:val="24"/>
          <w:szCs w:val="24"/>
        </w:rPr>
        <w:t>8/10/25</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4"/>
      <w:footerReference w:type="default" r:id="rId4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27B804" w14:textId="77777777" w:rsidR="00472EB6" w:rsidRDefault="00472EB6">
      <w:r>
        <w:separator/>
      </w:r>
    </w:p>
  </w:endnote>
  <w:endnote w:type="continuationSeparator" w:id="0">
    <w:p w14:paraId="692BFAEC" w14:textId="77777777" w:rsidR="00472EB6" w:rsidRDefault="00472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AA6B3F9" w:rsidR="00A5656A" w:rsidRDefault="00A5656A">
    <w:pPr>
      <w:pStyle w:val="Footer"/>
      <w:jc w:val="right"/>
    </w:pPr>
    <w:r>
      <w:fldChar w:fldCharType="begin"/>
    </w:r>
    <w:r>
      <w:instrText xml:space="preserve"> PAGE   \* MERGEFORMAT </w:instrText>
    </w:r>
    <w:r>
      <w:fldChar w:fldCharType="separate"/>
    </w:r>
    <w:r w:rsidR="0089241B">
      <w:rPr>
        <w:noProof/>
      </w:rPr>
      <w:t>7</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EA3B28" w14:textId="77777777" w:rsidR="00472EB6" w:rsidRDefault="00472EB6">
      <w:r>
        <w:separator/>
      </w:r>
    </w:p>
  </w:footnote>
  <w:footnote w:type="continuationSeparator" w:id="0">
    <w:p w14:paraId="5CAEEDE0" w14:textId="77777777" w:rsidR="00472EB6" w:rsidRDefault="00472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2F1942"/>
    <w:multiLevelType w:val="hybridMultilevel"/>
    <w:tmpl w:val="F1366AE6"/>
    <w:lvl w:ilvl="0" w:tplc="7CD2E164">
      <w:start w:val="1"/>
      <w:numFmt w:val="decimal"/>
      <w:lvlText w:val="%1)"/>
      <w:lvlJc w:val="left"/>
      <w:pPr>
        <w:ind w:left="720" w:hanging="360"/>
      </w:pPr>
      <w:rPr>
        <w:rFonts w:ascii="Arial" w:eastAsia="Times New Roman" w:hAnsi="Arial" w:cs="Arial"/>
      </w:rPr>
    </w:lvl>
    <w:lvl w:ilvl="1" w:tplc="1D66387C">
      <w:start w:val="1"/>
      <w:numFmt w:val="bullet"/>
      <w:lvlText w:val="o"/>
      <w:lvlJc w:val="left"/>
      <w:pPr>
        <w:ind w:left="1440" w:hanging="360"/>
      </w:pPr>
      <w:rPr>
        <w:rFonts w:ascii="Courier New" w:hAnsi="Courier New" w:cs="Courier New" w:hint="default"/>
      </w:rPr>
    </w:lvl>
    <w:lvl w:ilvl="2" w:tplc="6FE05DF8">
      <w:start w:val="1"/>
      <w:numFmt w:val="bullet"/>
      <w:lvlText w:val=""/>
      <w:lvlJc w:val="left"/>
      <w:pPr>
        <w:ind w:left="2160" w:hanging="360"/>
      </w:pPr>
      <w:rPr>
        <w:rFonts w:ascii="Wingdings" w:hAnsi="Wingdings" w:hint="default"/>
      </w:rPr>
    </w:lvl>
    <w:lvl w:ilvl="3" w:tplc="60647224">
      <w:start w:val="1"/>
      <w:numFmt w:val="bullet"/>
      <w:lvlText w:val=""/>
      <w:lvlJc w:val="left"/>
      <w:pPr>
        <w:ind w:left="2880" w:hanging="360"/>
      </w:pPr>
      <w:rPr>
        <w:rFonts w:ascii="Symbol" w:hAnsi="Symbol" w:hint="default"/>
      </w:rPr>
    </w:lvl>
    <w:lvl w:ilvl="4" w:tplc="392E0B3A">
      <w:start w:val="1"/>
      <w:numFmt w:val="bullet"/>
      <w:lvlText w:val="o"/>
      <w:lvlJc w:val="left"/>
      <w:pPr>
        <w:ind w:left="3600" w:hanging="360"/>
      </w:pPr>
      <w:rPr>
        <w:rFonts w:ascii="Courier New" w:hAnsi="Courier New" w:cs="Courier New" w:hint="default"/>
      </w:rPr>
    </w:lvl>
    <w:lvl w:ilvl="5" w:tplc="F3B4DF20">
      <w:start w:val="1"/>
      <w:numFmt w:val="bullet"/>
      <w:lvlText w:val=""/>
      <w:lvlJc w:val="left"/>
      <w:pPr>
        <w:ind w:left="4320" w:hanging="360"/>
      </w:pPr>
      <w:rPr>
        <w:rFonts w:ascii="Wingdings" w:hAnsi="Wingdings" w:hint="default"/>
      </w:rPr>
    </w:lvl>
    <w:lvl w:ilvl="6" w:tplc="87EABE06">
      <w:start w:val="1"/>
      <w:numFmt w:val="bullet"/>
      <w:lvlText w:val=""/>
      <w:lvlJc w:val="left"/>
      <w:pPr>
        <w:ind w:left="5040" w:hanging="360"/>
      </w:pPr>
      <w:rPr>
        <w:rFonts w:ascii="Symbol" w:hAnsi="Symbol" w:hint="default"/>
      </w:rPr>
    </w:lvl>
    <w:lvl w:ilvl="7" w:tplc="5D841BFA">
      <w:start w:val="1"/>
      <w:numFmt w:val="bullet"/>
      <w:lvlText w:val="o"/>
      <w:lvlJc w:val="left"/>
      <w:pPr>
        <w:ind w:left="5760" w:hanging="360"/>
      </w:pPr>
      <w:rPr>
        <w:rFonts w:ascii="Courier New" w:hAnsi="Courier New" w:cs="Courier New" w:hint="default"/>
      </w:rPr>
    </w:lvl>
    <w:lvl w:ilvl="8" w:tplc="BBAA072E">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5"/>
  </w:num>
  <w:num w:numId="27">
    <w:abstractNumId w:val="41"/>
  </w:num>
  <w:num w:numId="28">
    <w:abstractNumId w:val="20"/>
  </w:num>
  <w:num w:numId="29">
    <w:abstractNumId w:val="44"/>
  </w:num>
  <w:num w:numId="30">
    <w:abstractNumId w:val="31"/>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6"/>
    <w:lvlOverride w:ilvl="0">
      <w:startOverride w:val="1"/>
    </w:lvlOverride>
    <w:lvlOverride w:ilvl="1"/>
    <w:lvlOverride w:ilvl="2"/>
    <w:lvlOverride w:ilvl="3"/>
    <w:lvlOverride w:ilvl="4"/>
    <w:lvlOverride w:ilvl="5"/>
    <w:lvlOverride w:ilvl="6"/>
    <w:lvlOverride w:ilvl="7"/>
    <w:lvlOverride w:ilvl="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3"/>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A5B"/>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5191"/>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972FE"/>
    <w:rsid w:val="001A59BB"/>
    <w:rsid w:val="001A607E"/>
    <w:rsid w:val="001A6A51"/>
    <w:rsid w:val="001A79C4"/>
    <w:rsid w:val="001B331A"/>
    <w:rsid w:val="001C0237"/>
    <w:rsid w:val="001C0E74"/>
    <w:rsid w:val="001C4DB8"/>
    <w:rsid w:val="001C50B8"/>
    <w:rsid w:val="001D229F"/>
    <w:rsid w:val="001E2EB6"/>
    <w:rsid w:val="001F4552"/>
    <w:rsid w:val="002019EB"/>
    <w:rsid w:val="0020283A"/>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4E52"/>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0705"/>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5D69"/>
    <w:rsid w:val="007872F2"/>
    <w:rsid w:val="007873F9"/>
    <w:rsid w:val="007908E0"/>
    <w:rsid w:val="0079289E"/>
    <w:rsid w:val="00793D8F"/>
    <w:rsid w:val="00793EB3"/>
    <w:rsid w:val="00794205"/>
    <w:rsid w:val="0079422A"/>
    <w:rsid w:val="007A1F6A"/>
    <w:rsid w:val="007A628F"/>
    <w:rsid w:val="007A7F71"/>
    <w:rsid w:val="007B0DE3"/>
    <w:rsid w:val="007B1BFD"/>
    <w:rsid w:val="007B7191"/>
    <w:rsid w:val="007C1D94"/>
    <w:rsid w:val="007C556F"/>
    <w:rsid w:val="007C5ABE"/>
    <w:rsid w:val="007C6A87"/>
    <w:rsid w:val="007D0A07"/>
    <w:rsid w:val="007D0F11"/>
    <w:rsid w:val="007D133D"/>
    <w:rsid w:val="007D3EB4"/>
    <w:rsid w:val="007D3F16"/>
    <w:rsid w:val="007D7664"/>
    <w:rsid w:val="007F10BD"/>
    <w:rsid w:val="007F312E"/>
    <w:rsid w:val="007F3F7E"/>
    <w:rsid w:val="007F4BA4"/>
    <w:rsid w:val="00813CEC"/>
    <w:rsid w:val="0081534C"/>
    <w:rsid w:val="00816CE7"/>
    <w:rsid w:val="008171E4"/>
    <w:rsid w:val="008208EA"/>
    <w:rsid w:val="00822B44"/>
    <w:rsid w:val="00824E67"/>
    <w:rsid w:val="00825A64"/>
    <w:rsid w:val="00825F71"/>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41B"/>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039"/>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semiHidden/>
    <w:unhideWhenUsed/>
    <w:rsid w:val="007A7F7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7A7F71"/>
    <w:rPr>
      <w:i/>
      <w:iCs/>
    </w:rPr>
  </w:style>
  <w:style w:type="paragraph" w:styleId="ListParagraph">
    <w:name w:val="List Paragraph"/>
    <w:basedOn w:val="Normal"/>
    <w:uiPriority w:val="34"/>
    <w:qFormat/>
    <w:rsid w:val="0020283A"/>
    <w:pPr>
      <w:ind w:left="720"/>
      <w:contextualSpacing/>
      <w:textAlignment w:val="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8354227">
      <w:bodyDiv w:val="1"/>
      <w:marLeft w:val="0"/>
      <w:marRight w:val="0"/>
      <w:marTop w:val="0"/>
      <w:marBottom w:val="0"/>
      <w:divBdr>
        <w:top w:val="none" w:sz="0" w:space="0" w:color="auto"/>
        <w:left w:val="none" w:sz="0" w:space="0" w:color="auto"/>
        <w:bottom w:val="none" w:sz="0" w:space="0" w:color="auto"/>
        <w:right w:val="none" w:sz="0" w:space="0" w:color="auto"/>
      </w:divBdr>
    </w:div>
    <w:div w:id="29445463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3628521">
      <w:bodyDiv w:val="1"/>
      <w:marLeft w:val="0"/>
      <w:marRight w:val="0"/>
      <w:marTop w:val="0"/>
      <w:marBottom w:val="0"/>
      <w:divBdr>
        <w:top w:val="none" w:sz="0" w:space="0" w:color="auto"/>
        <w:left w:val="none" w:sz="0" w:space="0" w:color="auto"/>
        <w:bottom w:val="none" w:sz="0" w:space="0" w:color="auto"/>
        <w:right w:val="none" w:sz="0" w:space="0" w:color="auto"/>
      </w:divBdr>
    </w:div>
    <w:div w:id="160025948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lex.europa.eu/eli/reg/2016/679/oj" TargetMode="External"/><Relationship Id="rId18" Type="http://schemas.openxmlformats.org/officeDocument/2006/relationships/hyperlink" Target="https://assets.publishing.service.gov.uk/media/669e7501ab418ab055592a7b/Working_together_to_safeguard_children_2023.pdf" TargetMode="External"/><Relationship Id="rId26" Type="http://schemas.openxmlformats.org/officeDocument/2006/relationships/hyperlink" Target="https://www.legislation.gov.uk/wsi/2015/1305" TargetMode="External"/><Relationship Id="rId39" Type="http://schemas.openxmlformats.org/officeDocument/2006/relationships/hyperlink" Target="mailto:kyle.dovey@wrexham.gov.uk" TargetMode="External"/><Relationship Id="rId3" Type="http://schemas.openxmlformats.org/officeDocument/2006/relationships/customXml" Target="../customXml/item3.xml"/><Relationship Id="rId21" Type="http://schemas.openxmlformats.org/officeDocument/2006/relationships/hyperlink" Target="https://www.legislation.gov.uk/ukpga/2007/12/contents" TargetMode="External"/><Relationship Id="rId34" Type="http://schemas.openxmlformats.org/officeDocument/2006/relationships/hyperlink" Target="https://gov.wales/welsh-index-multiple-deprivation-full-index-update-ranks-2019" TargetMode="External"/><Relationship Id="rId42" Type="http://schemas.openxmlformats.org/officeDocument/2006/relationships/image" Target="media/image3.png"/><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basw.co.uk/policy-practice/standards/code-ethics" TargetMode="External"/><Relationship Id="rId17" Type="http://schemas.openxmlformats.org/officeDocument/2006/relationships/hyperlink" Target="https://www.gov.uk/government/publications/working-together-to-safeguard-children--2" TargetMode="External"/><Relationship Id="rId25" Type="http://schemas.openxmlformats.org/officeDocument/2006/relationships/hyperlink" Target="https://play.google.com/store/apps/details?hl=en_US&amp;id=com.socialcarewales.safeguarding&amp;utm_source=chatgpt.com" TargetMode="External"/><Relationship Id="rId33" Type="http://schemas.openxmlformats.org/officeDocument/2006/relationships/hyperlink" Target="https://www.gov.wales/childrens-rights-wales" TargetMode="External"/><Relationship Id="rId38" Type="http://schemas.openxmlformats.org/officeDocument/2006/relationships/hyperlink" Target="https://safeguarding.wales/"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2004/6/contents" TargetMode="External"/><Relationship Id="rId20" Type="http://schemas.openxmlformats.org/officeDocument/2006/relationships/hyperlink" Target="https://www.legislation.gov.uk/ukpga/1983/20/contents" TargetMode="External"/><Relationship Id="rId29" Type="http://schemas.openxmlformats.org/officeDocument/2006/relationships/hyperlink" Target="https://law.gov.wales/culture/welsh-language/welsh-language-wales-measure-2011" TargetMode="External"/><Relationship Id="rId41" Type="http://schemas.openxmlformats.org/officeDocument/2006/relationships/image" Target="media/image2.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wales/docs/cssiw/report/100325overviewen.pdf" TargetMode="External"/><Relationship Id="rId32" Type="http://schemas.openxmlformats.org/officeDocument/2006/relationships/hyperlink" Target="https://socialcare.wales/about-us/code-of-professional-practice" TargetMode="External"/><Relationship Id="rId37" Type="http://schemas.openxmlformats.org/officeDocument/2006/relationships/hyperlink" Target="https://www.gov.wales/more-just-words-action-plan-2022-2027" TargetMode="External"/><Relationship Id="rId40" Type="http://schemas.openxmlformats.org/officeDocument/2006/relationships/hyperlink" Target="mailto:kyle.dovey@wrexham.gov.uk"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legislation.gov.uk/ukpga/1989/41/contents" TargetMode="External"/><Relationship Id="rId23" Type="http://schemas.openxmlformats.org/officeDocument/2006/relationships/hyperlink" Target="https://assets.publishing.service.gov.uk/media/5a7b455ee5274a34770ea939/Munro-Review.pdf" TargetMode="External"/><Relationship Id="rId28" Type="http://schemas.openxmlformats.org/officeDocument/2006/relationships/hyperlink" Target="https://www.safeguarding.wales/en/int-i/int-i-i1/i1-p1/" TargetMode="External"/><Relationship Id="rId36" Type="http://schemas.openxmlformats.org/officeDocument/2006/relationships/hyperlink" Target="https://safeguarding.wales/" TargetMode="External"/><Relationship Id="rId10" Type="http://schemas.openxmlformats.org/officeDocument/2006/relationships/endnotes" Target="endnotes.xml"/><Relationship Id="rId19" Type="http://schemas.openxmlformats.org/officeDocument/2006/relationships/hyperlink" Target="https://www.legislation.gov.uk/ukpga/2005/9/contents" TargetMode="External"/><Relationship Id="rId31" Type="http://schemas.openxmlformats.org/officeDocument/2006/relationships/hyperlink" Target="https://law.gov.wales/social-services-and-well-being-wales-act-2014"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1998/42/contents" TargetMode="External"/><Relationship Id="rId22" Type="http://schemas.openxmlformats.org/officeDocument/2006/relationships/hyperlink" Target="https://assets.publishing.service.gov.uk/media/6492e26c103ca6001303a331/achieving-best-evidence-criminal-proceedings-2023.pdf" TargetMode="External"/><Relationship Id="rId27" Type="http://schemas.openxmlformats.org/officeDocument/2006/relationships/hyperlink" Target="https://www.unicef.org.uk/what-we-do/un-convention-child-rights" TargetMode="External"/><Relationship Id="rId30" Type="http://schemas.openxmlformats.org/officeDocument/2006/relationships/hyperlink" Target="https://gov.wales/more-just-words-strategic-framework-welsh-language-services-health-social-services-and-social-care" TargetMode="External"/><Relationship Id="rId35" Type="http://schemas.openxmlformats.org/officeDocument/2006/relationships/hyperlink" Target="https://www.legislation.gov.uk/anaw/2020/3/contents" TargetMode="External"/><Relationship Id="rId43" Type="http://schemas.openxmlformats.org/officeDocument/2006/relationships/image" Target="cid:image001.png@01D7F0F5.CF5A3B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F6AD9820481C47915963A0E76EFC25" ma:contentTypeVersion="10" ma:contentTypeDescription="Create a new document." ma:contentTypeScope="" ma:versionID="3907882b5a9e1b518080e04a13114595">
  <xsd:schema xmlns:xsd="http://www.w3.org/2001/XMLSchema" xmlns:xs="http://www.w3.org/2001/XMLSchema" xmlns:p="http://schemas.microsoft.com/office/2006/metadata/properties" xmlns:ns1="http://schemas.microsoft.com/sharepoint/v3" xmlns:ns3="5480b724-9f67-4efc-ba60-54e0abc06203" targetNamespace="http://schemas.microsoft.com/office/2006/metadata/properties" ma:root="true" ma:fieldsID="9584bf80db93f515e1c31c5410f6d560" ns1:_="" ns3:_="">
    <xsd:import namespace="http://schemas.microsoft.com/sharepoint/v3"/>
    <xsd:import namespace="5480b724-9f67-4efc-ba60-54e0abc0620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6" nillable="true" ma:displayName="Unified Compliance Policy Properties" ma:hidden="true" ma:internalName="_ip_UnifiedCompliancePolicyProperties">
      <xsd:simpleType>
        <xsd:restriction base="dms:Note"/>
      </xsd:simpleType>
    </xsd:element>
    <xsd:element name="_ip_UnifiedCompliancePolicyUIAction" ma:index="17"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80b724-9f67-4efc-ba60-54e0abc0620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B233E3-821F-4595-8BEF-A2ED1CF69E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5480b724-9f67-4efc-ba60-54e0abc062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BC950-7A63-4C93-8111-44C120204F4F}">
  <ds:schemaRefs>
    <ds:schemaRef ds:uri="http://purl.org/dc/elements/1.1/"/>
    <ds:schemaRef ds:uri="http://schemas.microsoft.com/office/2006/metadata/properties"/>
    <ds:schemaRef ds:uri="http://schemas.microsoft.com/sharepoint/v3"/>
    <ds:schemaRef ds:uri="5480b724-9f67-4efc-ba60-54e0abc06203"/>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548821E4-0DEC-41F1-B484-502BEB3764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5213</Words>
  <Characters>29720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Gill Williams</cp:lastModifiedBy>
  <cp:revision>2</cp:revision>
  <cp:lastPrinted>2020-02-11T19:20:00Z</cp:lastPrinted>
  <dcterms:created xsi:type="dcterms:W3CDTF">2025-10-08T10:46:00Z</dcterms:created>
  <dcterms:modified xsi:type="dcterms:W3CDTF">2025-10-08T10:46:00Z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0x010100A8F6AD9820481C47915963A0E76EFC25</vt:lpwstr>
  </property>
</Properties>
</file>