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F3D8B" w14:textId="77777777" w:rsidR="00C244A9" w:rsidRDefault="00C244A9">
      <w:pPr>
        <w:widowControl w:val="0"/>
        <w:pBdr>
          <w:top w:val="nil"/>
          <w:left w:val="nil"/>
          <w:bottom w:val="nil"/>
          <w:right w:val="nil"/>
          <w:between w:val="nil"/>
        </w:pBdr>
        <w:spacing w:after="0" w:line="276" w:lineRule="auto"/>
      </w:pPr>
    </w:p>
    <w:p w14:paraId="2D68F59C" w14:textId="77777777" w:rsidR="00C244A9" w:rsidRDefault="00C244A9">
      <w:pPr>
        <w:widowControl w:val="0"/>
        <w:pBdr>
          <w:top w:val="nil"/>
          <w:left w:val="nil"/>
          <w:bottom w:val="nil"/>
          <w:right w:val="nil"/>
          <w:between w:val="nil"/>
        </w:pBdr>
        <w:spacing w:after="0" w:line="276" w:lineRule="auto"/>
      </w:pPr>
    </w:p>
    <w:p w14:paraId="2EA31BBE" w14:textId="77777777" w:rsidR="00C244A9" w:rsidRDefault="00EF3F4D">
      <w:pPr>
        <w:spacing w:after="158"/>
      </w:pPr>
      <w:r>
        <w:t xml:space="preserve"> </w:t>
      </w:r>
    </w:p>
    <w:p w14:paraId="426C1919" w14:textId="77777777" w:rsidR="00C244A9" w:rsidRDefault="00EF3F4D">
      <w:pPr>
        <w:ind w:left="49"/>
        <w:jc w:val="center"/>
      </w:pPr>
      <w:r>
        <w:t xml:space="preserve"> </w:t>
      </w:r>
    </w:p>
    <w:p w14:paraId="480B9C17" w14:textId="77777777" w:rsidR="00C244A9" w:rsidRDefault="00EF3F4D">
      <w:pPr>
        <w:spacing w:after="158"/>
        <w:ind w:left="49"/>
        <w:jc w:val="center"/>
      </w:pPr>
      <w:r>
        <w:rPr>
          <w:noProof/>
        </w:rPr>
        <w:drawing>
          <wp:inline distT="0" distB="0" distL="0" distR="0" wp14:anchorId="45E870AE" wp14:editId="01379470">
            <wp:extent cx="1980000" cy="824400"/>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1980000" cy="824400"/>
                    </a:xfrm>
                    <a:prstGeom prst="rect">
                      <a:avLst/>
                    </a:prstGeom>
                    <a:ln/>
                  </pic:spPr>
                </pic:pic>
              </a:graphicData>
            </a:graphic>
          </wp:inline>
        </w:drawing>
      </w:r>
    </w:p>
    <w:p w14:paraId="006FE731" w14:textId="77777777" w:rsidR="00C244A9" w:rsidRDefault="00EF3F4D">
      <w:pPr>
        <w:ind w:left="49"/>
        <w:jc w:val="center"/>
      </w:pPr>
      <w:r>
        <w:t xml:space="preserve"> </w:t>
      </w:r>
    </w:p>
    <w:p w14:paraId="6004E531" w14:textId="77777777" w:rsidR="00C244A9" w:rsidRDefault="00EF3F4D">
      <w:pPr>
        <w:spacing w:after="287"/>
        <w:ind w:left="49"/>
        <w:jc w:val="center"/>
      </w:pPr>
      <w:r>
        <w:t xml:space="preserve"> </w:t>
      </w:r>
    </w:p>
    <w:p w14:paraId="36D970F4" w14:textId="77777777" w:rsidR="00C244A9" w:rsidRDefault="00EF3F4D">
      <w:pPr>
        <w:pBdr>
          <w:top w:val="nil"/>
          <w:left w:val="nil"/>
          <w:bottom w:val="nil"/>
          <w:right w:val="nil"/>
          <w:between w:val="nil"/>
        </w:pBdr>
        <w:jc w:val="center"/>
        <w:rPr>
          <w:sz w:val="36"/>
          <w:szCs w:val="36"/>
        </w:rPr>
      </w:pPr>
      <w:r>
        <w:rPr>
          <w:sz w:val="36"/>
          <w:szCs w:val="36"/>
        </w:rPr>
        <w:t xml:space="preserve"> </w:t>
      </w:r>
      <w:r>
        <w:rPr>
          <w:b/>
          <w:bCs/>
          <w:sz w:val="32"/>
          <w:szCs w:val="32"/>
        </w:rPr>
        <w:t>AN INVESTIGATION OF HOW MOLECULAR EPIDEMIOLOGY TOOLS INFORMS PUBLIC HEALTH INTERVENTIONS AIMED AT PREVENTING AND CONTROLLING INDIRECT TRANSMISSION OF CHOLERA: A SYSTEMATIC REVIEW</w:t>
      </w:r>
    </w:p>
    <w:p w14:paraId="4ECF1203" w14:textId="77777777" w:rsidR="00C244A9" w:rsidRDefault="00C244A9">
      <w:pPr>
        <w:pBdr>
          <w:top w:val="nil"/>
          <w:left w:val="nil"/>
          <w:bottom w:val="nil"/>
          <w:right w:val="nil"/>
          <w:between w:val="nil"/>
        </w:pBdr>
        <w:jc w:val="center"/>
        <w:rPr>
          <w:b/>
          <w:bCs/>
          <w:sz w:val="32"/>
          <w:szCs w:val="32"/>
        </w:rPr>
      </w:pPr>
    </w:p>
    <w:p w14:paraId="78F2E0F7" w14:textId="77777777" w:rsidR="00C244A9" w:rsidRDefault="00EF3F4D">
      <w:pPr>
        <w:spacing w:after="42"/>
        <w:ind w:left="89"/>
        <w:jc w:val="center"/>
      </w:pPr>
      <w:r>
        <w:rPr>
          <w:sz w:val="36"/>
          <w:szCs w:val="36"/>
        </w:rPr>
        <w:t xml:space="preserve"> </w:t>
      </w:r>
    </w:p>
    <w:p w14:paraId="18AD68CE" w14:textId="77777777" w:rsidR="00C244A9" w:rsidRDefault="00EF3F4D">
      <w:pPr>
        <w:spacing w:after="157"/>
        <w:ind w:left="2367" w:right="2358"/>
        <w:jc w:val="center"/>
      </w:pPr>
      <w:r>
        <w:t xml:space="preserve">by </w:t>
      </w:r>
    </w:p>
    <w:p w14:paraId="4F9A7117" w14:textId="77777777" w:rsidR="00C244A9" w:rsidRDefault="00EF3F4D">
      <w:pPr>
        <w:spacing w:after="158"/>
        <w:ind w:left="59"/>
        <w:jc w:val="center"/>
      </w:pPr>
      <w:r>
        <w:t xml:space="preserve"> </w:t>
      </w:r>
    </w:p>
    <w:p w14:paraId="72F1596B" w14:textId="77777777" w:rsidR="00C244A9" w:rsidRDefault="00EF3F4D">
      <w:pPr>
        <w:spacing w:after="157"/>
        <w:ind w:left="2367" w:right="2359"/>
        <w:jc w:val="center"/>
      </w:pPr>
      <w:r>
        <w:t>Paresh Choudhary</w:t>
      </w:r>
    </w:p>
    <w:p w14:paraId="30004473" w14:textId="77777777" w:rsidR="00C244A9" w:rsidRDefault="00EF3F4D">
      <w:pPr>
        <w:spacing w:after="158"/>
        <w:ind w:left="59"/>
        <w:jc w:val="center"/>
      </w:pPr>
      <w:r>
        <w:t xml:space="preserve"> </w:t>
      </w:r>
    </w:p>
    <w:p w14:paraId="154EBCE2" w14:textId="77777777" w:rsidR="00C244A9" w:rsidRDefault="00EF3F4D">
      <w:pPr>
        <w:spacing w:after="156"/>
        <w:ind w:left="59"/>
        <w:jc w:val="center"/>
      </w:pPr>
      <w:r>
        <w:t xml:space="preserve"> </w:t>
      </w:r>
    </w:p>
    <w:p w14:paraId="08B0DA0F" w14:textId="77777777" w:rsidR="00C244A9" w:rsidRDefault="00EF3F4D">
      <w:pPr>
        <w:spacing w:after="158"/>
        <w:ind w:left="59"/>
        <w:jc w:val="center"/>
      </w:pPr>
      <w:r>
        <w:t xml:space="preserve"> </w:t>
      </w:r>
    </w:p>
    <w:p w14:paraId="03AA2E85" w14:textId="77777777" w:rsidR="00C244A9" w:rsidRDefault="00EF3F4D">
      <w:pPr>
        <w:spacing w:after="156"/>
        <w:ind w:left="59"/>
        <w:jc w:val="center"/>
        <w:rPr>
          <w:sz w:val="24"/>
          <w:szCs w:val="24"/>
        </w:rPr>
      </w:pPr>
      <w:r>
        <w:rPr>
          <w:sz w:val="24"/>
          <w:szCs w:val="24"/>
        </w:rPr>
        <w:t>A Dissertation submitted in partial fulfilment of the requirements for the degree of Masters of Science in Public Health and Social Care in Practice</w:t>
      </w:r>
    </w:p>
    <w:p w14:paraId="32C75938" w14:textId="77777777" w:rsidR="00C244A9" w:rsidRDefault="00C244A9">
      <w:pPr>
        <w:spacing w:after="156"/>
        <w:ind w:left="59"/>
      </w:pPr>
    </w:p>
    <w:p w14:paraId="24B675F6" w14:textId="77777777" w:rsidR="00C244A9" w:rsidRDefault="00C244A9">
      <w:pPr>
        <w:spacing w:after="169"/>
        <w:jc w:val="center"/>
        <w:rPr>
          <w:b/>
          <w:bCs/>
        </w:rPr>
      </w:pPr>
    </w:p>
    <w:p w14:paraId="06D83630" w14:textId="77777777" w:rsidR="00C244A9" w:rsidRDefault="00EF3F4D">
      <w:pPr>
        <w:spacing w:after="169"/>
        <w:jc w:val="center"/>
        <w:rPr>
          <w:b/>
          <w:bCs/>
          <w:sz w:val="24"/>
          <w:szCs w:val="24"/>
        </w:rPr>
      </w:pPr>
      <w:r>
        <w:rPr>
          <w:b/>
          <w:bCs/>
          <w:sz w:val="24"/>
          <w:szCs w:val="24"/>
        </w:rPr>
        <w:t>The Institute of Inner-City Learning</w:t>
      </w:r>
    </w:p>
    <w:p w14:paraId="2FA37E6B" w14:textId="77777777" w:rsidR="00C244A9" w:rsidRDefault="00EF3F4D">
      <w:pPr>
        <w:spacing w:after="169"/>
        <w:jc w:val="center"/>
        <w:rPr>
          <w:b/>
          <w:bCs/>
          <w:sz w:val="24"/>
          <w:szCs w:val="24"/>
        </w:rPr>
      </w:pPr>
      <w:r>
        <w:rPr>
          <w:b/>
          <w:bCs/>
          <w:sz w:val="24"/>
          <w:szCs w:val="24"/>
        </w:rPr>
        <w:t>University of Wales Trinity Saint David – London Campus</w:t>
      </w:r>
    </w:p>
    <w:p w14:paraId="2E35A471" w14:textId="77777777" w:rsidR="00C244A9" w:rsidRDefault="00C244A9">
      <w:pPr>
        <w:spacing w:after="157"/>
        <w:ind w:left="2367" w:right="2357"/>
        <w:jc w:val="center"/>
        <w:rPr>
          <w:b/>
          <w:bCs/>
          <w:sz w:val="24"/>
          <w:szCs w:val="24"/>
        </w:rPr>
      </w:pPr>
    </w:p>
    <w:p w14:paraId="5AF24729" w14:textId="77777777" w:rsidR="00C244A9" w:rsidRDefault="00EF3F4D">
      <w:pPr>
        <w:spacing w:after="157"/>
        <w:ind w:right="2357"/>
        <w:jc w:val="center"/>
        <w:rPr>
          <w:b/>
          <w:bCs/>
          <w:sz w:val="24"/>
          <w:szCs w:val="24"/>
        </w:rPr>
      </w:pPr>
      <w:r>
        <w:rPr>
          <w:b/>
          <w:bCs/>
          <w:sz w:val="24"/>
          <w:szCs w:val="24"/>
        </w:rPr>
        <w:t xml:space="preserve">                              February 2026</w:t>
      </w:r>
    </w:p>
    <w:p w14:paraId="1BA0CE02" w14:textId="77777777" w:rsidR="00C244A9" w:rsidRDefault="00EF3F4D">
      <w:pPr>
        <w:spacing w:after="200" w:line="276" w:lineRule="auto"/>
        <w:jc w:val="center"/>
        <w:rPr>
          <w:rFonts w:ascii="Arial" w:eastAsia="Arial" w:hAnsi="Arial" w:cs="Arial"/>
          <w:b/>
          <w:bCs/>
          <w:sz w:val="24"/>
          <w:szCs w:val="24"/>
        </w:rPr>
      </w:pPr>
      <w:r>
        <w:rPr>
          <w:rFonts w:ascii="Arial" w:eastAsia="Arial" w:hAnsi="Arial" w:cs="Arial"/>
          <w:b/>
          <w:bCs/>
          <w:sz w:val="24"/>
          <w:szCs w:val="24"/>
        </w:rPr>
        <w:lastRenderedPageBreak/>
        <w:t>DECLARATION</w:t>
      </w:r>
    </w:p>
    <w:p w14:paraId="030BDB9A" w14:textId="77777777" w:rsidR="00C244A9" w:rsidRDefault="00C244A9">
      <w:pPr>
        <w:spacing w:after="200" w:line="276" w:lineRule="auto"/>
        <w:rPr>
          <w:rFonts w:ascii="Arial" w:eastAsia="Arial" w:hAnsi="Arial" w:cs="Arial"/>
          <w:sz w:val="24"/>
          <w:szCs w:val="24"/>
        </w:rPr>
      </w:pPr>
    </w:p>
    <w:p w14:paraId="78F4513F" w14:textId="77777777" w:rsidR="00C244A9" w:rsidRDefault="00EF3F4D">
      <w:pPr>
        <w:spacing w:after="200" w:line="276" w:lineRule="auto"/>
        <w:rPr>
          <w:rFonts w:ascii="Arial" w:eastAsia="Arial" w:hAnsi="Arial" w:cs="Arial"/>
          <w:sz w:val="24"/>
          <w:szCs w:val="24"/>
        </w:rPr>
      </w:pPr>
      <w:r>
        <w:rPr>
          <w:rFonts w:ascii="Arial" w:eastAsia="Arial" w:hAnsi="Arial" w:cs="Arial"/>
          <w:sz w:val="24"/>
          <w:szCs w:val="24"/>
        </w:rPr>
        <w:t>I, Paresh Choudhary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FF0A46">
        <w:rPr>
          <w:noProof/>
        </w:rPr>
      </w:r>
      <w:r w:rsidR="00FF0A46">
        <w:rPr>
          <w:noProof/>
        </w:rPr>
        <w:pict w14:anchorId="4C463C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27.85pt;margin-top:18.55pt;width:1.45pt;height:1.4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">
            <v:imagedata r:id="rId10" o:title=""/>
            <o:lock v:ext="edit" rotation="t" verticies="t" shapetype="t"/>
            <w10:wrap anchorx="margin"/>
          </v:shape>
        </w:pict>
      </w:r>
      <w:r w:rsidR="00FF0A46">
        <w:rPr>
          <w:noProof/>
        </w:rPr>
      </w:r>
      <w:r w:rsidR="00FF0A46">
        <w:rPr>
          <w:noProof/>
        </w:rPr>
        <w:pict w14:anchorId="3D82E3A8">
          <v:shape id="Ink 15" o:spid="_x0000_s1029" type="#_x0000_t75" style="position:absolute;margin-left:-127.85pt;margin-top:19.05pt;width:1.45pt;height:1.8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">
            <v:imagedata r:id="rId10" o:title=""/>
            <o:lock v:ext="edit" rotation="t" verticies="t" shapetype="t"/>
            <w10:wrap anchorx="margin"/>
          </v:shape>
        </w:pict>
      </w:r>
      <w:r w:rsidR="00FF0A46">
        <w:rPr>
          <w:noProof/>
        </w:rPr>
      </w:r>
      <w:r w:rsidR="00FF0A46">
        <w:rPr>
          <w:noProof/>
        </w:rPr>
        <w:pict w14:anchorId="61647900">
          <v:shape id="Ink 14" o:spid="_x0000_s1028" type="#_x0000_t75" style="position:absolute;margin-left:-127.85pt;margin-top:19.35pt;width:1.45pt;height:1.4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">
            <v:imagedata r:id="rId10" o:title=""/>
            <o:lock v:ext="edit" rotation="t" verticies="t" shapetype="t"/>
            <w10:wrap anchorx="margin"/>
          </v:shape>
        </w:pict>
      </w:r>
      <w:r w:rsidR="00FF0A46">
        <w:rPr>
          <w:noProof/>
        </w:rPr>
      </w:r>
      <w:r w:rsidR="00FF0A46">
        <w:rPr>
          <w:noProof/>
        </w:rPr>
        <w:pict w14:anchorId="6682CE16">
          <v:shape id="Ink 11" o:spid="_x0000_s1027" type="#_x0000_t75" style="position:absolute;margin-left:-152.4pt;margin-top:19.2pt;width:1.45pt;height:1.4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">
            <v:imagedata r:id="rId11" o:title=""/>
            <o:lock v:ext="edit" rotation="t" verticies="t" shapetype="t"/>
            <w10:wrap anchorx="margin"/>
          </v:shape>
        </w:pict>
      </w:r>
    </w:p>
    <w:p w14:paraId="4FDDE7D5" w14:textId="77777777" w:rsidR="00C244A9" w:rsidRDefault="00C244A9">
      <w:pPr>
        <w:spacing w:after="200" w:line="276" w:lineRule="auto"/>
        <w:rPr>
          <w:rFonts w:ascii="Arial" w:eastAsia="Arial" w:hAnsi="Arial" w:cs="Arial"/>
          <w:sz w:val="24"/>
          <w:szCs w:val="24"/>
        </w:rPr>
      </w:pPr>
    </w:p>
    <w:p w14:paraId="0F13B039" w14:textId="77777777" w:rsidR="00C244A9" w:rsidRDefault="00C244A9">
      <w:pPr>
        <w:spacing w:after="200" w:line="276" w:lineRule="auto"/>
        <w:rPr>
          <w:rFonts w:ascii="Arial" w:eastAsia="Arial" w:hAnsi="Arial" w:cs="Arial"/>
          <w:sz w:val="24"/>
          <w:szCs w:val="24"/>
        </w:rPr>
      </w:pPr>
    </w:p>
    <w:p w14:paraId="015C2605" w14:textId="77777777" w:rsidR="00C244A9" w:rsidRDefault="00EF3F4D">
      <w:pPr>
        <w:spacing w:after="200" w:line="276" w:lineRule="auto"/>
        <w:rPr>
          <w:rFonts w:ascii="Arial" w:eastAsia="Arial" w:hAnsi="Arial" w:cs="Arial"/>
          <w:sz w:val="24"/>
          <w:szCs w:val="24"/>
        </w:rPr>
      </w:pPr>
      <w:r>
        <w:rPr>
          <w:rFonts w:ascii="Arial" w:eastAsia="Arial" w:hAnsi="Arial" w:cs="Arial"/>
          <w:sz w:val="24"/>
          <w:szCs w:val="24"/>
        </w:rPr>
        <w:t>Signed:…Paresh Choudhary……………………………………………</w:t>
      </w:r>
    </w:p>
    <w:p w14:paraId="472B40D8" w14:textId="77777777" w:rsidR="00C244A9" w:rsidRDefault="00C244A9">
      <w:pPr>
        <w:spacing w:after="200" w:line="276" w:lineRule="auto"/>
        <w:rPr>
          <w:rFonts w:ascii="Arial" w:eastAsia="Arial" w:hAnsi="Arial" w:cs="Arial"/>
          <w:sz w:val="24"/>
          <w:szCs w:val="24"/>
        </w:rPr>
      </w:pPr>
    </w:p>
    <w:p w14:paraId="61636CB1" w14:textId="5EF209BC" w:rsidR="00C244A9" w:rsidRDefault="00EF3F4D">
      <w:pPr>
        <w:spacing w:after="200" w:line="276" w:lineRule="auto"/>
        <w:rPr>
          <w:rFonts w:ascii="Arial" w:eastAsia="Arial" w:hAnsi="Arial" w:cs="Arial"/>
          <w:sz w:val="24"/>
          <w:szCs w:val="24"/>
        </w:rPr>
      </w:pPr>
      <w:r>
        <w:rPr>
          <w:rFonts w:ascii="Arial" w:eastAsia="Arial" w:hAnsi="Arial" w:cs="Arial"/>
          <w:sz w:val="24"/>
          <w:szCs w:val="24"/>
        </w:rPr>
        <w:t>Date:...…</w:t>
      </w:r>
      <w:r w:rsidR="00BA74BB">
        <w:rPr>
          <w:rFonts w:ascii="Arial" w:eastAsia="Arial" w:hAnsi="Arial" w:cs="Arial"/>
          <w:sz w:val="24"/>
          <w:szCs w:val="24"/>
        </w:rPr>
        <w:t>02</w:t>
      </w:r>
      <w:r>
        <w:rPr>
          <w:rFonts w:ascii="Arial" w:eastAsia="Arial" w:hAnsi="Arial" w:cs="Arial"/>
          <w:sz w:val="24"/>
          <w:szCs w:val="24"/>
        </w:rPr>
        <w:t>/02/2026……………………………………………</w:t>
      </w:r>
    </w:p>
    <w:p w14:paraId="3E4DBFE2" w14:textId="77777777" w:rsidR="00C244A9" w:rsidRDefault="00C244A9">
      <w:pPr>
        <w:spacing w:after="157"/>
        <w:ind w:right="2357"/>
        <w:rPr>
          <w:rFonts w:ascii="Arial" w:eastAsia="Arial" w:hAnsi="Arial" w:cs="Arial"/>
          <w:b/>
          <w:bCs/>
        </w:rPr>
      </w:pPr>
    </w:p>
    <w:p w14:paraId="47C70510" w14:textId="77777777" w:rsidR="00C244A9" w:rsidRDefault="00EF3F4D">
      <w:pPr>
        <w:spacing w:after="0"/>
        <w:rPr>
          <w:rFonts w:ascii="Arial" w:eastAsia="Arial" w:hAnsi="Arial" w:cs="Arial"/>
        </w:rPr>
      </w:pPr>
      <w:r>
        <w:rPr>
          <w:rFonts w:ascii="Arial" w:eastAsia="Arial" w:hAnsi="Arial" w:cs="Arial"/>
        </w:rPr>
        <w:t xml:space="preserve"> </w:t>
      </w:r>
      <w:r>
        <w:rPr>
          <w:rFonts w:ascii="Arial" w:eastAsia="Arial" w:hAnsi="Arial" w:cs="Arial"/>
        </w:rPr>
        <w:tab/>
        <w:t xml:space="preserve"> </w:t>
      </w:r>
    </w:p>
    <w:p w14:paraId="391A06FD" w14:textId="77777777" w:rsidR="00C244A9" w:rsidRDefault="00EF3F4D">
      <w:pPr>
        <w:rPr>
          <w:rFonts w:ascii="Arial" w:eastAsia="Arial" w:hAnsi="Arial" w:cs="Arial"/>
          <w:b/>
          <w:bCs/>
          <w:sz w:val="24"/>
          <w:szCs w:val="24"/>
        </w:rPr>
      </w:pPr>
      <w:r>
        <w:br w:type="page"/>
      </w:r>
    </w:p>
    <w:p w14:paraId="368AD906" w14:textId="39F38CE5" w:rsidR="00C244A9" w:rsidRDefault="00EF3F4D">
      <w:pPr>
        <w:pStyle w:val="Heading2"/>
        <w:ind w:left="12" w:right="4"/>
        <w:jc w:val="center"/>
        <w:rPr>
          <w:color w:val="000000"/>
        </w:rPr>
      </w:pPr>
      <w:bookmarkStart w:id="0" w:name="_Toc220786167"/>
      <w:bookmarkStart w:id="1" w:name="_Toc220842087"/>
      <w:r>
        <w:rPr>
          <w:color w:val="000000"/>
        </w:rPr>
        <w:lastRenderedPageBreak/>
        <w:t>A</w:t>
      </w:r>
      <w:bookmarkEnd w:id="0"/>
      <w:r w:rsidR="00BA74BB">
        <w:rPr>
          <w:color w:val="000000"/>
        </w:rPr>
        <w:t>CKNOWLEDGEMENT</w:t>
      </w:r>
      <w:bookmarkEnd w:id="1"/>
    </w:p>
    <w:p w14:paraId="07B48F1A" w14:textId="77777777" w:rsidR="00C244A9" w:rsidRDefault="00EF3F4D">
      <w:pPr>
        <w:spacing w:after="158"/>
        <w:rPr>
          <w:rFonts w:ascii="Arial" w:eastAsia="Arial" w:hAnsi="Arial" w:cs="Arial"/>
        </w:rPr>
      </w:pPr>
      <w:r>
        <w:rPr>
          <w:rFonts w:ascii="Arial" w:eastAsia="Arial" w:hAnsi="Arial" w:cs="Arial"/>
        </w:rPr>
        <w:t xml:space="preserve"> </w:t>
      </w:r>
    </w:p>
    <w:p w14:paraId="34E29CB5" w14:textId="77777777" w:rsidR="00C244A9" w:rsidRDefault="00EF3F4D">
      <w:pPr>
        <w:spacing w:after="169" w:line="360" w:lineRule="auto"/>
        <w:jc w:val="both"/>
        <w:rPr>
          <w:rFonts w:ascii="Arial" w:eastAsia="Arial" w:hAnsi="Arial" w:cs="Arial"/>
        </w:rPr>
      </w:pPr>
      <w:r>
        <w:rPr>
          <w:rFonts w:ascii="Arial" w:eastAsia="Arial" w:hAnsi="Arial" w:cs="Arial"/>
        </w:rPr>
        <w:t>I, Paresh Choudhary, the undersigned would like to express my gratitude towards the concerned University and professors for granting me a prestigious opportunity to carry out the project. I am also grateful to my classmates and cohort members, especially my office mates, for their editing help, late-night feedback sessions, and moral support. I am also obliged to the constant patience and guidance of my parents and family throughout the course of this project.</w:t>
      </w:r>
    </w:p>
    <w:p w14:paraId="74A2916F" w14:textId="77777777" w:rsidR="00C244A9" w:rsidRDefault="00EF3F4D">
      <w:pPr>
        <w:spacing w:after="0"/>
      </w:pPr>
      <w:r>
        <w:t xml:space="preserve"> </w:t>
      </w:r>
      <w:r>
        <w:tab/>
        <w:t xml:space="preserve"> </w:t>
      </w:r>
      <w:r>
        <w:br w:type="page"/>
      </w:r>
    </w:p>
    <w:p w14:paraId="1BB24CAF" w14:textId="09515CEF" w:rsidR="00C244A9" w:rsidRDefault="00EF3F4D">
      <w:pPr>
        <w:spacing w:after="184"/>
        <w:ind w:left="-5"/>
        <w:jc w:val="center"/>
        <w:rPr>
          <w:rFonts w:ascii="Arial" w:eastAsia="Arial" w:hAnsi="Arial" w:cs="Arial"/>
          <w:b/>
          <w:bCs/>
          <w:i/>
          <w:iCs/>
          <w:sz w:val="24"/>
          <w:szCs w:val="24"/>
        </w:rPr>
      </w:pPr>
      <w:r>
        <w:rPr>
          <w:rFonts w:ascii="Arial" w:eastAsia="Arial" w:hAnsi="Arial" w:cs="Arial"/>
          <w:b/>
          <w:bCs/>
          <w:i/>
          <w:iCs/>
          <w:sz w:val="24"/>
          <w:szCs w:val="24"/>
        </w:rPr>
        <w:lastRenderedPageBreak/>
        <w:t>A</w:t>
      </w:r>
      <w:r w:rsidR="00BA74BB">
        <w:rPr>
          <w:rFonts w:ascii="Arial" w:eastAsia="Arial" w:hAnsi="Arial" w:cs="Arial"/>
          <w:b/>
          <w:bCs/>
          <w:i/>
          <w:iCs/>
          <w:sz w:val="24"/>
          <w:szCs w:val="24"/>
        </w:rPr>
        <w:t>BSRACT</w:t>
      </w:r>
    </w:p>
    <w:p w14:paraId="223484B5" w14:textId="77777777" w:rsidR="00C244A9" w:rsidRDefault="00C244A9">
      <w:pPr>
        <w:spacing w:after="184"/>
        <w:ind w:left="-5"/>
        <w:rPr>
          <w:rFonts w:ascii="Arial" w:eastAsia="Arial" w:hAnsi="Arial" w:cs="Arial"/>
          <w:i/>
          <w:iCs/>
        </w:rPr>
      </w:pPr>
    </w:p>
    <w:p w14:paraId="53D3D0E5" w14:textId="77777777" w:rsidR="00C244A9" w:rsidRDefault="00EF3F4D">
      <w:pPr>
        <w:spacing w:after="184"/>
        <w:ind w:left="-5"/>
        <w:rPr>
          <w:rFonts w:ascii="Arial" w:eastAsia="Arial" w:hAnsi="Arial" w:cs="Arial"/>
        </w:rPr>
      </w:pPr>
      <w:r>
        <w:rPr>
          <w:rFonts w:ascii="Arial" w:eastAsia="Arial" w:hAnsi="Arial" w:cs="Arial"/>
          <w:i/>
          <w:iCs/>
        </w:rPr>
        <w:t xml:space="preserve">Research problem and objectives: </w:t>
      </w:r>
    </w:p>
    <w:p w14:paraId="0001C36D"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systematic review design offers a system that is organised and repeatable, hence increasing the transparency and reducing the bias. The review also synthesises the available study findings on the ways through which genomic and molecular studies will be used to monitor the dynamics of </w:t>
      </w:r>
      <w:r>
        <w:rPr>
          <w:rFonts w:ascii="Arial" w:eastAsia="Arial" w:hAnsi="Arial" w:cs="Arial"/>
          <w:i/>
          <w:iCs/>
        </w:rPr>
        <w:t>Vibrio cholerae</w:t>
      </w:r>
      <w:r>
        <w:rPr>
          <w:rFonts w:ascii="Arial" w:eastAsia="Arial" w:hAnsi="Arial" w:cs="Arial"/>
        </w:rPr>
        <w:t xml:space="preserve"> transmission. The current systematic review has set the pace by providing a vivid introduction to the exploration of molecular epidemiology tools in preventing and controlling in-direct transmission of Cholera. Along with research background, aim, objectives, research questions and research summary has also been added in the literature review, from molecular epidemiological tools to genomic sequencing, phylogenetic analysis and molecular and environmental factors, every aspect has been clearly recognised. </w:t>
      </w:r>
    </w:p>
    <w:p w14:paraId="5EB2E518" w14:textId="77777777" w:rsidR="00C244A9" w:rsidRDefault="00C244A9">
      <w:pPr>
        <w:spacing w:after="184"/>
        <w:ind w:left="-5"/>
        <w:rPr>
          <w:rFonts w:ascii="Arial" w:eastAsia="Arial" w:hAnsi="Arial" w:cs="Arial"/>
          <w:i/>
          <w:iCs/>
        </w:rPr>
      </w:pPr>
    </w:p>
    <w:p w14:paraId="100BA1EA" w14:textId="77777777" w:rsidR="00C244A9" w:rsidRDefault="00EF3F4D">
      <w:pPr>
        <w:spacing w:after="184"/>
        <w:ind w:left="-5"/>
        <w:rPr>
          <w:rFonts w:ascii="Arial" w:eastAsia="Arial" w:hAnsi="Arial" w:cs="Arial"/>
        </w:rPr>
      </w:pPr>
      <w:r>
        <w:rPr>
          <w:rFonts w:ascii="Arial" w:eastAsia="Arial" w:hAnsi="Arial" w:cs="Arial"/>
          <w:i/>
          <w:iCs/>
        </w:rPr>
        <w:t xml:space="preserve">Methodology: </w:t>
      </w:r>
    </w:p>
    <w:p w14:paraId="294F4754"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This study followed a Systematic Review following a PRISMA framework. It has given validation of the research paradigm, it followed ethical considerations, and used criteria of inclusion, exclusion, database searching procedure, data analysis technique and limitations of the study were acknowledged 10 articles were selected for this study and were critically reviewed using the CASP and JBI tools to ensure high quality evidence.</w:t>
      </w:r>
    </w:p>
    <w:p w14:paraId="617039A1" w14:textId="77777777" w:rsidR="00C244A9" w:rsidRDefault="00C244A9">
      <w:pPr>
        <w:spacing w:after="184"/>
        <w:ind w:left="-5"/>
        <w:rPr>
          <w:rFonts w:ascii="Arial" w:eastAsia="Arial" w:hAnsi="Arial" w:cs="Arial"/>
          <w:i/>
          <w:iCs/>
        </w:rPr>
      </w:pPr>
    </w:p>
    <w:p w14:paraId="295FC6B5" w14:textId="77777777" w:rsidR="00C244A9" w:rsidRDefault="00EF3F4D">
      <w:pPr>
        <w:spacing w:after="184"/>
        <w:ind w:left="-5"/>
        <w:rPr>
          <w:rFonts w:ascii="Arial" w:eastAsia="Arial" w:hAnsi="Arial" w:cs="Arial"/>
        </w:rPr>
      </w:pPr>
      <w:r>
        <w:rPr>
          <w:rFonts w:ascii="Arial" w:eastAsia="Arial" w:hAnsi="Arial" w:cs="Arial"/>
          <w:i/>
          <w:iCs/>
        </w:rPr>
        <w:t xml:space="preserve">Results: </w:t>
      </w:r>
    </w:p>
    <w:p w14:paraId="5A56D2D6" w14:textId="77777777" w:rsidR="00C244A9" w:rsidRDefault="00EF3F4D">
      <w:pPr>
        <w:spacing w:line="360" w:lineRule="auto"/>
        <w:jc w:val="both"/>
        <w:rPr>
          <w:rFonts w:ascii="Arial" w:eastAsia="Arial" w:hAnsi="Arial" w:cs="Arial"/>
        </w:rPr>
      </w:pPr>
      <w:r>
        <w:rPr>
          <w:rFonts w:ascii="Arial" w:eastAsia="Arial" w:hAnsi="Arial" w:cs="Arial"/>
        </w:rPr>
        <w:t>The major results of the research, showing that molecular epidemiological methods are efficient in identifying Vibrio cholerae, indirect routes of transmission, and environmental and sanitation factors. The study has identified three relevant themes following the interpretation of the acquired data in an effective manner. It has also focused on illustrating the core characteristics of the chosen articles and journals. Another aspect that was emphasized is how genomic evidence is used to guide specific public health intervention to enhance cholera prevention and control.</w:t>
      </w:r>
    </w:p>
    <w:p w14:paraId="4FE347B7" w14:textId="77777777" w:rsidR="00C244A9" w:rsidRDefault="00C244A9">
      <w:pPr>
        <w:spacing w:after="184"/>
        <w:ind w:left="-5"/>
        <w:rPr>
          <w:rFonts w:ascii="Arial" w:eastAsia="Arial" w:hAnsi="Arial" w:cs="Arial"/>
          <w:i/>
          <w:iCs/>
        </w:rPr>
      </w:pPr>
    </w:p>
    <w:p w14:paraId="5D430781" w14:textId="77777777" w:rsidR="00C244A9" w:rsidRDefault="00EF3F4D">
      <w:pPr>
        <w:spacing w:after="184"/>
        <w:ind w:left="-5"/>
        <w:rPr>
          <w:rFonts w:ascii="Arial" w:eastAsia="Arial" w:hAnsi="Arial" w:cs="Arial"/>
        </w:rPr>
      </w:pPr>
      <w:r>
        <w:rPr>
          <w:rFonts w:ascii="Arial" w:eastAsia="Arial" w:hAnsi="Arial" w:cs="Arial"/>
          <w:i/>
          <w:iCs/>
        </w:rPr>
        <w:t xml:space="preserve">Conclusion: </w:t>
      </w:r>
    </w:p>
    <w:p w14:paraId="6F83B966" w14:textId="77777777" w:rsidR="00C244A9" w:rsidRDefault="00EF3F4D">
      <w:pPr>
        <w:spacing w:line="360" w:lineRule="auto"/>
        <w:jc w:val="both"/>
        <w:rPr>
          <w:rFonts w:ascii="Arial" w:eastAsia="Arial" w:hAnsi="Arial" w:cs="Arial"/>
          <w:b/>
          <w:bCs/>
          <w:i/>
          <w:iCs/>
        </w:rPr>
      </w:pPr>
      <w:r>
        <w:rPr>
          <w:rFonts w:ascii="Arial" w:eastAsia="Arial" w:hAnsi="Arial" w:cs="Arial"/>
        </w:rPr>
        <w:t xml:space="preserve">It can be concluded that a variety of stakeholders, including people living in communities, public health professionals and biomedical scientists must be aware of the start of the transmission route </w:t>
      </w:r>
      <w:r>
        <w:rPr>
          <w:rFonts w:ascii="Arial" w:eastAsia="Arial" w:hAnsi="Arial" w:cs="Arial"/>
        </w:rPr>
        <w:lastRenderedPageBreak/>
        <w:t>of Vibrio cholerae. Greater awareness will enable implementing effective interventions to reduce infection and illness of populations at risk.</w:t>
      </w:r>
    </w:p>
    <w:p w14:paraId="2B6C8095" w14:textId="77777777" w:rsidR="00C244A9" w:rsidRDefault="00C244A9">
      <w:pPr>
        <w:spacing w:line="360" w:lineRule="auto"/>
        <w:jc w:val="both"/>
        <w:rPr>
          <w:rFonts w:ascii="Arial" w:eastAsia="Arial" w:hAnsi="Arial" w:cs="Arial"/>
          <w:b/>
          <w:bCs/>
          <w:i/>
          <w:iCs/>
        </w:rPr>
      </w:pPr>
    </w:p>
    <w:p w14:paraId="7C8D97C9" w14:textId="77777777" w:rsidR="00C244A9" w:rsidRDefault="00EF3F4D">
      <w:pPr>
        <w:spacing w:line="360" w:lineRule="auto"/>
        <w:jc w:val="both"/>
        <w:rPr>
          <w:rFonts w:ascii="Arial" w:eastAsia="Arial" w:hAnsi="Arial" w:cs="Arial"/>
        </w:rPr>
      </w:pPr>
      <w:r>
        <w:rPr>
          <w:rFonts w:ascii="Arial" w:eastAsia="Arial" w:hAnsi="Arial" w:cs="Arial"/>
          <w:b/>
          <w:bCs/>
          <w:i/>
          <w:iCs/>
        </w:rPr>
        <w:t>Keywords</w:t>
      </w:r>
      <w:r>
        <w:rPr>
          <w:rFonts w:ascii="Arial" w:eastAsia="Arial" w:hAnsi="Arial" w:cs="Arial"/>
        </w:rPr>
        <w:t xml:space="preserve">: Molecular epidemiology tools, public health interventions, indirect routes of transmission, environmental and sanitation factors, </w:t>
      </w:r>
      <w:r>
        <w:rPr>
          <w:rFonts w:ascii="Arial" w:eastAsia="Arial" w:hAnsi="Arial" w:cs="Arial"/>
          <w:i/>
          <w:iCs/>
        </w:rPr>
        <w:t>Vibrio cholerae</w:t>
      </w:r>
      <w:r>
        <w:rPr>
          <w:rFonts w:ascii="Arial" w:eastAsia="Arial" w:hAnsi="Arial" w:cs="Arial"/>
        </w:rPr>
        <w:t xml:space="preserve"> transmission. </w:t>
      </w:r>
    </w:p>
    <w:p w14:paraId="720F29D9" w14:textId="2DF5372D" w:rsidR="00C244A9" w:rsidRPr="006B6EF8" w:rsidRDefault="006B6EF8" w:rsidP="006B6EF8">
      <w:pPr>
        <w:rPr>
          <w:rFonts w:ascii="Arial" w:eastAsia="Arial" w:hAnsi="Arial" w:cs="Arial"/>
          <w:b/>
          <w:bCs/>
          <w:color w:val="000000"/>
        </w:rPr>
      </w:pPr>
      <w:r>
        <w:rPr>
          <w:color w:val="000000"/>
        </w:rPr>
        <w:br w:type="page"/>
      </w:r>
    </w:p>
    <w:p w14:paraId="4AC5549B" w14:textId="77777777" w:rsidR="00C244A9" w:rsidRDefault="00C244A9">
      <w:pPr>
        <w:pStyle w:val="Heading2"/>
        <w:ind w:left="12"/>
        <w:jc w:val="center"/>
        <w:rPr>
          <w:color w:val="000000"/>
        </w:rPr>
      </w:pPr>
    </w:p>
    <w:p w14:paraId="7BEB5F27" w14:textId="61A1412A" w:rsidR="00C244A9" w:rsidRDefault="00C244A9"/>
    <w:p w14:paraId="0FAE4A84" w14:textId="77777777" w:rsidR="00C244A9" w:rsidRDefault="00EF3F4D">
      <w:pPr>
        <w:rPr>
          <w:b/>
          <w:bCs/>
          <w:sz w:val="24"/>
          <w:szCs w:val="24"/>
        </w:rPr>
      </w:pPr>
      <w:r>
        <w:br w:type="page"/>
      </w:r>
    </w:p>
    <w:sdt>
      <w:sdtPr>
        <w:rPr>
          <w:rFonts w:ascii="Arial" w:eastAsia="Calibri" w:hAnsi="Arial" w:cs="Arial"/>
          <w:b/>
          <w:bCs/>
          <w:color w:val="auto"/>
          <w:sz w:val="24"/>
          <w:szCs w:val="24"/>
          <w:lang w:val="en-GB" w:eastAsia="en-IN"/>
        </w:rPr>
        <w:id w:val="-1919079580"/>
        <w:docPartObj>
          <w:docPartGallery w:val="Table of Contents"/>
          <w:docPartUnique/>
        </w:docPartObj>
      </w:sdtPr>
      <w:sdtEndPr>
        <w:rPr>
          <w:noProof/>
        </w:rPr>
      </w:sdtEndPr>
      <w:sdtContent>
        <w:p w14:paraId="6A869783" w14:textId="5F512397" w:rsidR="00D9043E" w:rsidRPr="0007748E" w:rsidRDefault="00D9043E" w:rsidP="00D9043E">
          <w:pPr>
            <w:pStyle w:val="TOCHeading"/>
            <w:jc w:val="center"/>
            <w:rPr>
              <w:rFonts w:ascii="Arial" w:hAnsi="Arial" w:cs="Arial"/>
              <w:b/>
              <w:bCs/>
              <w:color w:val="auto"/>
              <w:sz w:val="24"/>
              <w:szCs w:val="24"/>
            </w:rPr>
          </w:pPr>
          <w:r w:rsidRPr="0007748E">
            <w:rPr>
              <w:rFonts w:ascii="Arial" w:hAnsi="Arial" w:cs="Arial"/>
              <w:b/>
              <w:bCs/>
              <w:color w:val="auto"/>
              <w:sz w:val="24"/>
              <w:szCs w:val="24"/>
            </w:rPr>
            <w:t>Table of Contents</w:t>
          </w:r>
        </w:p>
        <w:p w14:paraId="061C69C0" w14:textId="69E18CD0" w:rsidR="00BA74BB" w:rsidRDefault="00D9043E">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r w:rsidRPr="00D9043E">
            <w:rPr>
              <w:rFonts w:ascii="Arial" w:hAnsi="Arial" w:cs="Arial"/>
              <w:sz w:val="24"/>
              <w:szCs w:val="24"/>
            </w:rPr>
            <w:fldChar w:fldCharType="begin"/>
          </w:r>
          <w:r w:rsidRPr="00D9043E">
            <w:rPr>
              <w:rFonts w:ascii="Arial" w:hAnsi="Arial" w:cs="Arial"/>
              <w:sz w:val="24"/>
              <w:szCs w:val="24"/>
            </w:rPr>
            <w:instrText xml:space="preserve"> TOC \o "1-3" \h \z \u </w:instrText>
          </w:r>
          <w:r w:rsidRPr="00D9043E">
            <w:rPr>
              <w:rFonts w:ascii="Arial" w:hAnsi="Arial" w:cs="Arial"/>
              <w:sz w:val="24"/>
              <w:szCs w:val="24"/>
            </w:rPr>
            <w:fldChar w:fldCharType="separate"/>
          </w:r>
        </w:p>
        <w:p w14:paraId="0B119B3B" w14:textId="0508315F"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088" w:history="1">
            <w:r w:rsidRPr="00553C95">
              <w:rPr>
                <w:rStyle w:val="Hyperlink"/>
                <w:noProof/>
              </w:rPr>
              <w:t>Chapter 1: Introduction</w:t>
            </w:r>
            <w:r>
              <w:rPr>
                <w:noProof/>
                <w:webHidden/>
              </w:rPr>
              <w:tab/>
            </w:r>
            <w:r>
              <w:rPr>
                <w:noProof/>
                <w:webHidden/>
              </w:rPr>
              <w:fldChar w:fldCharType="begin"/>
            </w:r>
            <w:r>
              <w:rPr>
                <w:noProof/>
                <w:webHidden/>
              </w:rPr>
              <w:instrText xml:space="preserve"> PAGEREF _Toc220842088 \h </w:instrText>
            </w:r>
            <w:r>
              <w:rPr>
                <w:noProof/>
                <w:webHidden/>
              </w:rPr>
            </w:r>
            <w:r>
              <w:rPr>
                <w:noProof/>
                <w:webHidden/>
              </w:rPr>
              <w:fldChar w:fldCharType="separate"/>
            </w:r>
            <w:r>
              <w:rPr>
                <w:noProof/>
                <w:webHidden/>
              </w:rPr>
              <w:t>10</w:t>
            </w:r>
            <w:r>
              <w:rPr>
                <w:noProof/>
                <w:webHidden/>
              </w:rPr>
              <w:fldChar w:fldCharType="end"/>
            </w:r>
          </w:hyperlink>
        </w:p>
        <w:p w14:paraId="3D7CEDEA" w14:textId="7F95C429"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89" w:history="1">
            <w:r w:rsidRPr="00553C95">
              <w:rPr>
                <w:rStyle w:val="Hyperlink"/>
                <w:noProof/>
              </w:rPr>
              <w:t>1.1 Chapter Introduction</w:t>
            </w:r>
            <w:r>
              <w:rPr>
                <w:noProof/>
                <w:webHidden/>
              </w:rPr>
              <w:tab/>
            </w:r>
            <w:r>
              <w:rPr>
                <w:noProof/>
                <w:webHidden/>
              </w:rPr>
              <w:fldChar w:fldCharType="begin"/>
            </w:r>
            <w:r>
              <w:rPr>
                <w:noProof/>
                <w:webHidden/>
              </w:rPr>
              <w:instrText xml:space="preserve"> PAGEREF _Toc220842089 \h </w:instrText>
            </w:r>
            <w:r>
              <w:rPr>
                <w:noProof/>
                <w:webHidden/>
              </w:rPr>
            </w:r>
            <w:r>
              <w:rPr>
                <w:noProof/>
                <w:webHidden/>
              </w:rPr>
              <w:fldChar w:fldCharType="separate"/>
            </w:r>
            <w:r>
              <w:rPr>
                <w:noProof/>
                <w:webHidden/>
              </w:rPr>
              <w:t>10</w:t>
            </w:r>
            <w:r>
              <w:rPr>
                <w:noProof/>
                <w:webHidden/>
              </w:rPr>
              <w:fldChar w:fldCharType="end"/>
            </w:r>
          </w:hyperlink>
        </w:p>
        <w:p w14:paraId="7CC00EC8" w14:textId="413E57BB"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0" w:history="1">
            <w:r w:rsidRPr="00553C95">
              <w:rPr>
                <w:rStyle w:val="Hyperlink"/>
                <w:noProof/>
              </w:rPr>
              <w:t>1.2 Research Background</w:t>
            </w:r>
            <w:r>
              <w:rPr>
                <w:noProof/>
                <w:webHidden/>
              </w:rPr>
              <w:tab/>
            </w:r>
            <w:r>
              <w:rPr>
                <w:noProof/>
                <w:webHidden/>
              </w:rPr>
              <w:fldChar w:fldCharType="begin"/>
            </w:r>
            <w:r>
              <w:rPr>
                <w:noProof/>
                <w:webHidden/>
              </w:rPr>
              <w:instrText xml:space="preserve"> PAGEREF _Toc220842090 \h </w:instrText>
            </w:r>
            <w:r>
              <w:rPr>
                <w:noProof/>
                <w:webHidden/>
              </w:rPr>
            </w:r>
            <w:r>
              <w:rPr>
                <w:noProof/>
                <w:webHidden/>
              </w:rPr>
              <w:fldChar w:fldCharType="separate"/>
            </w:r>
            <w:r>
              <w:rPr>
                <w:noProof/>
                <w:webHidden/>
              </w:rPr>
              <w:t>10</w:t>
            </w:r>
            <w:r>
              <w:rPr>
                <w:noProof/>
                <w:webHidden/>
              </w:rPr>
              <w:fldChar w:fldCharType="end"/>
            </w:r>
          </w:hyperlink>
        </w:p>
        <w:p w14:paraId="6F041A9F" w14:textId="32D4F4E8"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1" w:history="1">
            <w:r w:rsidRPr="00553C95">
              <w:rPr>
                <w:rStyle w:val="Hyperlink"/>
                <w:noProof/>
              </w:rPr>
              <w:t>1.3 Problem Statement</w:t>
            </w:r>
            <w:r>
              <w:rPr>
                <w:noProof/>
                <w:webHidden/>
              </w:rPr>
              <w:tab/>
            </w:r>
            <w:r>
              <w:rPr>
                <w:noProof/>
                <w:webHidden/>
              </w:rPr>
              <w:fldChar w:fldCharType="begin"/>
            </w:r>
            <w:r>
              <w:rPr>
                <w:noProof/>
                <w:webHidden/>
              </w:rPr>
              <w:instrText xml:space="preserve"> PAGEREF _Toc220842091 \h </w:instrText>
            </w:r>
            <w:r>
              <w:rPr>
                <w:noProof/>
                <w:webHidden/>
              </w:rPr>
            </w:r>
            <w:r>
              <w:rPr>
                <w:noProof/>
                <w:webHidden/>
              </w:rPr>
              <w:fldChar w:fldCharType="separate"/>
            </w:r>
            <w:r>
              <w:rPr>
                <w:noProof/>
                <w:webHidden/>
              </w:rPr>
              <w:t>12</w:t>
            </w:r>
            <w:r>
              <w:rPr>
                <w:noProof/>
                <w:webHidden/>
              </w:rPr>
              <w:fldChar w:fldCharType="end"/>
            </w:r>
          </w:hyperlink>
        </w:p>
        <w:p w14:paraId="0B7E2B4B" w14:textId="36AB7928"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2" w:history="1">
            <w:r w:rsidRPr="00553C95">
              <w:rPr>
                <w:rStyle w:val="Hyperlink"/>
                <w:noProof/>
              </w:rPr>
              <w:t>1.4 Research question, Aims, and Objectives</w:t>
            </w:r>
            <w:r>
              <w:rPr>
                <w:noProof/>
                <w:webHidden/>
              </w:rPr>
              <w:tab/>
            </w:r>
            <w:r>
              <w:rPr>
                <w:noProof/>
                <w:webHidden/>
              </w:rPr>
              <w:fldChar w:fldCharType="begin"/>
            </w:r>
            <w:r>
              <w:rPr>
                <w:noProof/>
                <w:webHidden/>
              </w:rPr>
              <w:instrText xml:space="preserve"> PAGEREF _Toc220842092 \h </w:instrText>
            </w:r>
            <w:r>
              <w:rPr>
                <w:noProof/>
                <w:webHidden/>
              </w:rPr>
            </w:r>
            <w:r>
              <w:rPr>
                <w:noProof/>
                <w:webHidden/>
              </w:rPr>
              <w:fldChar w:fldCharType="separate"/>
            </w:r>
            <w:r>
              <w:rPr>
                <w:noProof/>
                <w:webHidden/>
              </w:rPr>
              <w:t>12</w:t>
            </w:r>
            <w:r>
              <w:rPr>
                <w:noProof/>
                <w:webHidden/>
              </w:rPr>
              <w:fldChar w:fldCharType="end"/>
            </w:r>
          </w:hyperlink>
        </w:p>
        <w:p w14:paraId="024F9485" w14:textId="05824F26" w:rsidR="00BA74BB" w:rsidRDefault="00BA74BB">
          <w:pPr>
            <w:pStyle w:val="TOC3"/>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3" w:history="1">
            <w:r w:rsidRPr="00553C95">
              <w:rPr>
                <w:rStyle w:val="Hyperlink"/>
                <w:noProof/>
              </w:rPr>
              <w:t>Research Question</w:t>
            </w:r>
            <w:r>
              <w:rPr>
                <w:noProof/>
                <w:webHidden/>
              </w:rPr>
              <w:tab/>
            </w:r>
            <w:r>
              <w:rPr>
                <w:noProof/>
                <w:webHidden/>
              </w:rPr>
              <w:fldChar w:fldCharType="begin"/>
            </w:r>
            <w:r>
              <w:rPr>
                <w:noProof/>
                <w:webHidden/>
              </w:rPr>
              <w:instrText xml:space="preserve"> PAGEREF _Toc220842093 \h </w:instrText>
            </w:r>
            <w:r>
              <w:rPr>
                <w:noProof/>
                <w:webHidden/>
              </w:rPr>
            </w:r>
            <w:r>
              <w:rPr>
                <w:noProof/>
                <w:webHidden/>
              </w:rPr>
              <w:fldChar w:fldCharType="separate"/>
            </w:r>
            <w:r>
              <w:rPr>
                <w:noProof/>
                <w:webHidden/>
              </w:rPr>
              <w:t>12</w:t>
            </w:r>
            <w:r>
              <w:rPr>
                <w:noProof/>
                <w:webHidden/>
              </w:rPr>
              <w:fldChar w:fldCharType="end"/>
            </w:r>
          </w:hyperlink>
        </w:p>
        <w:p w14:paraId="4201759A" w14:textId="257587AC" w:rsidR="00BA74BB" w:rsidRDefault="00BA74BB">
          <w:pPr>
            <w:pStyle w:val="TOC3"/>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4" w:history="1">
            <w:r w:rsidRPr="00553C95">
              <w:rPr>
                <w:rStyle w:val="Hyperlink"/>
                <w:noProof/>
              </w:rPr>
              <w:t>Aim</w:t>
            </w:r>
            <w:r>
              <w:rPr>
                <w:noProof/>
                <w:webHidden/>
              </w:rPr>
              <w:tab/>
            </w:r>
            <w:r>
              <w:rPr>
                <w:noProof/>
                <w:webHidden/>
              </w:rPr>
              <w:fldChar w:fldCharType="begin"/>
            </w:r>
            <w:r>
              <w:rPr>
                <w:noProof/>
                <w:webHidden/>
              </w:rPr>
              <w:instrText xml:space="preserve"> PAGEREF _Toc220842094 \h </w:instrText>
            </w:r>
            <w:r>
              <w:rPr>
                <w:noProof/>
                <w:webHidden/>
              </w:rPr>
            </w:r>
            <w:r>
              <w:rPr>
                <w:noProof/>
                <w:webHidden/>
              </w:rPr>
              <w:fldChar w:fldCharType="separate"/>
            </w:r>
            <w:r>
              <w:rPr>
                <w:noProof/>
                <w:webHidden/>
              </w:rPr>
              <w:t>12</w:t>
            </w:r>
            <w:r>
              <w:rPr>
                <w:noProof/>
                <w:webHidden/>
              </w:rPr>
              <w:fldChar w:fldCharType="end"/>
            </w:r>
          </w:hyperlink>
        </w:p>
        <w:p w14:paraId="4D097322" w14:textId="1A326812" w:rsidR="00BA74BB" w:rsidRDefault="00BA74BB">
          <w:pPr>
            <w:pStyle w:val="TOC3"/>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5" w:history="1">
            <w:r w:rsidRPr="00553C95">
              <w:rPr>
                <w:rStyle w:val="Hyperlink"/>
                <w:noProof/>
              </w:rPr>
              <w:t>Objectives</w:t>
            </w:r>
            <w:r>
              <w:rPr>
                <w:noProof/>
                <w:webHidden/>
              </w:rPr>
              <w:tab/>
            </w:r>
            <w:r>
              <w:rPr>
                <w:noProof/>
                <w:webHidden/>
              </w:rPr>
              <w:fldChar w:fldCharType="begin"/>
            </w:r>
            <w:r>
              <w:rPr>
                <w:noProof/>
                <w:webHidden/>
              </w:rPr>
              <w:instrText xml:space="preserve"> PAGEREF _Toc220842095 \h </w:instrText>
            </w:r>
            <w:r>
              <w:rPr>
                <w:noProof/>
                <w:webHidden/>
              </w:rPr>
            </w:r>
            <w:r>
              <w:rPr>
                <w:noProof/>
                <w:webHidden/>
              </w:rPr>
              <w:fldChar w:fldCharType="separate"/>
            </w:r>
            <w:r>
              <w:rPr>
                <w:noProof/>
                <w:webHidden/>
              </w:rPr>
              <w:t>13</w:t>
            </w:r>
            <w:r>
              <w:rPr>
                <w:noProof/>
                <w:webHidden/>
              </w:rPr>
              <w:fldChar w:fldCharType="end"/>
            </w:r>
          </w:hyperlink>
        </w:p>
        <w:p w14:paraId="7E92B631" w14:textId="192AE0DE"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6" w:history="1">
            <w:r w:rsidRPr="00553C95">
              <w:rPr>
                <w:rStyle w:val="Hyperlink"/>
                <w:noProof/>
              </w:rPr>
              <w:t>1.5. Dissertation Structure</w:t>
            </w:r>
            <w:r>
              <w:rPr>
                <w:noProof/>
                <w:webHidden/>
              </w:rPr>
              <w:tab/>
            </w:r>
            <w:r>
              <w:rPr>
                <w:noProof/>
                <w:webHidden/>
              </w:rPr>
              <w:fldChar w:fldCharType="begin"/>
            </w:r>
            <w:r>
              <w:rPr>
                <w:noProof/>
                <w:webHidden/>
              </w:rPr>
              <w:instrText xml:space="preserve"> PAGEREF _Toc220842096 \h </w:instrText>
            </w:r>
            <w:r>
              <w:rPr>
                <w:noProof/>
                <w:webHidden/>
              </w:rPr>
            </w:r>
            <w:r>
              <w:rPr>
                <w:noProof/>
                <w:webHidden/>
              </w:rPr>
              <w:fldChar w:fldCharType="separate"/>
            </w:r>
            <w:r>
              <w:rPr>
                <w:noProof/>
                <w:webHidden/>
              </w:rPr>
              <w:t>13</w:t>
            </w:r>
            <w:r>
              <w:rPr>
                <w:noProof/>
                <w:webHidden/>
              </w:rPr>
              <w:fldChar w:fldCharType="end"/>
            </w:r>
          </w:hyperlink>
        </w:p>
        <w:p w14:paraId="5D6463A5" w14:textId="5C10E215"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7" w:history="1">
            <w:r w:rsidRPr="00553C95">
              <w:rPr>
                <w:rStyle w:val="Hyperlink"/>
                <w:noProof/>
              </w:rPr>
              <w:t>1.6 Research significance and rationale</w:t>
            </w:r>
            <w:r>
              <w:rPr>
                <w:noProof/>
                <w:webHidden/>
              </w:rPr>
              <w:tab/>
            </w:r>
            <w:r>
              <w:rPr>
                <w:noProof/>
                <w:webHidden/>
              </w:rPr>
              <w:fldChar w:fldCharType="begin"/>
            </w:r>
            <w:r>
              <w:rPr>
                <w:noProof/>
                <w:webHidden/>
              </w:rPr>
              <w:instrText xml:space="preserve"> PAGEREF _Toc220842097 \h </w:instrText>
            </w:r>
            <w:r>
              <w:rPr>
                <w:noProof/>
                <w:webHidden/>
              </w:rPr>
            </w:r>
            <w:r>
              <w:rPr>
                <w:noProof/>
                <w:webHidden/>
              </w:rPr>
              <w:fldChar w:fldCharType="separate"/>
            </w:r>
            <w:r>
              <w:rPr>
                <w:noProof/>
                <w:webHidden/>
              </w:rPr>
              <w:t>13</w:t>
            </w:r>
            <w:r>
              <w:rPr>
                <w:noProof/>
                <w:webHidden/>
              </w:rPr>
              <w:fldChar w:fldCharType="end"/>
            </w:r>
          </w:hyperlink>
        </w:p>
        <w:p w14:paraId="6F4F95DE" w14:textId="30790486"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098" w:history="1">
            <w:r w:rsidRPr="00553C95">
              <w:rPr>
                <w:rStyle w:val="Hyperlink"/>
                <w:noProof/>
              </w:rPr>
              <w:t>1.7 Summary of the Chapter</w:t>
            </w:r>
            <w:r>
              <w:rPr>
                <w:noProof/>
                <w:webHidden/>
              </w:rPr>
              <w:tab/>
            </w:r>
            <w:r>
              <w:rPr>
                <w:noProof/>
                <w:webHidden/>
              </w:rPr>
              <w:fldChar w:fldCharType="begin"/>
            </w:r>
            <w:r>
              <w:rPr>
                <w:noProof/>
                <w:webHidden/>
              </w:rPr>
              <w:instrText xml:space="preserve"> PAGEREF _Toc220842098 \h </w:instrText>
            </w:r>
            <w:r>
              <w:rPr>
                <w:noProof/>
                <w:webHidden/>
              </w:rPr>
            </w:r>
            <w:r>
              <w:rPr>
                <w:noProof/>
                <w:webHidden/>
              </w:rPr>
              <w:fldChar w:fldCharType="separate"/>
            </w:r>
            <w:r>
              <w:rPr>
                <w:noProof/>
                <w:webHidden/>
              </w:rPr>
              <w:t>15</w:t>
            </w:r>
            <w:r>
              <w:rPr>
                <w:noProof/>
                <w:webHidden/>
              </w:rPr>
              <w:fldChar w:fldCharType="end"/>
            </w:r>
          </w:hyperlink>
        </w:p>
        <w:p w14:paraId="5B355930" w14:textId="38418995"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099" w:history="1">
            <w:r w:rsidRPr="00553C95">
              <w:rPr>
                <w:rStyle w:val="Hyperlink"/>
                <w:noProof/>
              </w:rPr>
              <w:t>Chapter 2: Literature review/theoretical framework</w:t>
            </w:r>
            <w:r>
              <w:rPr>
                <w:noProof/>
                <w:webHidden/>
              </w:rPr>
              <w:tab/>
            </w:r>
            <w:r>
              <w:rPr>
                <w:noProof/>
                <w:webHidden/>
              </w:rPr>
              <w:fldChar w:fldCharType="begin"/>
            </w:r>
            <w:r>
              <w:rPr>
                <w:noProof/>
                <w:webHidden/>
              </w:rPr>
              <w:instrText xml:space="preserve"> PAGEREF _Toc220842099 \h </w:instrText>
            </w:r>
            <w:r>
              <w:rPr>
                <w:noProof/>
                <w:webHidden/>
              </w:rPr>
            </w:r>
            <w:r>
              <w:rPr>
                <w:noProof/>
                <w:webHidden/>
              </w:rPr>
              <w:fldChar w:fldCharType="separate"/>
            </w:r>
            <w:r>
              <w:rPr>
                <w:noProof/>
                <w:webHidden/>
              </w:rPr>
              <w:t>16</w:t>
            </w:r>
            <w:r>
              <w:rPr>
                <w:noProof/>
                <w:webHidden/>
              </w:rPr>
              <w:fldChar w:fldCharType="end"/>
            </w:r>
          </w:hyperlink>
        </w:p>
        <w:p w14:paraId="28AB63E0" w14:textId="717DC594"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0" w:history="1">
            <w:r w:rsidRPr="00553C95">
              <w:rPr>
                <w:rStyle w:val="Hyperlink"/>
                <w:noProof/>
              </w:rPr>
              <w:t>2.1 Introduction</w:t>
            </w:r>
            <w:r>
              <w:rPr>
                <w:noProof/>
                <w:webHidden/>
              </w:rPr>
              <w:tab/>
            </w:r>
            <w:r>
              <w:rPr>
                <w:noProof/>
                <w:webHidden/>
              </w:rPr>
              <w:fldChar w:fldCharType="begin"/>
            </w:r>
            <w:r>
              <w:rPr>
                <w:noProof/>
                <w:webHidden/>
              </w:rPr>
              <w:instrText xml:space="preserve"> PAGEREF _Toc220842100 \h </w:instrText>
            </w:r>
            <w:r>
              <w:rPr>
                <w:noProof/>
                <w:webHidden/>
              </w:rPr>
            </w:r>
            <w:r>
              <w:rPr>
                <w:noProof/>
                <w:webHidden/>
              </w:rPr>
              <w:fldChar w:fldCharType="separate"/>
            </w:r>
            <w:r>
              <w:rPr>
                <w:noProof/>
                <w:webHidden/>
              </w:rPr>
              <w:t>16</w:t>
            </w:r>
            <w:r>
              <w:rPr>
                <w:noProof/>
                <w:webHidden/>
              </w:rPr>
              <w:fldChar w:fldCharType="end"/>
            </w:r>
          </w:hyperlink>
        </w:p>
        <w:p w14:paraId="52234F42" w14:textId="1D79A8A4"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1" w:history="1">
            <w:r w:rsidRPr="00553C95">
              <w:rPr>
                <w:rStyle w:val="Hyperlink"/>
                <w:noProof/>
              </w:rPr>
              <w:t>2.2 Molecular epidemiological tools introduced</w:t>
            </w:r>
            <w:r>
              <w:rPr>
                <w:noProof/>
                <w:webHidden/>
              </w:rPr>
              <w:tab/>
            </w:r>
            <w:r>
              <w:rPr>
                <w:noProof/>
                <w:webHidden/>
              </w:rPr>
              <w:fldChar w:fldCharType="begin"/>
            </w:r>
            <w:r>
              <w:rPr>
                <w:noProof/>
                <w:webHidden/>
              </w:rPr>
              <w:instrText xml:space="preserve"> PAGEREF _Toc220842101 \h </w:instrText>
            </w:r>
            <w:r>
              <w:rPr>
                <w:noProof/>
                <w:webHidden/>
              </w:rPr>
            </w:r>
            <w:r>
              <w:rPr>
                <w:noProof/>
                <w:webHidden/>
              </w:rPr>
              <w:fldChar w:fldCharType="separate"/>
            </w:r>
            <w:r>
              <w:rPr>
                <w:noProof/>
                <w:webHidden/>
              </w:rPr>
              <w:t>16</w:t>
            </w:r>
            <w:r>
              <w:rPr>
                <w:noProof/>
                <w:webHidden/>
              </w:rPr>
              <w:fldChar w:fldCharType="end"/>
            </w:r>
          </w:hyperlink>
        </w:p>
        <w:p w14:paraId="2FA46A60" w14:textId="4FF82F01" w:rsidR="00BA74BB" w:rsidRDefault="00BA74BB">
          <w:pPr>
            <w:pStyle w:val="TOC3"/>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2" w:history="1">
            <w:r w:rsidRPr="00553C95">
              <w:rPr>
                <w:rStyle w:val="Hyperlink"/>
                <w:noProof/>
              </w:rPr>
              <w:t>2.2.1 Genomic sequencing of Vibrio cholerae</w:t>
            </w:r>
            <w:r>
              <w:rPr>
                <w:noProof/>
                <w:webHidden/>
              </w:rPr>
              <w:tab/>
            </w:r>
            <w:r>
              <w:rPr>
                <w:noProof/>
                <w:webHidden/>
              </w:rPr>
              <w:fldChar w:fldCharType="begin"/>
            </w:r>
            <w:r>
              <w:rPr>
                <w:noProof/>
                <w:webHidden/>
              </w:rPr>
              <w:instrText xml:space="preserve"> PAGEREF _Toc220842102 \h </w:instrText>
            </w:r>
            <w:r>
              <w:rPr>
                <w:noProof/>
                <w:webHidden/>
              </w:rPr>
            </w:r>
            <w:r>
              <w:rPr>
                <w:noProof/>
                <w:webHidden/>
              </w:rPr>
              <w:fldChar w:fldCharType="separate"/>
            </w:r>
            <w:r>
              <w:rPr>
                <w:noProof/>
                <w:webHidden/>
              </w:rPr>
              <w:t>17</w:t>
            </w:r>
            <w:r>
              <w:rPr>
                <w:noProof/>
                <w:webHidden/>
              </w:rPr>
              <w:fldChar w:fldCharType="end"/>
            </w:r>
          </w:hyperlink>
        </w:p>
        <w:p w14:paraId="51919EB8" w14:textId="759C3E2F" w:rsidR="00BA74BB" w:rsidRDefault="00BA74BB">
          <w:pPr>
            <w:pStyle w:val="TOC3"/>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3" w:history="1">
            <w:r w:rsidRPr="00553C95">
              <w:rPr>
                <w:rStyle w:val="Hyperlink"/>
                <w:noProof/>
              </w:rPr>
              <w:t>2.2.2. AMR mechanism</w:t>
            </w:r>
            <w:r>
              <w:rPr>
                <w:noProof/>
                <w:webHidden/>
              </w:rPr>
              <w:tab/>
            </w:r>
            <w:r>
              <w:rPr>
                <w:noProof/>
                <w:webHidden/>
              </w:rPr>
              <w:fldChar w:fldCharType="begin"/>
            </w:r>
            <w:r>
              <w:rPr>
                <w:noProof/>
                <w:webHidden/>
              </w:rPr>
              <w:instrText xml:space="preserve"> PAGEREF _Toc220842103 \h </w:instrText>
            </w:r>
            <w:r>
              <w:rPr>
                <w:noProof/>
                <w:webHidden/>
              </w:rPr>
            </w:r>
            <w:r>
              <w:rPr>
                <w:noProof/>
                <w:webHidden/>
              </w:rPr>
              <w:fldChar w:fldCharType="separate"/>
            </w:r>
            <w:r>
              <w:rPr>
                <w:noProof/>
                <w:webHidden/>
              </w:rPr>
              <w:t>19</w:t>
            </w:r>
            <w:r>
              <w:rPr>
                <w:noProof/>
                <w:webHidden/>
              </w:rPr>
              <w:fldChar w:fldCharType="end"/>
            </w:r>
          </w:hyperlink>
        </w:p>
        <w:p w14:paraId="5A82DB60" w14:textId="5E23A629" w:rsidR="00BA74BB" w:rsidRDefault="00BA74BB">
          <w:pPr>
            <w:pStyle w:val="TOC3"/>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4" w:history="1">
            <w:r w:rsidRPr="00553C95">
              <w:rPr>
                <w:rStyle w:val="Hyperlink"/>
                <w:noProof/>
              </w:rPr>
              <w:t>2.2.3 Phylogenetic analysis in detecting and characterising Vibrio Cholerae</w:t>
            </w:r>
            <w:r>
              <w:rPr>
                <w:noProof/>
                <w:webHidden/>
              </w:rPr>
              <w:tab/>
            </w:r>
            <w:r>
              <w:rPr>
                <w:noProof/>
                <w:webHidden/>
              </w:rPr>
              <w:fldChar w:fldCharType="begin"/>
            </w:r>
            <w:r>
              <w:rPr>
                <w:noProof/>
                <w:webHidden/>
              </w:rPr>
              <w:instrText xml:space="preserve"> PAGEREF _Toc220842104 \h </w:instrText>
            </w:r>
            <w:r>
              <w:rPr>
                <w:noProof/>
                <w:webHidden/>
              </w:rPr>
            </w:r>
            <w:r>
              <w:rPr>
                <w:noProof/>
                <w:webHidden/>
              </w:rPr>
              <w:fldChar w:fldCharType="separate"/>
            </w:r>
            <w:r>
              <w:rPr>
                <w:noProof/>
                <w:webHidden/>
              </w:rPr>
              <w:t>20</w:t>
            </w:r>
            <w:r>
              <w:rPr>
                <w:noProof/>
                <w:webHidden/>
              </w:rPr>
              <w:fldChar w:fldCharType="end"/>
            </w:r>
          </w:hyperlink>
        </w:p>
        <w:p w14:paraId="6926C63E" w14:textId="59542E33" w:rsidR="00BA74BB" w:rsidRDefault="00BA74BB">
          <w:pPr>
            <w:pStyle w:val="TOC3"/>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5" w:history="1">
            <w:r w:rsidRPr="00553C95">
              <w:rPr>
                <w:rStyle w:val="Hyperlink"/>
                <w:noProof/>
              </w:rPr>
              <w:t>2.2.4 Molecular and environmental factors influencing indirect transmission of cholera</w:t>
            </w:r>
            <w:r>
              <w:rPr>
                <w:noProof/>
                <w:webHidden/>
              </w:rPr>
              <w:tab/>
            </w:r>
            <w:r>
              <w:rPr>
                <w:noProof/>
                <w:webHidden/>
              </w:rPr>
              <w:fldChar w:fldCharType="begin"/>
            </w:r>
            <w:r>
              <w:rPr>
                <w:noProof/>
                <w:webHidden/>
              </w:rPr>
              <w:instrText xml:space="preserve"> PAGEREF _Toc220842105 \h </w:instrText>
            </w:r>
            <w:r>
              <w:rPr>
                <w:noProof/>
                <w:webHidden/>
              </w:rPr>
            </w:r>
            <w:r>
              <w:rPr>
                <w:noProof/>
                <w:webHidden/>
              </w:rPr>
              <w:fldChar w:fldCharType="separate"/>
            </w:r>
            <w:r>
              <w:rPr>
                <w:noProof/>
                <w:webHidden/>
              </w:rPr>
              <w:t>22</w:t>
            </w:r>
            <w:r>
              <w:rPr>
                <w:noProof/>
                <w:webHidden/>
              </w:rPr>
              <w:fldChar w:fldCharType="end"/>
            </w:r>
          </w:hyperlink>
        </w:p>
        <w:p w14:paraId="0F902699" w14:textId="18881DBA"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6" w:history="1">
            <w:r w:rsidRPr="00553C95">
              <w:rPr>
                <w:rStyle w:val="Hyperlink"/>
                <w:noProof/>
              </w:rPr>
              <w:t>2.3 Theoretical Framework</w:t>
            </w:r>
            <w:r>
              <w:rPr>
                <w:noProof/>
                <w:webHidden/>
              </w:rPr>
              <w:tab/>
            </w:r>
            <w:r>
              <w:rPr>
                <w:noProof/>
                <w:webHidden/>
              </w:rPr>
              <w:fldChar w:fldCharType="begin"/>
            </w:r>
            <w:r>
              <w:rPr>
                <w:noProof/>
                <w:webHidden/>
              </w:rPr>
              <w:instrText xml:space="preserve"> PAGEREF _Toc220842106 \h </w:instrText>
            </w:r>
            <w:r>
              <w:rPr>
                <w:noProof/>
                <w:webHidden/>
              </w:rPr>
            </w:r>
            <w:r>
              <w:rPr>
                <w:noProof/>
                <w:webHidden/>
              </w:rPr>
              <w:fldChar w:fldCharType="separate"/>
            </w:r>
            <w:r>
              <w:rPr>
                <w:noProof/>
                <w:webHidden/>
              </w:rPr>
              <w:t>24</w:t>
            </w:r>
            <w:r>
              <w:rPr>
                <w:noProof/>
                <w:webHidden/>
              </w:rPr>
              <w:fldChar w:fldCharType="end"/>
            </w:r>
          </w:hyperlink>
        </w:p>
        <w:p w14:paraId="2825688A" w14:textId="6380D789"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7" w:history="1">
            <w:r w:rsidRPr="00553C95">
              <w:rPr>
                <w:rStyle w:val="Hyperlink"/>
                <w:noProof/>
              </w:rPr>
              <w:t>2.4 Gaps in Literature</w:t>
            </w:r>
            <w:r>
              <w:rPr>
                <w:noProof/>
                <w:webHidden/>
              </w:rPr>
              <w:tab/>
            </w:r>
            <w:r>
              <w:rPr>
                <w:noProof/>
                <w:webHidden/>
              </w:rPr>
              <w:fldChar w:fldCharType="begin"/>
            </w:r>
            <w:r>
              <w:rPr>
                <w:noProof/>
                <w:webHidden/>
              </w:rPr>
              <w:instrText xml:space="preserve"> PAGEREF _Toc220842107 \h </w:instrText>
            </w:r>
            <w:r>
              <w:rPr>
                <w:noProof/>
                <w:webHidden/>
              </w:rPr>
            </w:r>
            <w:r>
              <w:rPr>
                <w:noProof/>
                <w:webHidden/>
              </w:rPr>
              <w:fldChar w:fldCharType="separate"/>
            </w:r>
            <w:r>
              <w:rPr>
                <w:noProof/>
                <w:webHidden/>
              </w:rPr>
              <w:t>26</w:t>
            </w:r>
            <w:r>
              <w:rPr>
                <w:noProof/>
                <w:webHidden/>
              </w:rPr>
              <w:fldChar w:fldCharType="end"/>
            </w:r>
          </w:hyperlink>
        </w:p>
        <w:p w14:paraId="3E284F5F" w14:textId="1628F4D5"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08" w:history="1">
            <w:r w:rsidRPr="00553C95">
              <w:rPr>
                <w:rStyle w:val="Hyperlink"/>
                <w:noProof/>
              </w:rPr>
              <w:t>2.5 Summary of the Chapter</w:t>
            </w:r>
            <w:r>
              <w:rPr>
                <w:noProof/>
                <w:webHidden/>
              </w:rPr>
              <w:tab/>
            </w:r>
            <w:r>
              <w:rPr>
                <w:noProof/>
                <w:webHidden/>
              </w:rPr>
              <w:fldChar w:fldCharType="begin"/>
            </w:r>
            <w:r>
              <w:rPr>
                <w:noProof/>
                <w:webHidden/>
              </w:rPr>
              <w:instrText xml:space="preserve"> PAGEREF _Toc220842108 \h </w:instrText>
            </w:r>
            <w:r>
              <w:rPr>
                <w:noProof/>
                <w:webHidden/>
              </w:rPr>
            </w:r>
            <w:r>
              <w:rPr>
                <w:noProof/>
                <w:webHidden/>
              </w:rPr>
              <w:fldChar w:fldCharType="separate"/>
            </w:r>
            <w:r>
              <w:rPr>
                <w:noProof/>
                <w:webHidden/>
              </w:rPr>
              <w:t>28</w:t>
            </w:r>
            <w:r>
              <w:rPr>
                <w:noProof/>
                <w:webHidden/>
              </w:rPr>
              <w:fldChar w:fldCharType="end"/>
            </w:r>
          </w:hyperlink>
        </w:p>
        <w:p w14:paraId="2B79D62A" w14:textId="4B0B1BBC"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109" w:history="1">
            <w:r w:rsidRPr="00553C95">
              <w:rPr>
                <w:rStyle w:val="Hyperlink"/>
                <w:noProof/>
              </w:rPr>
              <w:t>Chapter 3: Research Methodology</w:t>
            </w:r>
            <w:r>
              <w:rPr>
                <w:noProof/>
                <w:webHidden/>
              </w:rPr>
              <w:tab/>
            </w:r>
            <w:r>
              <w:rPr>
                <w:noProof/>
                <w:webHidden/>
              </w:rPr>
              <w:fldChar w:fldCharType="begin"/>
            </w:r>
            <w:r>
              <w:rPr>
                <w:noProof/>
                <w:webHidden/>
              </w:rPr>
              <w:instrText xml:space="preserve"> PAGEREF _Toc220842109 \h </w:instrText>
            </w:r>
            <w:r>
              <w:rPr>
                <w:noProof/>
                <w:webHidden/>
              </w:rPr>
            </w:r>
            <w:r>
              <w:rPr>
                <w:noProof/>
                <w:webHidden/>
              </w:rPr>
              <w:fldChar w:fldCharType="separate"/>
            </w:r>
            <w:r>
              <w:rPr>
                <w:noProof/>
                <w:webHidden/>
              </w:rPr>
              <w:t>29</w:t>
            </w:r>
            <w:r>
              <w:rPr>
                <w:noProof/>
                <w:webHidden/>
              </w:rPr>
              <w:fldChar w:fldCharType="end"/>
            </w:r>
          </w:hyperlink>
        </w:p>
        <w:p w14:paraId="7C19DD40" w14:textId="5478C665"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0" w:history="1">
            <w:r w:rsidRPr="00553C95">
              <w:rPr>
                <w:rStyle w:val="Hyperlink"/>
                <w:noProof/>
              </w:rPr>
              <w:t>3.1 Introduction to the Research</w:t>
            </w:r>
            <w:r>
              <w:rPr>
                <w:noProof/>
                <w:webHidden/>
              </w:rPr>
              <w:tab/>
            </w:r>
            <w:r>
              <w:rPr>
                <w:noProof/>
                <w:webHidden/>
              </w:rPr>
              <w:fldChar w:fldCharType="begin"/>
            </w:r>
            <w:r>
              <w:rPr>
                <w:noProof/>
                <w:webHidden/>
              </w:rPr>
              <w:instrText xml:space="preserve"> PAGEREF _Toc220842110 \h </w:instrText>
            </w:r>
            <w:r>
              <w:rPr>
                <w:noProof/>
                <w:webHidden/>
              </w:rPr>
            </w:r>
            <w:r>
              <w:rPr>
                <w:noProof/>
                <w:webHidden/>
              </w:rPr>
              <w:fldChar w:fldCharType="separate"/>
            </w:r>
            <w:r>
              <w:rPr>
                <w:noProof/>
                <w:webHidden/>
              </w:rPr>
              <w:t>29</w:t>
            </w:r>
            <w:r>
              <w:rPr>
                <w:noProof/>
                <w:webHidden/>
              </w:rPr>
              <w:fldChar w:fldCharType="end"/>
            </w:r>
          </w:hyperlink>
        </w:p>
        <w:p w14:paraId="0749D1D8" w14:textId="51E35E85"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1" w:history="1">
            <w:r w:rsidRPr="00553C95">
              <w:rPr>
                <w:rStyle w:val="Hyperlink"/>
                <w:noProof/>
              </w:rPr>
              <w:t>3.2 Research paradigm/ philosophy</w:t>
            </w:r>
            <w:r>
              <w:rPr>
                <w:noProof/>
                <w:webHidden/>
              </w:rPr>
              <w:tab/>
            </w:r>
            <w:r>
              <w:rPr>
                <w:noProof/>
                <w:webHidden/>
              </w:rPr>
              <w:fldChar w:fldCharType="begin"/>
            </w:r>
            <w:r>
              <w:rPr>
                <w:noProof/>
                <w:webHidden/>
              </w:rPr>
              <w:instrText xml:space="preserve"> PAGEREF _Toc220842111 \h </w:instrText>
            </w:r>
            <w:r>
              <w:rPr>
                <w:noProof/>
                <w:webHidden/>
              </w:rPr>
            </w:r>
            <w:r>
              <w:rPr>
                <w:noProof/>
                <w:webHidden/>
              </w:rPr>
              <w:fldChar w:fldCharType="separate"/>
            </w:r>
            <w:r>
              <w:rPr>
                <w:noProof/>
                <w:webHidden/>
              </w:rPr>
              <w:t>29</w:t>
            </w:r>
            <w:r>
              <w:rPr>
                <w:noProof/>
                <w:webHidden/>
              </w:rPr>
              <w:fldChar w:fldCharType="end"/>
            </w:r>
          </w:hyperlink>
        </w:p>
        <w:p w14:paraId="36040D08" w14:textId="1C9C3175"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2" w:history="1">
            <w:r w:rsidRPr="00553C95">
              <w:rPr>
                <w:rStyle w:val="Hyperlink"/>
                <w:noProof/>
              </w:rPr>
              <w:t>3.3 Research strategy</w:t>
            </w:r>
            <w:r>
              <w:rPr>
                <w:noProof/>
                <w:webHidden/>
              </w:rPr>
              <w:tab/>
            </w:r>
            <w:r>
              <w:rPr>
                <w:noProof/>
                <w:webHidden/>
              </w:rPr>
              <w:fldChar w:fldCharType="begin"/>
            </w:r>
            <w:r>
              <w:rPr>
                <w:noProof/>
                <w:webHidden/>
              </w:rPr>
              <w:instrText xml:space="preserve"> PAGEREF _Toc220842112 \h </w:instrText>
            </w:r>
            <w:r>
              <w:rPr>
                <w:noProof/>
                <w:webHidden/>
              </w:rPr>
            </w:r>
            <w:r>
              <w:rPr>
                <w:noProof/>
                <w:webHidden/>
              </w:rPr>
              <w:fldChar w:fldCharType="separate"/>
            </w:r>
            <w:r>
              <w:rPr>
                <w:noProof/>
                <w:webHidden/>
              </w:rPr>
              <w:t>30</w:t>
            </w:r>
            <w:r>
              <w:rPr>
                <w:noProof/>
                <w:webHidden/>
              </w:rPr>
              <w:fldChar w:fldCharType="end"/>
            </w:r>
          </w:hyperlink>
        </w:p>
        <w:p w14:paraId="5474C346" w14:textId="49AAE0BE"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3" w:history="1">
            <w:r w:rsidRPr="00553C95">
              <w:rPr>
                <w:rStyle w:val="Hyperlink"/>
                <w:noProof/>
              </w:rPr>
              <w:t>3.4 Research Design</w:t>
            </w:r>
            <w:r>
              <w:rPr>
                <w:noProof/>
                <w:webHidden/>
              </w:rPr>
              <w:tab/>
            </w:r>
            <w:r>
              <w:rPr>
                <w:noProof/>
                <w:webHidden/>
              </w:rPr>
              <w:fldChar w:fldCharType="begin"/>
            </w:r>
            <w:r>
              <w:rPr>
                <w:noProof/>
                <w:webHidden/>
              </w:rPr>
              <w:instrText xml:space="preserve"> PAGEREF _Toc220842113 \h </w:instrText>
            </w:r>
            <w:r>
              <w:rPr>
                <w:noProof/>
                <w:webHidden/>
              </w:rPr>
            </w:r>
            <w:r>
              <w:rPr>
                <w:noProof/>
                <w:webHidden/>
              </w:rPr>
              <w:fldChar w:fldCharType="separate"/>
            </w:r>
            <w:r>
              <w:rPr>
                <w:noProof/>
                <w:webHidden/>
              </w:rPr>
              <w:t>30</w:t>
            </w:r>
            <w:r>
              <w:rPr>
                <w:noProof/>
                <w:webHidden/>
              </w:rPr>
              <w:fldChar w:fldCharType="end"/>
            </w:r>
          </w:hyperlink>
        </w:p>
        <w:p w14:paraId="1E742654" w14:textId="2929E05D"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4" w:history="1">
            <w:r w:rsidRPr="00553C95">
              <w:rPr>
                <w:rStyle w:val="Hyperlink"/>
                <w:noProof/>
              </w:rPr>
              <w:t>3.</w:t>
            </w:r>
            <w:r>
              <w:rPr>
                <w:rStyle w:val="Hyperlink"/>
                <w:noProof/>
              </w:rPr>
              <w:t>5</w:t>
            </w:r>
            <w:r w:rsidRPr="00553C95">
              <w:rPr>
                <w:rStyle w:val="Hyperlink"/>
                <w:noProof/>
              </w:rPr>
              <w:t xml:space="preserve"> Method of data collection</w:t>
            </w:r>
            <w:r>
              <w:rPr>
                <w:noProof/>
                <w:webHidden/>
              </w:rPr>
              <w:tab/>
            </w:r>
            <w:r>
              <w:rPr>
                <w:noProof/>
                <w:webHidden/>
              </w:rPr>
              <w:fldChar w:fldCharType="begin"/>
            </w:r>
            <w:r>
              <w:rPr>
                <w:noProof/>
                <w:webHidden/>
              </w:rPr>
              <w:instrText xml:space="preserve"> PAGEREF _Toc220842114 \h </w:instrText>
            </w:r>
            <w:r>
              <w:rPr>
                <w:noProof/>
                <w:webHidden/>
              </w:rPr>
            </w:r>
            <w:r>
              <w:rPr>
                <w:noProof/>
                <w:webHidden/>
              </w:rPr>
              <w:fldChar w:fldCharType="separate"/>
            </w:r>
            <w:r>
              <w:rPr>
                <w:noProof/>
                <w:webHidden/>
              </w:rPr>
              <w:t>30</w:t>
            </w:r>
            <w:r>
              <w:rPr>
                <w:noProof/>
                <w:webHidden/>
              </w:rPr>
              <w:fldChar w:fldCharType="end"/>
            </w:r>
          </w:hyperlink>
        </w:p>
        <w:p w14:paraId="68EF2C72" w14:textId="2127D19B" w:rsidR="00BA74BB" w:rsidRDefault="00BA74BB">
          <w:pPr>
            <w:pStyle w:val="TOC3"/>
            <w:tabs>
              <w:tab w:val="right" w:leader="dot" w:pos="9350"/>
            </w:tabs>
            <w:rPr>
              <w:rStyle w:val="Hyperlink"/>
              <w:noProof/>
            </w:rPr>
          </w:pPr>
          <w:hyperlink w:anchor="_Toc220842115" w:history="1">
            <w:r w:rsidRPr="00553C95">
              <w:rPr>
                <w:rStyle w:val="Hyperlink"/>
                <w:noProof/>
              </w:rPr>
              <w:t>3.</w:t>
            </w:r>
            <w:r>
              <w:rPr>
                <w:rStyle w:val="Hyperlink"/>
                <w:noProof/>
              </w:rPr>
              <w:t>5</w:t>
            </w:r>
            <w:r w:rsidRPr="00553C95">
              <w:rPr>
                <w:rStyle w:val="Hyperlink"/>
                <w:noProof/>
              </w:rPr>
              <w:t>.1 Search strategy</w:t>
            </w:r>
            <w:r>
              <w:rPr>
                <w:noProof/>
                <w:webHidden/>
              </w:rPr>
              <w:tab/>
            </w:r>
            <w:r>
              <w:rPr>
                <w:noProof/>
                <w:webHidden/>
              </w:rPr>
              <w:fldChar w:fldCharType="begin"/>
            </w:r>
            <w:r>
              <w:rPr>
                <w:noProof/>
                <w:webHidden/>
              </w:rPr>
              <w:instrText xml:space="preserve"> PAGEREF _Toc220842115 \h </w:instrText>
            </w:r>
            <w:r>
              <w:rPr>
                <w:noProof/>
                <w:webHidden/>
              </w:rPr>
            </w:r>
            <w:r>
              <w:rPr>
                <w:noProof/>
                <w:webHidden/>
              </w:rPr>
              <w:fldChar w:fldCharType="separate"/>
            </w:r>
            <w:r>
              <w:rPr>
                <w:noProof/>
                <w:webHidden/>
              </w:rPr>
              <w:t>30</w:t>
            </w:r>
            <w:r>
              <w:rPr>
                <w:noProof/>
                <w:webHidden/>
              </w:rPr>
              <w:fldChar w:fldCharType="end"/>
            </w:r>
          </w:hyperlink>
        </w:p>
        <w:p w14:paraId="4A472D2D" w14:textId="7D7B843A" w:rsidR="00BA74BB" w:rsidRPr="00BA74BB" w:rsidRDefault="00BA74BB" w:rsidP="00BA74BB">
          <w:r>
            <w:t xml:space="preserve">         3.5.2 Database search procedure…………………………………………………………………………………………………..31</w:t>
          </w:r>
        </w:p>
        <w:p w14:paraId="3A88F9A4" w14:textId="59F59F79"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6" w:history="1">
            <w:r w:rsidRPr="00553C95">
              <w:rPr>
                <w:rStyle w:val="Hyperlink"/>
                <w:noProof/>
              </w:rPr>
              <w:t>3.</w:t>
            </w:r>
            <w:r>
              <w:rPr>
                <w:rStyle w:val="Hyperlink"/>
                <w:noProof/>
              </w:rPr>
              <w:t>6</w:t>
            </w:r>
            <w:r w:rsidRPr="00553C95">
              <w:rPr>
                <w:rStyle w:val="Hyperlink"/>
                <w:noProof/>
              </w:rPr>
              <w:t xml:space="preserve"> Inclusion and Exclusion Criteria</w:t>
            </w:r>
            <w:r>
              <w:rPr>
                <w:noProof/>
                <w:webHidden/>
              </w:rPr>
              <w:tab/>
            </w:r>
            <w:r>
              <w:rPr>
                <w:noProof/>
                <w:webHidden/>
              </w:rPr>
              <w:fldChar w:fldCharType="begin"/>
            </w:r>
            <w:r>
              <w:rPr>
                <w:noProof/>
                <w:webHidden/>
              </w:rPr>
              <w:instrText xml:space="preserve"> PAGEREF _Toc220842116 \h </w:instrText>
            </w:r>
            <w:r>
              <w:rPr>
                <w:noProof/>
                <w:webHidden/>
              </w:rPr>
            </w:r>
            <w:r>
              <w:rPr>
                <w:noProof/>
                <w:webHidden/>
              </w:rPr>
              <w:fldChar w:fldCharType="separate"/>
            </w:r>
            <w:r>
              <w:rPr>
                <w:noProof/>
                <w:webHidden/>
              </w:rPr>
              <w:t>32</w:t>
            </w:r>
            <w:r>
              <w:rPr>
                <w:noProof/>
                <w:webHidden/>
              </w:rPr>
              <w:fldChar w:fldCharType="end"/>
            </w:r>
          </w:hyperlink>
        </w:p>
        <w:p w14:paraId="33DDD575" w14:textId="2AA71FC1"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7" w:history="1">
            <w:r w:rsidRPr="00553C95">
              <w:rPr>
                <w:rStyle w:val="Hyperlink"/>
                <w:noProof/>
              </w:rPr>
              <w:t>3.</w:t>
            </w:r>
            <w:r>
              <w:rPr>
                <w:rStyle w:val="Hyperlink"/>
                <w:noProof/>
              </w:rPr>
              <w:t>7</w:t>
            </w:r>
            <w:r w:rsidRPr="00553C95">
              <w:rPr>
                <w:rStyle w:val="Hyperlink"/>
                <w:noProof/>
              </w:rPr>
              <w:t xml:space="preserve"> Data characteristics /extraction</w:t>
            </w:r>
            <w:r>
              <w:rPr>
                <w:noProof/>
                <w:webHidden/>
              </w:rPr>
              <w:tab/>
            </w:r>
            <w:r>
              <w:rPr>
                <w:noProof/>
                <w:webHidden/>
              </w:rPr>
              <w:fldChar w:fldCharType="begin"/>
            </w:r>
            <w:r>
              <w:rPr>
                <w:noProof/>
                <w:webHidden/>
              </w:rPr>
              <w:instrText xml:space="preserve"> PAGEREF _Toc220842117 \h </w:instrText>
            </w:r>
            <w:r>
              <w:rPr>
                <w:noProof/>
                <w:webHidden/>
              </w:rPr>
            </w:r>
            <w:r>
              <w:rPr>
                <w:noProof/>
                <w:webHidden/>
              </w:rPr>
              <w:fldChar w:fldCharType="separate"/>
            </w:r>
            <w:r>
              <w:rPr>
                <w:noProof/>
                <w:webHidden/>
              </w:rPr>
              <w:t>32</w:t>
            </w:r>
            <w:r>
              <w:rPr>
                <w:noProof/>
                <w:webHidden/>
              </w:rPr>
              <w:fldChar w:fldCharType="end"/>
            </w:r>
          </w:hyperlink>
        </w:p>
        <w:p w14:paraId="6052AAEA" w14:textId="29BD9EEA"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8" w:history="1">
            <w:r w:rsidRPr="00553C95">
              <w:rPr>
                <w:rStyle w:val="Hyperlink"/>
                <w:noProof/>
              </w:rPr>
              <w:t>3.</w:t>
            </w:r>
            <w:r>
              <w:rPr>
                <w:rStyle w:val="Hyperlink"/>
                <w:noProof/>
              </w:rPr>
              <w:t>8</w:t>
            </w:r>
            <w:r w:rsidRPr="00553C95">
              <w:rPr>
                <w:rStyle w:val="Hyperlink"/>
                <w:noProof/>
              </w:rPr>
              <w:t xml:space="preserve"> Quality Assessment</w:t>
            </w:r>
            <w:r>
              <w:rPr>
                <w:noProof/>
                <w:webHidden/>
              </w:rPr>
              <w:tab/>
            </w:r>
            <w:r>
              <w:rPr>
                <w:noProof/>
                <w:webHidden/>
              </w:rPr>
              <w:fldChar w:fldCharType="begin"/>
            </w:r>
            <w:r>
              <w:rPr>
                <w:noProof/>
                <w:webHidden/>
              </w:rPr>
              <w:instrText xml:space="preserve"> PAGEREF _Toc220842118 \h </w:instrText>
            </w:r>
            <w:r>
              <w:rPr>
                <w:noProof/>
                <w:webHidden/>
              </w:rPr>
            </w:r>
            <w:r>
              <w:rPr>
                <w:noProof/>
                <w:webHidden/>
              </w:rPr>
              <w:fldChar w:fldCharType="separate"/>
            </w:r>
            <w:r>
              <w:rPr>
                <w:noProof/>
                <w:webHidden/>
              </w:rPr>
              <w:t>33</w:t>
            </w:r>
            <w:r>
              <w:rPr>
                <w:noProof/>
                <w:webHidden/>
              </w:rPr>
              <w:fldChar w:fldCharType="end"/>
            </w:r>
          </w:hyperlink>
        </w:p>
        <w:p w14:paraId="5E73C2CD" w14:textId="4E162F89"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19" w:history="1">
            <w:r w:rsidRPr="00553C95">
              <w:rPr>
                <w:rStyle w:val="Hyperlink"/>
                <w:noProof/>
              </w:rPr>
              <w:t>3.</w:t>
            </w:r>
            <w:r>
              <w:rPr>
                <w:rStyle w:val="Hyperlink"/>
                <w:noProof/>
              </w:rPr>
              <w:t>9</w:t>
            </w:r>
            <w:r w:rsidRPr="00553C95">
              <w:rPr>
                <w:rStyle w:val="Hyperlink"/>
                <w:noProof/>
              </w:rPr>
              <w:t xml:space="preserve"> Techniques for data-analysis</w:t>
            </w:r>
            <w:r>
              <w:rPr>
                <w:noProof/>
                <w:webHidden/>
              </w:rPr>
              <w:tab/>
            </w:r>
            <w:r>
              <w:rPr>
                <w:noProof/>
                <w:webHidden/>
              </w:rPr>
              <w:fldChar w:fldCharType="begin"/>
            </w:r>
            <w:r>
              <w:rPr>
                <w:noProof/>
                <w:webHidden/>
              </w:rPr>
              <w:instrText xml:space="preserve"> PAGEREF _Toc220842119 \h </w:instrText>
            </w:r>
            <w:r>
              <w:rPr>
                <w:noProof/>
                <w:webHidden/>
              </w:rPr>
            </w:r>
            <w:r>
              <w:rPr>
                <w:noProof/>
                <w:webHidden/>
              </w:rPr>
              <w:fldChar w:fldCharType="separate"/>
            </w:r>
            <w:r>
              <w:rPr>
                <w:noProof/>
                <w:webHidden/>
              </w:rPr>
              <w:t>33</w:t>
            </w:r>
            <w:r>
              <w:rPr>
                <w:noProof/>
                <w:webHidden/>
              </w:rPr>
              <w:fldChar w:fldCharType="end"/>
            </w:r>
          </w:hyperlink>
        </w:p>
        <w:p w14:paraId="1A050C9D" w14:textId="2DE4BE08"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0" w:history="1">
            <w:r w:rsidRPr="00553C95">
              <w:rPr>
                <w:rStyle w:val="Hyperlink"/>
                <w:noProof/>
              </w:rPr>
              <w:t>3.1</w:t>
            </w:r>
            <w:r>
              <w:rPr>
                <w:rStyle w:val="Hyperlink"/>
                <w:noProof/>
              </w:rPr>
              <w:t>0</w:t>
            </w:r>
            <w:r w:rsidRPr="00553C95">
              <w:rPr>
                <w:rStyle w:val="Hyperlink"/>
                <w:noProof/>
              </w:rPr>
              <w:t xml:space="preserve"> Ethical considerations</w:t>
            </w:r>
            <w:r>
              <w:rPr>
                <w:noProof/>
                <w:webHidden/>
              </w:rPr>
              <w:tab/>
            </w:r>
            <w:r>
              <w:rPr>
                <w:noProof/>
                <w:webHidden/>
              </w:rPr>
              <w:fldChar w:fldCharType="begin"/>
            </w:r>
            <w:r>
              <w:rPr>
                <w:noProof/>
                <w:webHidden/>
              </w:rPr>
              <w:instrText xml:space="preserve"> PAGEREF _Toc220842120 \h </w:instrText>
            </w:r>
            <w:r>
              <w:rPr>
                <w:noProof/>
                <w:webHidden/>
              </w:rPr>
            </w:r>
            <w:r>
              <w:rPr>
                <w:noProof/>
                <w:webHidden/>
              </w:rPr>
              <w:fldChar w:fldCharType="separate"/>
            </w:r>
            <w:r>
              <w:rPr>
                <w:noProof/>
                <w:webHidden/>
              </w:rPr>
              <w:t>34</w:t>
            </w:r>
            <w:r>
              <w:rPr>
                <w:noProof/>
                <w:webHidden/>
              </w:rPr>
              <w:fldChar w:fldCharType="end"/>
            </w:r>
          </w:hyperlink>
        </w:p>
        <w:p w14:paraId="4EC1AA37" w14:textId="2EBA48C5"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1" w:history="1">
            <w:r w:rsidRPr="00553C95">
              <w:rPr>
                <w:rStyle w:val="Hyperlink"/>
                <w:noProof/>
              </w:rPr>
              <w:t>3.1</w:t>
            </w:r>
            <w:r>
              <w:rPr>
                <w:rStyle w:val="Hyperlink"/>
                <w:noProof/>
              </w:rPr>
              <w:t>1</w:t>
            </w:r>
            <w:r w:rsidRPr="00553C95">
              <w:rPr>
                <w:rStyle w:val="Hyperlink"/>
                <w:noProof/>
              </w:rPr>
              <w:t xml:space="preserve"> Limitations of this study</w:t>
            </w:r>
            <w:r>
              <w:rPr>
                <w:noProof/>
                <w:webHidden/>
              </w:rPr>
              <w:tab/>
            </w:r>
            <w:r>
              <w:rPr>
                <w:noProof/>
                <w:webHidden/>
              </w:rPr>
              <w:fldChar w:fldCharType="begin"/>
            </w:r>
            <w:r>
              <w:rPr>
                <w:noProof/>
                <w:webHidden/>
              </w:rPr>
              <w:instrText xml:space="preserve"> PAGEREF _Toc220842121 \h </w:instrText>
            </w:r>
            <w:r>
              <w:rPr>
                <w:noProof/>
                <w:webHidden/>
              </w:rPr>
            </w:r>
            <w:r>
              <w:rPr>
                <w:noProof/>
                <w:webHidden/>
              </w:rPr>
              <w:fldChar w:fldCharType="separate"/>
            </w:r>
            <w:r>
              <w:rPr>
                <w:noProof/>
                <w:webHidden/>
              </w:rPr>
              <w:t>34</w:t>
            </w:r>
            <w:r>
              <w:rPr>
                <w:noProof/>
                <w:webHidden/>
              </w:rPr>
              <w:fldChar w:fldCharType="end"/>
            </w:r>
          </w:hyperlink>
        </w:p>
        <w:p w14:paraId="76ABEF3F" w14:textId="2F6D9BD7"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2" w:history="1">
            <w:r w:rsidRPr="00553C95">
              <w:rPr>
                <w:rStyle w:val="Hyperlink"/>
                <w:noProof/>
              </w:rPr>
              <w:t>3.1</w:t>
            </w:r>
            <w:r>
              <w:rPr>
                <w:rStyle w:val="Hyperlink"/>
                <w:noProof/>
              </w:rPr>
              <w:t>2</w:t>
            </w:r>
            <w:r w:rsidRPr="00553C95">
              <w:rPr>
                <w:rStyle w:val="Hyperlink"/>
                <w:noProof/>
              </w:rPr>
              <w:t xml:space="preserve"> Summary of the Chapter</w:t>
            </w:r>
            <w:r>
              <w:rPr>
                <w:noProof/>
                <w:webHidden/>
              </w:rPr>
              <w:tab/>
            </w:r>
            <w:r>
              <w:rPr>
                <w:noProof/>
                <w:webHidden/>
              </w:rPr>
              <w:fldChar w:fldCharType="begin"/>
            </w:r>
            <w:r>
              <w:rPr>
                <w:noProof/>
                <w:webHidden/>
              </w:rPr>
              <w:instrText xml:space="preserve"> PAGEREF _Toc220842122 \h </w:instrText>
            </w:r>
            <w:r>
              <w:rPr>
                <w:noProof/>
                <w:webHidden/>
              </w:rPr>
            </w:r>
            <w:r>
              <w:rPr>
                <w:noProof/>
                <w:webHidden/>
              </w:rPr>
              <w:fldChar w:fldCharType="separate"/>
            </w:r>
            <w:r>
              <w:rPr>
                <w:noProof/>
                <w:webHidden/>
              </w:rPr>
              <w:t>34</w:t>
            </w:r>
            <w:r>
              <w:rPr>
                <w:noProof/>
                <w:webHidden/>
              </w:rPr>
              <w:fldChar w:fldCharType="end"/>
            </w:r>
          </w:hyperlink>
        </w:p>
        <w:p w14:paraId="3D0639F9" w14:textId="69FE5A2C"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123" w:history="1">
            <w:r w:rsidRPr="00553C95">
              <w:rPr>
                <w:rStyle w:val="Hyperlink"/>
                <w:noProof/>
              </w:rPr>
              <w:t>Chapter 4: Results</w:t>
            </w:r>
            <w:r>
              <w:rPr>
                <w:noProof/>
                <w:webHidden/>
              </w:rPr>
              <w:tab/>
            </w:r>
            <w:r>
              <w:rPr>
                <w:noProof/>
                <w:webHidden/>
              </w:rPr>
              <w:fldChar w:fldCharType="begin"/>
            </w:r>
            <w:r>
              <w:rPr>
                <w:noProof/>
                <w:webHidden/>
              </w:rPr>
              <w:instrText xml:space="preserve"> PAGEREF _Toc220842123 \h </w:instrText>
            </w:r>
            <w:r>
              <w:rPr>
                <w:noProof/>
                <w:webHidden/>
              </w:rPr>
            </w:r>
            <w:r>
              <w:rPr>
                <w:noProof/>
                <w:webHidden/>
              </w:rPr>
              <w:fldChar w:fldCharType="separate"/>
            </w:r>
            <w:r>
              <w:rPr>
                <w:noProof/>
                <w:webHidden/>
              </w:rPr>
              <w:t>36</w:t>
            </w:r>
            <w:r>
              <w:rPr>
                <w:noProof/>
                <w:webHidden/>
              </w:rPr>
              <w:fldChar w:fldCharType="end"/>
            </w:r>
          </w:hyperlink>
        </w:p>
        <w:p w14:paraId="32EAE97D" w14:textId="7DD82869"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4" w:history="1">
            <w:r w:rsidRPr="00553C95">
              <w:rPr>
                <w:rStyle w:val="Hyperlink"/>
                <w:noProof/>
              </w:rPr>
              <w:t>4.1 Introduction</w:t>
            </w:r>
            <w:r>
              <w:rPr>
                <w:noProof/>
                <w:webHidden/>
              </w:rPr>
              <w:tab/>
            </w:r>
            <w:r>
              <w:rPr>
                <w:noProof/>
                <w:webHidden/>
              </w:rPr>
              <w:fldChar w:fldCharType="begin"/>
            </w:r>
            <w:r>
              <w:rPr>
                <w:noProof/>
                <w:webHidden/>
              </w:rPr>
              <w:instrText xml:space="preserve"> PAGEREF _Toc220842124 \h </w:instrText>
            </w:r>
            <w:r>
              <w:rPr>
                <w:noProof/>
                <w:webHidden/>
              </w:rPr>
            </w:r>
            <w:r>
              <w:rPr>
                <w:noProof/>
                <w:webHidden/>
              </w:rPr>
              <w:fldChar w:fldCharType="separate"/>
            </w:r>
            <w:r>
              <w:rPr>
                <w:noProof/>
                <w:webHidden/>
              </w:rPr>
              <w:t>36</w:t>
            </w:r>
            <w:r>
              <w:rPr>
                <w:noProof/>
                <w:webHidden/>
              </w:rPr>
              <w:fldChar w:fldCharType="end"/>
            </w:r>
          </w:hyperlink>
        </w:p>
        <w:p w14:paraId="790C26B1" w14:textId="7680A72E"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5" w:history="1">
            <w:r w:rsidRPr="00553C95">
              <w:rPr>
                <w:rStyle w:val="Hyperlink"/>
                <w:noProof/>
              </w:rPr>
              <w:t>4.2 PRISMA</w:t>
            </w:r>
            <w:r>
              <w:rPr>
                <w:noProof/>
                <w:webHidden/>
              </w:rPr>
              <w:tab/>
            </w:r>
            <w:r>
              <w:rPr>
                <w:noProof/>
                <w:webHidden/>
              </w:rPr>
              <w:fldChar w:fldCharType="begin"/>
            </w:r>
            <w:r>
              <w:rPr>
                <w:noProof/>
                <w:webHidden/>
              </w:rPr>
              <w:instrText xml:space="preserve"> PAGEREF _Toc220842125 \h </w:instrText>
            </w:r>
            <w:r>
              <w:rPr>
                <w:noProof/>
                <w:webHidden/>
              </w:rPr>
            </w:r>
            <w:r>
              <w:rPr>
                <w:noProof/>
                <w:webHidden/>
              </w:rPr>
              <w:fldChar w:fldCharType="separate"/>
            </w:r>
            <w:r>
              <w:rPr>
                <w:noProof/>
                <w:webHidden/>
              </w:rPr>
              <w:t>36</w:t>
            </w:r>
            <w:r>
              <w:rPr>
                <w:noProof/>
                <w:webHidden/>
              </w:rPr>
              <w:fldChar w:fldCharType="end"/>
            </w:r>
          </w:hyperlink>
        </w:p>
        <w:p w14:paraId="62353CAD" w14:textId="02CC8A23"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6" w:history="1">
            <w:r w:rsidRPr="00553C95">
              <w:rPr>
                <w:rStyle w:val="Hyperlink"/>
                <w:noProof/>
              </w:rPr>
              <w:t>4.3 Characteristics Table</w:t>
            </w:r>
            <w:r>
              <w:rPr>
                <w:noProof/>
                <w:webHidden/>
              </w:rPr>
              <w:tab/>
            </w:r>
            <w:r>
              <w:rPr>
                <w:noProof/>
                <w:webHidden/>
              </w:rPr>
              <w:fldChar w:fldCharType="begin"/>
            </w:r>
            <w:r>
              <w:rPr>
                <w:noProof/>
                <w:webHidden/>
              </w:rPr>
              <w:instrText xml:space="preserve"> PAGEREF _Toc220842126 \h </w:instrText>
            </w:r>
            <w:r>
              <w:rPr>
                <w:noProof/>
                <w:webHidden/>
              </w:rPr>
            </w:r>
            <w:r>
              <w:rPr>
                <w:noProof/>
                <w:webHidden/>
              </w:rPr>
              <w:fldChar w:fldCharType="separate"/>
            </w:r>
            <w:r>
              <w:rPr>
                <w:noProof/>
                <w:webHidden/>
              </w:rPr>
              <w:t>37</w:t>
            </w:r>
            <w:r>
              <w:rPr>
                <w:noProof/>
                <w:webHidden/>
              </w:rPr>
              <w:fldChar w:fldCharType="end"/>
            </w:r>
          </w:hyperlink>
        </w:p>
        <w:p w14:paraId="2F6593BD" w14:textId="463E7F1F"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7" w:history="1">
            <w:r w:rsidRPr="00553C95">
              <w:rPr>
                <w:rStyle w:val="Hyperlink"/>
                <w:noProof/>
              </w:rPr>
              <w:t>4.3 Themes identification and discussion</w:t>
            </w:r>
            <w:r>
              <w:rPr>
                <w:noProof/>
                <w:webHidden/>
              </w:rPr>
              <w:tab/>
            </w:r>
            <w:r>
              <w:rPr>
                <w:noProof/>
                <w:webHidden/>
              </w:rPr>
              <w:fldChar w:fldCharType="begin"/>
            </w:r>
            <w:r>
              <w:rPr>
                <w:noProof/>
                <w:webHidden/>
              </w:rPr>
              <w:instrText xml:space="preserve"> PAGEREF _Toc220842127 \h </w:instrText>
            </w:r>
            <w:r>
              <w:rPr>
                <w:noProof/>
                <w:webHidden/>
              </w:rPr>
            </w:r>
            <w:r>
              <w:rPr>
                <w:noProof/>
                <w:webHidden/>
              </w:rPr>
              <w:fldChar w:fldCharType="separate"/>
            </w:r>
            <w:r>
              <w:rPr>
                <w:noProof/>
                <w:webHidden/>
              </w:rPr>
              <w:t>42</w:t>
            </w:r>
            <w:r>
              <w:rPr>
                <w:noProof/>
                <w:webHidden/>
              </w:rPr>
              <w:fldChar w:fldCharType="end"/>
            </w:r>
          </w:hyperlink>
        </w:p>
        <w:p w14:paraId="66E179CC" w14:textId="132C275D"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8" w:history="1">
            <w:r w:rsidRPr="00553C95">
              <w:rPr>
                <w:rStyle w:val="Hyperlink"/>
                <w:noProof/>
              </w:rPr>
              <w:t>4.4. Summary of the main findings</w:t>
            </w:r>
            <w:r>
              <w:rPr>
                <w:noProof/>
                <w:webHidden/>
              </w:rPr>
              <w:tab/>
            </w:r>
            <w:r>
              <w:rPr>
                <w:noProof/>
                <w:webHidden/>
              </w:rPr>
              <w:fldChar w:fldCharType="begin"/>
            </w:r>
            <w:r>
              <w:rPr>
                <w:noProof/>
                <w:webHidden/>
              </w:rPr>
              <w:instrText xml:space="preserve"> PAGEREF _Toc220842128 \h </w:instrText>
            </w:r>
            <w:r>
              <w:rPr>
                <w:noProof/>
                <w:webHidden/>
              </w:rPr>
            </w:r>
            <w:r>
              <w:rPr>
                <w:noProof/>
                <w:webHidden/>
              </w:rPr>
              <w:fldChar w:fldCharType="separate"/>
            </w:r>
            <w:r>
              <w:rPr>
                <w:noProof/>
                <w:webHidden/>
              </w:rPr>
              <w:t>47</w:t>
            </w:r>
            <w:r>
              <w:rPr>
                <w:noProof/>
                <w:webHidden/>
              </w:rPr>
              <w:fldChar w:fldCharType="end"/>
            </w:r>
          </w:hyperlink>
        </w:p>
        <w:p w14:paraId="730A7387" w14:textId="2A17D33C"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29" w:history="1">
            <w:r w:rsidRPr="00553C95">
              <w:rPr>
                <w:rStyle w:val="Hyperlink"/>
                <w:noProof/>
              </w:rPr>
              <w:t>4.5 Summary of the Chapter</w:t>
            </w:r>
            <w:r>
              <w:rPr>
                <w:noProof/>
                <w:webHidden/>
              </w:rPr>
              <w:tab/>
            </w:r>
            <w:r>
              <w:rPr>
                <w:noProof/>
                <w:webHidden/>
              </w:rPr>
              <w:fldChar w:fldCharType="begin"/>
            </w:r>
            <w:r>
              <w:rPr>
                <w:noProof/>
                <w:webHidden/>
              </w:rPr>
              <w:instrText xml:space="preserve"> PAGEREF _Toc220842129 \h </w:instrText>
            </w:r>
            <w:r>
              <w:rPr>
                <w:noProof/>
                <w:webHidden/>
              </w:rPr>
            </w:r>
            <w:r>
              <w:rPr>
                <w:noProof/>
                <w:webHidden/>
              </w:rPr>
              <w:fldChar w:fldCharType="separate"/>
            </w:r>
            <w:r>
              <w:rPr>
                <w:noProof/>
                <w:webHidden/>
              </w:rPr>
              <w:t>51</w:t>
            </w:r>
            <w:r>
              <w:rPr>
                <w:noProof/>
                <w:webHidden/>
              </w:rPr>
              <w:fldChar w:fldCharType="end"/>
            </w:r>
          </w:hyperlink>
        </w:p>
        <w:p w14:paraId="72FEFBE0" w14:textId="3D272B2B"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130" w:history="1">
            <w:r w:rsidRPr="00553C95">
              <w:rPr>
                <w:rStyle w:val="Hyperlink"/>
                <w:noProof/>
              </w:rPr>
              <w:t>Chapter 5: Discussion</w:t>
            </w:r>
            <w:r>
              <w:rPr>
                <w:noProof/>
                <w:webHidden/>
              </w:rPr>
              <w:tab/>
            </w:r>
            <w:r>
              <w:rPr>
                <w:noProof/>
                <w:webHidden/>
              </w:rPr>
              <w:fldChar w:fldCharType="begin"/>
            </w:r>
            <w:r>
              <w:rPr>
                <w:noProof/>
                <w:webHidden/>
              </w:rPr>
              <w:instrText xml:space="preserve"> PAGEREF _Toc220842130 \h </w:instrText>
            </w:r>
            <w:r>
              <w:rPr>
                <w:noProof/>
                <w:webHidden/>
              </w:rPr>
            </w:r>
            <w:r>
              <w:rPr>
                <w:noProof/>
                <w:webHidden/>
              </w:rPr>
              <w:fldChar w:fldCharType="separate"/>
            </w:r>
            <w:r>
              <w:rPr>
                <w:noProof/>
                <w:webHidden/>
              </w:rPr>
              <w:t>52</w:t>
            </w:r>
            <w:r>
              <w:rPr>
                <w:noProof/>
                <w:webHidden/>
              </w:rPr>
              <w:fldChar w:fldCharType="end"/>
            </w:r>
          </w:hyperlink>
        </w:p>
        <w:p w14:paraId="3B11A7B4" w14:textId="508C1081"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1" w:history="1">
            <w:r w:rsidRPr="00553C95">
              <w:rPr>
                <w:rStyle w:val="Hyperlink"/>
                <w:noProof/>
              </w:rPr>
              <w:t>5.1 Introduction</w:t>
            </w:r>
            <w:r>
              <w:rPr>
                <w:noProof/>
                <w:webHidden/>
              </w:rPr>
              <w:tab/>
            </w:r>
            <w:r>
              <w:rPr>
                <w:noProof/>
                <w:webHidden/>
              </w:rPr>
              <w:fldChar w:fldCharType="begin"/>
            </w:r>
            <w:r>
              <w:rPr>
                <w:noProof/>
                <w:webHidden/>
              </w:rPr>
              <w:instrText xml:space="preserve"> PAGEREF _Toc220842131 \h </w:instrText>
            </w:r>
            <w:r>
              <w:rPr>
                <w:noProof/>
                <w:webHidden/>
              </w:rPr>
            </w:r>
            <w:r>
              <w:rPr>
                <w:noProof/>
                <w:webHidden/>
              </w:rPr>
              <w:fldChar w:fldCharType="separate"/>
            </w:r>
            <w:r>
              <w:rPr>
                <w:noProof/>
                <w:webHidden/>
              </w:rPr>
              <w:t>52</w:t>
            </w:r>
            <w:r>
              <w:rPr>
                <w:noProof/>
                <w:webHidden/>
              </w:rPr>
              <w:fldChar w:fldCharType="end"/>
            </w:r>
          </w:hyperlink>
        </w:p>
        <w:p w14:paraId="2F5B6A73" w14:textId="55D92A01"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2" w:history="1">
            <w:r w:rsidRPr="00553C95">
              <w:rPr>
                <w:rStyle w:val="Hyperlink"/>
                <w:noProof/>
              </w:rPr>
              <w:t>5.2 Discussion</w:t>
            </w:r>
            <w:r>
              <w:rPr>
                <w:noProof/>
                <w:webHidden/>
              </w:rPr>
              <w:tab/>
            </w:r>
            <w:r>
              <w:rPr>
                <w:noProof/>
                <w:webHidden/>
              </w:rPr>
              <w:fldChar w:fldCharType="begin"/>
            </w:r>
            <w:r>
              <w:rPr>
                <w:noProof/>
                <w:webHidden/>
              </w:rPr>
              <w:instrText xml:space="preserve"> PAGEREF _Toc220842132 \h </w:instrText>
            </w:r>
            <w:r>
              <w:rPr>
                <w:noProof/>
                <w:webHidden/>
              </w:rPr>
            </w:r>
            <w:r>
              <w:rPr>
                <w:noProof/>
                <w:webHidden/>
              </w:rPr>
              <w:fldChar w:fldCharType="separate"/>
            </w:r>
            <w:r>
              <w:rPr>
                <w:noProof/>
                <w:webHidden/>
              </w:rPr>
              <w:t>52</w:t>
            </w:r>
            <w:r>
              <w:rPr>
                <w:noProof/>
                <w:webHidden/>
              </w:rPr>
              <w:fldChar w:fldCharType="end"/>
            </w:r>
          </w:hyperlink>
        </w:p>
        <w:p w14:paraId="610F913F" w14:textId="71767259"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3" w:history="1">
            <w:r w:rsidRPr="00553C95">
              <w:rPr>
                <w:rStyle w:val="Hyperlink"/>
                <w:noProof/>
              </w:rPr>
              <w:t>5.3. Critical evaluation of findings and comparison with other studies</w:t>
            </w:r>
            <w:r>
              <w:rPr>
                <w:noProof/>
                <w:webHidden/>
              </w:rPr>
              <w:tab/>
            </w:r>
            <w:r>
              <w:rPr>
                <w:noProof/>
                <w:webHidden/>
              </w:rPr>
              <w:fldChar w:fldCharType="begin"/>
            </w:r>
            <w:r>
              <w:rPr>
                <w:noProof/>
                <w:webHidden/>
              </w:rPr>
              <w:instrText xml:space="preserve"> PAGEREF _Toc220842133 \h </w:instrText>
            </w:r>
            <w:r>
              <w:rPr>
                <w:noProof/>
                <w:webHidden/>
              </w:rPr>
            </w:r>
            <w:r>
              <w:rPr>
                <w:noProof/>
                <w:webHidden/>
              </w:rPr>
              <w:fldChar w:fldCharType="separate"/>
            </w:r>
            <w:r>
              <w:rPr>
                <w:noProof/>
                <w:webHidden/>
              </w:rPr>
              <w:t>52</w:t>
            </w:r>
            <w:r>
              <w:rPr>
                <w:noProof/>
                <w:webHidden/>
              </w:rPr>
              <w:fldChar w:fldCharType="end"/>
            </w:r>
          </w:hyperlink>
        </w:p>
        <w:p w14:paraId="2D440510" w14:textId="721BDF76"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4" w:history="1">
            <w:r w:rsidRPr="00553C95">
              <w:rPr>
                <w:rStyle w:val="Hyperlink"/>
                <w:noProof/>
              </w:rPr>
              <w:t>5.4 Summary of the Chapter</w:t>
            </w:r>
            <w:r>
              <w:rPr>
                <w:noProof/>
                <w:webHidden/>
              </w:rPr>
              <w:tab/>
            </w:r>
            <w:r>
              <w:rPr>
                <w:noProof/>
                <w:webHidden/>
              </w:rPr>
              <w:fldChar w:fldCharType="begin"/>
            </w:r>
            <w:r>
              <w:rPr>
                <w:noProof/>
                <w:webHidden/>
              </w:rPr>
              <w:instrText xml:space="preserve"> PAGEREF _Toc220842134 \h </w:instrText>
            </w:r>
            <w:r>
              <w:rPr>
                <w:noProof/>
                <w:webHidden/>
              </w:rPr>
            </w:r>
            <w:r>
              <w:rPr>
                <w:noProof/>
                <w:webHidden/>
              </w:rPr>
              <w:fldChar w:fldCharType="separate"/>
            </w:r>
            <w:r>
              <w:rPr>
                <w:noProof/>
                <w:webHidden/>
              </w:rPr>
              <w:t>55</w:t>
            </w:r>
            <w:r>
              <w:rPr>
                <w:noProof/>
                <w:webHidden/>
              </w:rPr>
              <w:fldChar w:fldCharType="end"/>
            </w:r>
          </w:hyperlink>
        </w:p>
        <w:p w14:paraId="25831539" w14:textId="105806D8"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135" w:history="1">
            <w:r w:rsidRPr="00553C95">
              <w:rPr>
                <w:rStyle w:val="Hyperlink"/>
                <w:noProof/>
              </w:rPr>
              <w:t>Chapter 6: Conclusion</w:t>
            </w:r>
            <w:r>
              <w:rPr>
                <w:noProof/>
                <w:webHidden/>
              </w:rPr>
              <w:tab/>
            </w:r>
            <w:r>
              <w:rPr>
                <w:noProof/>
                <w:webHidden/>
              </w:rPr>
              <w:fldChar w:fldCharType="begin"/>
            </w:r>
            <w:r>
              <w:rPr>
                <w:noProof/>
                <w:webHidden/>
              </w:rPr>
              <w:instrText xml:space="preserve"> PAGEREF _Toc220842135 \h </w:instrText>
            </w:r>
            <w:r>
              <w:rPr>
                <w:noProof/>
                <w:webHidden/>
              </w:rPr>
            </w:r>
            <w:r>
              <w:rPr>
                <w:noProof/>
                <w:webHidden/>
              </w:rPr>
              <w:fldChar w:fldCharType="separate"/>
            </w:r>
            <w:r>
              <w:rPr>
                <w:noProof/>
                <w:webHidden/>
              </w:rPr>
              <w:t>56</w:t>
            </w:r>
            <w:r>
              <w:rPr>
                <w:noProof/>
                <w:webHidden/>
              </w:rPr>
              <w:fldChar w:fldCharType="end"/>
            </w:r>
          </w:hyperlink>
        </w:p>
        <w:p w14:paraId="30D20074" w14:textId="75DAA182"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6" w:history="1">
            <w:r w:rsidRPr="00553C95">
              <w:rPr>
                <w:rStyle w:val="Hyperlink"/>
                <w:noProof/>
              </w:rPr>
              <w:t>6.1 Main Research Question</w:t>
            </w:r>
            <w:r>
              <w:rPr>
                <w:noProof/>
                <w:webHidden/>
              </w:rPr>
              <w:tab/>
            </w:r>
            <w:r>
              <w:rPr>
                <w:noProof/>
                <w:webHidden/>
              </w:rPr>
              <w:fldChar w:fldCharType="begin"/>
            </w:r>
            <w:r>
              <w:rPr>
                <w:noProof/>
                <w:webHidden/>
              </w:rPr>
              <w:instrText xml:space="preserve"> PAGEREF _Toc220842136 \h </w:instrText>
            </w:r>
            <w:r>
              <w:rPr>
                <w:noProof/>
                <w:webHidden/>
              </w:rPr>
            </w:r>
            <w:r>
              <w:rPr>
                <w:noProof/>
                <w:webHidden/>
              </w:rPr>
              <w:fldChar w:fldCharType="separate"/>
            </w:r>
            <w:r>
              <w:rPr>
                <w:noProof/>
                <w:webHidden/>
              </w:rPr>
              <w:t>56</w:t>
            </w:r>
            <w:r>
              <w:rPr>
                <w:noProof/>
                <w:webHidden/>
              </w:rPr>
              <w:fldChar w:fldCharType="end"/>
            </w:r>
          </w:hyperlink>
        </w:p>
        <w:p w14:paraId="03682654" w14:textId="553EED56"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7" w:history="1">
            <w:r w:rsidRPr="00553C95">
              <w:rPr>
                <w:rStyle w:val="Hyperlink"/>
                <w:noProof/>
              </w:rPr>
              <w:t>6.2 Key findings from the objectives of this research</w:t>
            </w:r>
            <w:r>
              <w:rPr>
                <w:noProof/>
                <w:webHidden/>
              </w:rPr>
              <w:tab/>
            </w:r>
            <w:r>
              <w:rPr>
                <w:noProof/>
                <w:webHidden/>
              </w:rPr>
              <w:fldChar w:fldCharType="begin"/>
            </w:r>
            <w:r>
              <w:rPr>
                <w:noProof/>
                <w:webHidden/>
              </w:rPr>
              <w:instrText xml:space="preserve"> PAGEREF _Toc220842137 \h </w:instrText>
            </w:r>
            <w:r>
              <w:rPr>
                <w:noProof/>
                <w:webHidden/>
              </w:rPr>
            </w:r>
            <w:r>
              <w:rPr>
                <w:noProof/>
                <w:webHidden/>
              </w:rPr>
              <w:fldChar w:fldCharType="separate"/>
            </w:r>
            <w:r>
              <w:rPr>
                <w:noProof/>
                <w:webHidden/>
              </w:rPr>
              <w:t>56</w:t>
            </w:r>
            <w:r>
              <w:rPr>
                <w:noProof/>
                <w:webHidden/>
              </w:rPr>
              <w:fldChar w:fldCharType="end"/>
            </w:r>
          </w:hyperlink>
        </w:p>
        <w:p w14:paraId="4D93233B" w14:textId="7BA7D77F"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8" w:history="1">
            <w:r w:rsidRPr="00553C95">
              <w:rPr>
                <w:rStyle w:val="Hyperlink"/>
                <w:noProof/>
              </w:rPr>
              <w:t>6.3 Implications and future research</w:t>
            </w:r>
            <w:r>
              <w:rPr>
                <w:noProof/>
                <w:webHidden/>
              </w:rPr>
              <w:tab/>
            </w:r>
            <w:r>
              <w:rPr>
                <w:noProof/>
                <w:webHidden/>
              </w:rPr>
              <w:fldChar w:fldCharType="begin"/>
            </w:r>
            <w:r>
              <w:rPr>
                <w:noProof/>
                <w:webHidden/>
              </w:rPr>
              <w:instrText xml:space="preserve"> PAGEREF _Toc220842138 \h </w:instrText>
            </w:r>
            <w:r>
              <w:rPr>
                <w:noProof/>
                <w:webHidden/>
              </w:rPr>
            </w:r>
            <w:r>
              <w:rPr>
                <w:noProof/>
                <w:webHidden/>
              </w:rPr>
              <w:fldChar w:fldCharType="separate"/>
            </w:r>
            <w:r>
              <w:rPr>
                <w:noProof/>
                <w:webHidden/>
              </w:rPr>
              <w:t>57</w:t>
            </w:r>
            <w:r>
              <w:rPr>
                <w:noProof/>
                <w:webHidden/>
              </w:rPr>
              <w:fldChar w:fldCharType="end"/>
            </w:r>
          </w:hyperlink>
        </w:p>
        <w:p w14:paraId="20BB698C" w14:textId="1F5E7E91"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39" w:history="1">
            <w:r w:rsidRPr="00553C95">
              <w:rPr>
                <w:rStyle w:val="Hyperlink"/>
                <w:noProof/>
              </w:rPr>
              <w:t>6.4 Strengths and Limitations</w:t>
            </w:r>
            <w:r>
              <w:rPr>
                <w:noProof/>
                <w:webHidden/>
              </w:rPr>
              <w:tab/>
            </w:r>
            <w:r>
              <w:rPr>
                <w:noProof/>
                <w:webHidden/>
              </w:rPr>
              <w:fldChar w:fldCharType="begin"/>
            </w:r>
            <w:r>
              <w:rPr>
                <w:noProof/>
                <w:webHidden/>
              </w:rPr>
              <w:instrText xml:space="preserve"> PAGEREF _Toc220842139 \h </w:instrText>
            </w:r>
            <w:r>
              <w:rPr>
                <w:noProof/>
                <w:webHidden/>
              </w:rPr>
            </w:r>
            <w:r>
              <w:rPr>
                <w:noProof/>
                <w:webHidden/>
              </w:rPr>
              <w:fldChar w:fldCharType="separate"/>
            </w:r>
            <w:r>
              <w:rPr>
                <w:noProof/>
                <w:webHidden/>
              </w:rPr>
              <w:t>57</w:t>
            </w:r>
            <w:r>
              <w:rPr>
                <w:noProof/>
                <w:webHidden/>
              </w:rPr>
              <w:fldChar w:fldCharType="end"/>
            </w:r>
          </w:hyperlink>
        </w:p>
        <w:p w14:paraId="50CCF4E7" w14:textId="7A3F00E7"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40" w:history="1">
            <w:r w:rsidRPr="00553C95">
              <w:rPr>
                <w:rStyle w:val="Hyperlink"/>
                <w:noProof/>
              </w:rPr>
              <w:t>6.5 Reflect on the research</w:t>
            </w:r>
            <w:r>
              <w:rPr>
                <w:noProof/>
                <w:webHidden/>
              </w:rPr>
              <w:tab/>
            </w:r>
            <w:r>
              <w:rPr>
                <w:noProof/>
                <w:webHidden/>
              </w:rPr>
              <w:fldChar w:fldCharType="begin"/>
            </w:r>
            <w:r>
              <w:rPr>
                <w:noProof/>
                <w:webHidden/>
              </w:rPr>
              <w:instrText xml:space="preserve"> PAGEREF _Toc220842140 \h </w:instrText>
            </w:r>
            <w:r>
              <w:rPr>
                <w:noProof/>
                <w:webHidden/>
              </w:rPr>
            </w:r>
            <w:r>
              <w:rPr>
                <w:noProof/>
                <w:webHidden/>
              </w:rPr>
              <w:fldChar w:fldCharType="separate"/>
            </w:r>
            <w:r>
              <w:rPr>
                <w:noProof/>
                <w:webHidden/>
              </w:rPr>
              <w:t>58</w:t>
            </w:r>
            <w:r>
              <w:rPr>
                <w:noProof/>
                <w:webHidden/>
              </w:rPr>
              <w:fldChar w:fldCharType="end"/>
            </w:r>
          </w:hyperlink>
        </w:p>
        <w:p w14:paraId="61DC21F9" w14:textId="0CB30CB8"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41" w:history="1">
            <w:r w:rsidRPr="00553C95">
              <w:rPr>
                <w:rStyle w:val="Hyperlink"/>
                <w:noProof/>
              </w:rPr>
              <w:t>6.6 Recommendations</w:t>
            </w:r>
            <w:r>
              <w:rPr>
                <w:noProof/>
                <w:webHidden/>
              </w:rPr>
              <w:tab/>
            </w:r>
            <w:r>
              <w:rPr>
                <w:noProof/>
                <w:webHidden/>
              </w:rPr>
              <w:fldChar w:fldCharType="begin"/>
            </w:r>
            <w:r>
              <w:rPr>
                <w:noProof/>
                <w:webHidden/>
              </w:rPr>
              <w:instrText xml:space="preserve"> PAGEREF _Toc220842141 \h </w:instrText>
            </w:r>
            <w:r>
              <w:rPr>
                <w:noProof/>
                <w:webHidden/>
              </w:rPr>
            </w:r>
            <w:r>
              <w:rPr>
                <w:noProof/>
                <w:webHidden/>
              </w:rPr>
              <w:fldChar w:fldCharType="separate"/>
            </w:r>
            <w:r>
              <w:rPr>
                <w:noProof/>
                <w:webHidden/>
              </w:rPr>
              <w:t>58</w:t>
            </w:r>
            <w:r>
              <w:rPr>
                <w:noProof/>
                <w:webHidden/>
              </w:rPr>
              <w:fldChar w:fldCharType="end"/>
            </w:r>
          </w:hyperlink>
        </w:p>
        <w:p w14:paraId="5510486A" w14:textId="0D756DA6" w:rsidR="00BA74BB" w:rsidRDefault="00BA74BB">
          <w:pPr>
            <w:pStyle w:val="TOC2"/>
            <w:tabs>
              <w:tab w:val="right" w:leader="dot" w:pos="9350"/>
            </w:tabs>
            <w:rPr>
              <w:rFonts w:asciiTheme="minorHAnsi" w:eastAsiaTheme="minorEastAsia" w:hAnsiTheme="minorHAnsi" w:cstheme="minorBidi"/>
              <w:noProof/>
              <w:kern w:val="2"/>
              <w:sz w:val="24"/>
              <w:szCs w:val="24"/>
              <w:lang w:val="en-IN" w:bidi="gu-IN"/>
              <w14:ligatures w14:val="standardContextual"/>
            </w:rPr>
          </w:pPr>
          <w:hyperlink w:anchor="_Toc220842142" w:history="1">
            <w:r w:rsidRPr="00553C95">
              <w:rPr>
                <w:rStyle w:val="Hyperlink"/>
                <w:noProof/>
              </w:rPr>
              <w:t>6.7 Contribution</w:t>
            </w:r>
            <w:r>
              <w:rPr>
                <w:noProof/>
                <w:webHidden/>
              </w:rPr>
              <w:tab/>
            </w:r>
            <w:r>
              <w:rPr>
                <w:noProof/>
                <w:webHidden/>
              </w:rPr>
              <w:fldChar w:fldCharType="begin"/>
            </w:r>
            <w:r>
              <w:rPr>
                <w:noProof/>
                <w:webHidden/>
              </w:rPr>
              <w:instrText xml:space="preserve"> PAGEREF _Toc220842142 \h </w:instrText>
            </w:r>
            <w:r>
              <w:rPr>
                <w:noProof/>
                <w:webHidden/>
              </w:rPr>
            </w:r>
            <w:r>
              <w:rPr>
                <w:noProof/>
                <w:webHidden/>
              </w:rPr>
              <w:fldChar w:fldCharType="separate"/>
            </w:r>
            <w:r>
              <w:rPr>
                <w:noProof/>
                <w:webHidden/>
              </w:rPr>
              <w:t>60</w:t>
            </w:r>
            <w:r>
              <w:rPr>
                <w:noProof/>
                <w:webHidden/>
              </w:rPr>
              <w:fldChar w:fldCharType="end"/>
            </w:r>
          </w:hyperlink>
        </w:p>
        <w:p w14:paraId="6CB6E71E" w14:textId="21BEE149"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143" w:history="1">
            <w:r w:rsidRPr="00553C95">
              <w:rPr>
                <w:rStyle w:val="Hyperlink"/>
                <w:noProof/>
              </w:rPr>
              <w:t>Reference list</w:t>
            </w:r>
            <w:r>
              <w:rPr>
                <w:noProof/>
                <w:webHidden/>
              </w:rPr>
              <w:tab/>
            </w:r>
            <w:r>
              <w:rPr>
                <w:noProof/>
                <w:webHidden/>
              </w:rPr>
              <w:fldChar w:fldCharType="begin"/>
            </w:r>
            <w:r>
              <w:rPr>
                <w:noProof/>
                <w:webHidden/>
              </w:rPr>
              <w:instrText xml:space="preserve"> PAGEREF _Toc220842143 \h </w:instrText>
            </w:r>
            <w:r>
              <w:rPr>
                <w:noProof/>
                <w:webHidden/>
              </w:rPr>
            </w:r>
            <w:r>
              <w:rPr>
                <w:noProof/>
                <w:webHidden/>
              </w:rPr>
              <w:fldChar w:fldCharType="separate"/>
            </w:r>
            <w:r>
              <w:rPr>
                <w:noProof/>
                <w:webHidden/>
              </w:rPr>
              <w:t>61</w:t>
            </w:r>
            <w:r>
              <w:rPr>
                <w:noProof/>
                <w:webHidden/>
              </w:rPr>
              <w:fldChar w:fldCharType="end"/>
            </w:r>
          </w:hyperlink>
        </w:p>
        <w:p w14:paraId="3FCD5738" w14:textId="43917349" w:rsidR="00BA74BB" w:rsidRDefault="00BA74BB">
          <w:pPr>
            <w:pStyle w:val="TOC1"/>
            <w:tabs>
              <w:tab w:val="right" w:leader="dot" w:pos="9350"/>
            </w:tabs>
            <w:rPr>
              <w:rFonts w:asciiTheme="minorHAnsi" w:eastAsiaTheme="minorEastAsia" w:hAnsiTheme="minorHAnsi" w:cstheme="minorBidi"/>
              <w:noProof/>
              <w:color w:val="auto"/>
              <w:kern w:val="2"/>
              <w:szCs w:val="24"/>
              <w:lang w:val="en-IN" w:bidi="gu-IN"/>
              <w14:ligatures w14:val="standardContextual"/>
            </w:rPr>
          </w:pPr>
          <w:hyperlink w:anchor="_Toc220842144" w:history="1">
            <w:r w:rsidRPr="00553C95">
              <w:rPr>
                <w:rStyle w:val="Hyperlink"/>
                <w:noProof/>
              </w:rPr>
              <w:t>Appendix 1: Check-list (CASP-JBI)</w:t>
            </w:r>
            <w:r>
              <w:rPr>
                <w:noProof/>
                <w:webHidden/>
              </w:rPr>
              <w:tab/>
            </w:r>
            <w:r>
              <w:rPr>
                <w:noProof/>
                <w:webHidden/>
              </w:rPr>
              <w:fldChar w:fldCharType="begin"/>
            </w:r>
            <w:r>
              <w:rPr>
                <w:noProof/>
                <w:webHidden/>
              </w:rPr>
              <w:instrText xml:space="preserve"> PAGEREF _Toc220842144 \h </w:instrText>
            </w:r>
            <w:r>
              <w:rPr>
                <w:noProof/>
                <w:webHidden/>
              </w:rPr>
            </w:r>
            <w:r>
              <w:rPr>
                <w:noProof/>
                <w:webHidden/>
              </w:rPr>
              <w:fldChar w:fldCharType="separate"/>
            </w:r>
            <w:r>
              <w:rPr>
                <w:noProof/>
                <w:webHidden/>
              </w:rPr>
              <w:t>75</w:t>
            </w:r>
            <w:r>
              <w:rPr>
                <w:noProof/>
                <w:webHidden/>
              </w:rPr>
              <w:fldChar w:fldCharType="end"/>
            </w:r>
          </w:hyperlink>
        </w:p>
        <w:p w14:paraId="486F7F6A" w14:textId="4397D9C8" w:rsidR="00D9043E" w:rsidRPr="00D9043E" w:rsidRDefault="00D9043E">
          <w:pPr>
            <w:rPr>
              <w:rFonts w:ascii="Arial" w:hAnsi="Arial" w:cs="Arial"/>
              <w:sz w:val="24"/>
              <w:szCs w:val="24"/>
            </w:rPr>
          </w:pPr>
          <w:r w:rsidRPr="00D9043E">
            <w:rPr>
              <w:rFonts w:ascii="Arial" w:hAnsi="Arial" w:cs="Arial"/>
              <w:b/>
              <w:bCs/>
              <w:noProof/>
              <w:sz w:val="24"/>
              <w:szCs w:val="24"/>
            </w:rPr>
            <w:fldChar w:fldCharType="end"/>
          </w:r>
        </w:p>
      </w:sdtContent>
    </w:sdt>
    <w:p w14:paraId="5FEB9BDF" w14:textId="77777777" w:rsidR="00C244A9" w:rsidRDefault="00EF3F4D">
      <w:pPr>
        <w:spacing w:after="156"/>
        <w:ind w:left="59"/>
        <w:jc w:val="center"/>
      </w:pPr>
      <w:r>
        <w:rPr>
          <w:b/>
          <w:bCs/>
        </w:rPr>
        <w:t xml:space="preserve"> </w:t>
      </w:r>
    </w:p>
    <w:p w14:paraId="6CC7B198" w14:textId="4047D8A1" w:rsidR="00ED2C7F" w:rsidRDefault="00ED2C7F">
      <w:pPr>
        <w:rPr>
          <w:b/>
          <w:bCs/>
          <w:sz w:val="24"/>
          <w:szCs w:val="24"/>
        </w:rPr>
      </w:pPr>
      <w:r>
        <w:rPr>
          <w:b/>
          <w:bCs/>
          <w:sz w:val="24"/>
          <w:szCs w:val="24"/>
        </w:rPr>
        <w:br w:type="page"/>
      </w:r>
    </w:p>
    <w:p w14:paraId="723B75A1" w14:textId="09675809" w:rsidR="00ED2C7F" w:rsidRDefault="00ED2C7F" w:rsidP="00ED2C7F">
      <w:pPr>
        <w:pStyle w:val="TOC1"/>
        <w:tabs>
          <w:tab w:val="right" w:leader="dot" w:pos="9350"/>
        </w:tabs>
        <w:jc w:val="center"/>
        <w:rPr>
          <w:b/>
          <w:bCs/>
          <w:szCs w:val="24"/>
        </w:rPr>
      </w:pPr>
      <w:r>
        <w:rPr>
          <w:b/>
          <w:bCs/>
          <w:szCs w:val="24"/>
        </w:rPr>
        <w:lastRenderedPageBreak/>
        <w:t>List of figures</w:t>
      </w:r>
    </w:p>
    <w:p w14:paraId="52F2D356" w14:textId="36B8FFD6" w:rsidR="00ED2C7F" w:rsidRDefault="00ED2C7F">
      <w:pPr>
        <w:pStyle w:val="TOC1"/>
        <w:tabs>
          <w:tab w:val="right" w:leader="dot" w:pos="9350"/>
        </w:tabs>
        <w:rPr>
          <w:rFonts w:asciiTheme="minorHAnsi" w:eastAsiaTheme="minorEastAsia" w:hAnsiTheme="minorHAnsi" w:cstheme="minorBidi"/>
          <w:noProof/>
          <w:color w:val="auto"/>
          <w:kern w:val="2"/>
          <w:szCs w:val="24"/>
          <w:lang w:val="en-IN"/>
          <w14:ligatures w14:val="standardContextual"/>
        </w:rPr>
      </w:pPr>
      <w:r>
        <w:rPr>
          <w:b/>
          <w:bCs/>
          <w:szCs w:val="24"/>
        </w:rPr>
        <w:fldChar w:fldCharType="begin"/>
      </w:r>
      <w:r>
        <w:rPr>
          <w:b/>
          <w:bCs/>
          <w:szCs w:val="24"/>
        </w:rPr>
        <w:instrText xml:space="preserve"> TOC \h \z \u \t "Heading 4,1" </w:instrText>
      </w:r>
      <w:r>
        <w:rPr>
          <w:b/>
          <w:bCs/>
          <w:szCs w:val="24"/>
        </w:rPr>
        <w:fldChar w:fldCharType="separate"/>
      </w:r>
      <w:hyperlink w:anchor="_Toc220786491" w:history="1">
        <w:r w:rsidRPr="000E35C2">
          <w:rPr>
            <w:rStyle w:val="Hyperlink"/>
            <w:noProof/>
          </w:rPr>
          <w:t>Figure 2.1: Whole Genome Sequencing (WGS)</w:t>
        </w:r>
        <w:r>
          <w:rPr>
            <w:noProof/>
            <w:webHidden/>
          </w:rPr>
          <w:tab/>
        </w:r>
        <w:r>
          <w:rPr>
            <w:noProof/>
            <w:webHidden/>
          </w:rPr>
          <w:fldChar w:fldCharType="begin"/>
        </w:r>
        <w:r>
          <w:rPr>
            <w:noProof/>
            <w:webHidden/>
          </w:rPr>
          <w:instrText xml:space="preserve"> PAGEREF _Toc220786491 \h </w:instrText>
        </w:r>
        <w:r>
          <w:rPr>
            <w:noProof/>
            <w:webHidden/>
          </w:rPr>
        </w:r>
        <w:r>
          <w:rPr>
            <w:noProof/>
            <w:webHidden/>
          </w:rPr>
          <w:fldChar w:fldCharType="separate"/>
        </w:r>
        <w:r>
          <w:rPr>
            <w:noProof/>
            <w:webHidden/>
          </w:rPr>
          <w:t>18</w:t>
        </w:r>
        <w:r>
          <w:rPr>
            <w:noProof/>
            <w:webHidden/>
          </w:rPr>
          <w:fldChar w:fldCharType="end"/>
        </w:r>
      </w:hyperlink>
    </w:p>
    <w:p w14:paraId="48A26761" w14:textId="3E7ECC4A" w:rsidR="00ED2C7F" w:rsidRDefault="00ED2C7F">
      <w:pPr>
        <w:pStyle w:val="TOC1"/>
        <w:tabs>
          <w:tab w:val="right" w:leader="dot" w:pos="9350"/>
        </w:tabs>
        <w:rPr>
          <w:rFonts w:asciiTheme="minorHAnsi" w:eastAsiaTheme="minorEastAsia" w:hAnsiTheme="minorHAnsi" w:cstheme="minorBidi"/>
          <w:noProof/>
          <w:color w:val="auto"/>
          <w:kern w:val="2"/>
          <w:szCs w:val="24"/>
          <w:lang w:val="en-IN"/>
          <w14:ligatures w14:val="standardContextual"/>
        </w:rPr>
      </w:pPr>
      <w:hyperlink w:anchor="_Toc220786492" w:history="1">
        <w:r w:rsidRPr="000E35C2">
          <w:rPr>
            <w:rStyle w:val="Hyperlink"/>
            <w:noProof/>
          </w:rPr>
          <w:t>Figure 2.2: Phylogenetic analysis of Vibrio cholerae</w:t>
        </w:r>
        <w:r>
          <w:rPr>
            <w:noProof/>
            <w:webHidden/>
          </w:rPr>
          <w:tab/>
        </w:r>
        <w:r>
          <w:rPr>
            <w:noProof/>
            <w:webHidden/>
          </w:rPr>
          <w:fldChar w:fldCharType="begin"/>
        </w:r>
        <w:r>
          <w:rPr>
            <w:noProof/>
            <w:webHidden/>
          </w:rPr>
          <w:instrText xml:space="preserve"> PAGEREF _Toc220786492 \h </w:instrText>
        </w:r>
        <w:r>
          <w:rPr>
            <w:noProof/>
            <w:webHidden/>
          </w:rPr>
        </w:r>
        <w:r>
          <w:rPr>
            <w:noProof/>
            <w:webHidden/>
          </w:rPr>
          <w:fldChar w:fldCharType="separate"/>
        </w:r>
        <w:r>
          <w:rPr>
            <w:noProof/>
            <w:webHidden/>
          </w:rPr>
          <w:t>19</w:t>
        </w:r>
        <w:r>
          <w:rPr>
            <w:noProof/>
            <w:webHidden/>
          </w:rPr>
          <w:fldChar w:fldCharType="end"/>
        </w:r>
      </w:hyperlink>
    </w:p>
    <w:p w14:paraId="1964D114" w14:textId="618573CF" w:rsidR="00ED2C7F" w:rsidRDefault="00ED2C7F">
      <w:pPr>
        <w:pStyle w:val="TOC1"/>
        <w:tabs>
          <w:tab w:val="right" w:leader="dot" w:pos="9350"/>
        </w:tabs>
        <w:rPr>
          <w:rFonts w:asciiTheme="minorHAnsi" w:eastAsiaTheme="minorEastAsia" w:hAnsiTheme="minorHAnsi" w:cstheme="minorBidi"/>
          <w:noProof/>
          <w:color w:val="auto"/>
          <w:kern w:val="2"/>
          <w:szCs w:val="24"/>
          <w:lang w:val="en-IN"/>
          <w14:ligatures w14:val="standardContextual"/>
        </w:rPr>
      </w:pPr>
      <w:hyperlink w:anchor="_Toc220786493" w:history="1">
        <w:r w:rsidRPr="000E35C2">
          <w:rPr>
            <w:rStyle w:val="Hyperlink"/>
            <w:noProof/>
          </w:rPr>
          <w:t>Figure 2.3: AMR mechanism</w:t>
        </w:r>
        <w:r>
          <w:rPr>
            <w:noProof/>
            <w:webHidden/>
          </w:rPr>
          <w:tab/>
        </w:r>
        <w:r>
          <w:rPr>
            <w:noProof/>
            <w:webHidden/>
          </w:rPr>
          <w:fldChar w:fldCharType="begin"/>
        </w:r>
        <w:r>
          <w:rPr>
            <w:noProof/>
            <w:webHidden/>
          </w:rPr>
          <w:instrText xml:space="preserve"> PAGEREF _Toc220786493 \h </w:instrText>
        </w:r>
        <w:r>
          <w:rPr>
            <w:noProof/>
            <w:webHidden/>
          </w:rPr>
        </w:r>
        <w:r>
          <w:rPr>
            <w:noProof/>
            <w:webHidden/>
          </w:rPr>
          <w:fldChar w:fldCharType="separate"/>
        </w:r>
        <w:r>
          <w:rPr>
            <w:noProof/>
            <w:webHidden/>
          </w:rPr>
          <w:t>21</w:t>
        </w:r>
        <w:r>
          <w:rPr>
            <w:noProof/>
            <w:webHidden/>
          </w:rPr>
          <w:fldChar w:fldCharType="end"/>
        </w:r>
      </w:hyperlink>
    </w:p>
    <w:p w14:paraId="4BB5A1C4" w14:textId="65F9AEEF" w:rsidR="00ED2C7F" w:rsidRDefault="00ED2C7F">
      <w:pPr>
        <w:pStyle w:val="TOC1"/>
        <w:tabs>
          <w:tab w:val="right" w:leader="dot" w:pos="9350"/>
        </w:tabs>
        <w:rPr>
          <w:rFonts w:asciiTheme="minorHAnsi" w:eastAsiaTheme="minorEastAsia" w:hAnsiTheme="minorHAnsi" w:cstheme="minorBidi"/>
          <w:noProof/>
          <w:color w:val="auto"/>
          <w:kern w:val="2"/>
          <w:szCs w:val="24"/>
          <w:lang w:val="en-IN"/>
          <w14:ligatures w14:val="standardContextual"/>
        </w:rPr>
      </w:pPr>
      <w:hyperlink w:anchor="_Toc220786494" w:history="1">
        <w:r w:rsidRPr="000E35C2">
          <w:rPr>
            <w:rStyle w:val="Hyperlink"/>
            <w:noProof/>
          </w:rPr>
          <w:t>Figure 4.1: PRISMA Table</w:t>
        </w:r>
        <w:r>
          <w:rPr>
            <w:noProof/>
            <w:webHidden/>
          </w:rPr>
          <w:tab/>
        </w:r>
        <w:r>
          <w:rPr>
            <w:noProof/>
            <w:webHidden/>
          </w:rPr>
          <w:fldChar w:fldCharType="begin"/>
        </w:r>
        <w:r>
          <w:rPr>
            <w:noProof/>
            <w:webHidden/>
          </w:rPr>
          <w:instrText xml:space="preserve"> PAGEREF _Toc220786494 \h </w:instrText>
        </w:r>
        <w:r>
          <w:rPr>
            <w:noProof/>
            <w:webHidden/>
          </w:rPr>
        </w:r>
        <w:r>
          <w:rPr>
            <w:noProof/>
            <w:webHidden/>
          </w:rPr>
          <w:fldChar w:fldCharType="separate"/>
        </w:r>
        <w:r>
          <w:rPr>
            <w:noProof/>
            <w:webHidden/>
          </w:rPr>
          <w:t>38</w:t>
        </w:r>
        <w:r>
          <w:rPr>
            <w:noProof/>
            <w:webHidden/>
          </w:rPr>
          <w:fldChar w:fldCharType="end"/>
        </w:r>
      </w:hyperlink>
    </w:p>
    <w:p w14:paraId="1F4E7EFE" w14:textId="120BAA35" w:rsidR="00C244A9" w:rsidRDefault="00ED2C7F">
      <w:pPr>
        <w:rPr>
          <w:b/>
          <w:bCs/>
          <w:sz w:val="24"/>
          <w:szCs w:val="24"/>
        </w:rPr>
      </w:pPr>
      <w:r>
        <w:rPr>
          <w:b/>
          <w:bCs/>
          <w:sz w:val="24"/>
          <w:szCs w:val="24"/>
        </w:rPr>
        <w:fldChar w:fldCharType="end"/>
      </w:r>
    </w:p>
    <w:p w14:paraId="623D9B2E" w14:textId="77777777" w:rsidR="00B03050" w:rsidRDefault="00B03050">
      <w:pPr>
        <w:rPr>
          <w:rFonts w:ascii="Arial" w:eastAsia="Arial" w:hAnsi="Arial" w:cs="Arial"/>
          <w:b/>
          <w:bCs/>
          <w:sz w:val="24"/>
          <w:szCs w:val="24"/>
        </w:rPr>
      </w:pPr>
      <w:r>
        <w:rPr>
          <w:rFonts w:ascii="Arial" w:eastAsia="Arial" w:hAnsi="Arial" w:cs="Arial"/>
          <w:b/>
          <w:bCs/>
          <w:sz w:val="24"/>
          <w:szCs w:val="24"/>
        </w:rPr>
        <w:br w:type="page"/>
      </w:r>
    </w:p>
    <w:p w14:paraId="43F51086" w14:textId="336FC74D" w:rsidR="00C244A9" w:rsidRDefault="00EF3F4D">
      <w:pPr>
        <w:jc w:val="center"/>
        <w:rPr>
          <w:rFonts w:ascii="Arial" w:eastAsia="Arial" w:hAnsi="Arial" w:cs="Arial"/>
          <w:b/>
          <w:bCs/>
          <w:color w:val="000000"/>
          <w:sz w:val="24"/>
          <w:szCs w:val="24"/>
        </w:rPr>
      </w:pPr>
      <w:r>
        <w:rPr>
          <w:rFonts w:ascii="Arial" w:eastAsia="Arial" w:hAnsi="Arial" w:cs="Arial"/>
          <w:b/>
          <w:bCs/>
          <w:sz w:val="24"/>
          <w:szCs w:val="24"/>
        </w:rPr>
        <w:lastRenderedPageBreak/>
        <w:t>List of tables</w:t>
      </w:r>
    </w:p>
    <w:sdt>
      <w:sdtPr>
        <w:id w:val="222342134"/>
        <w:docPartObj>
          <w:docPartGallery w:val="Table of Contents"/>
          <w:docPartUnique/>
        </w:docPartObj>
      </w:sdtPr>
      <w:sdtEndPr/>
      <w:sdtContent>
        <w:p w14:paraId="2B87CBB5" w14:textId="77777777" w:rsidR="00C244A9" w:rsidRDefault="00EF3F4D">
          <w:pPr>
            <w:pBdr>
              <w:top w:val="nil"/>
              <w:left w:val="nil"/>
              <w:bottom w:val="nil"/>
              <w:right w:val="nil"/>
              <w:between w:val="nil"/>
            </w:pBdr>
            <w:tabs>
              <w:tab w:val="right" w:pos="9350"/>
            </w:tabs>
            <w:spacing w:after="0" w:line="360" w:lineRule="auto"/>
            <w:rPr>
              <w:rFonts w:ascii="Arial" w:eastAsia="Arial" w:hAnsi="Arial" w:cs="Arial"/>
              <w:color w:val="000000"/>
            </w:rPr>
          </w:pPr>
          <w:r>
            <w:fldChar w:fldCharType="begin"/>
          </w:r>
          <w:r>
            <w:instrText xml:space="preserve"> TOC \h \u \z \t "Heading 1,1,Heading 2,2,Heading 3,3,Heading 4,4,Heading 5,5,Heading 6,6,"</w:instrText>
          </w:r>
          <w:r>
            <w:fldChar w:fldCharType="separate"/>
          </w:r>
          <w:hyperlink w:anchor="_heading=h.wrshc5m2pupg">
            <w:r>
              <w:rPr>
                <w:rFonts w:ascii="Arial" w:eastAsia="Arial" w:hAnsi="Arial" w:cs="Arial"/>
                <w:color w:val="000000"/>
              </w:rPr>
              <w:t>Table 3.1: PICO framework</w:t>
            </w:r>
            <w:r>
              <w:rPr>
                <w:rFonts w:ascii="Arial" w:eastAsia="Arial" w:hAnsi="Arial" w:cs="Arial"/>
                <w:color w:val="000000"/>
              </w:rPr>
              <w:tab/>
              <w:t>28</w:t>
            </w:r>
          </w:hyperlink>
        </w:p>
        <w:p w14:paraId="139EAF3B" w14:textId="77777777" w:rsidR="00C244A9" w:rsidRDefault="00EF3F4D">
          <w:pPr>
            <w:pBdr>
              <w:top w:val="nil"/>
              <w:left w:val="nil"/>
              <w:bottom w:val="nil"/>
              <w:right w:val="nil"/>
              <w:between w:val="nil"/>
            </w:pBdr>
            <w:tabs>
              <w:tab w:val="right" w:pos="9350"/>
            </w:tabs>
            <w:spacing w:after="0" w:line="360" w:lineRule="auto"/>
            <w:rPr>
              <w:rFonts w:ascii="Arial" w:eastAsia="Arial" w:hAnsi="Arial" w:cs="Arial"/>
              <w:color w:val="000000"/>
            </w:rPr>
          </w:pPr>
          <w:hyperlink w:anchor="_heading=h.m2gor19391d7">
            <w:r>
              <w:rPr>
                <w:rFonts w:ascii="Arial" w:eastAsia="Arial" w:hAnsi="Arial" w:cs="Arial"/>
                <w:color w:val="000000"/>
              </w:rPr>
              <w:t>Table 3.2: Inclusion and exclusion criteria</w:t>
            </w:r>
            <w:r>
              <w:rPr>
                <w:rFonts w:ascii="Arial" w:eastAsia="Arial" w:hAnsi="Arial" w:cs="Arial"/>
                <w:color w:val="000000"/>
              </w:rPr>
              <w:tab/>
              <w:t>29</w:t>
            </w:r>
          </w:hyperlink>
        </w:p>
        <w:p w14:paraId="49B5210E" w14:textId="77777777" w:rsidR="00C244A9" w:rsidRDefault="00EF3F4D">
          <w:pPr>
            <w:pBdr>
              <w:top w:val="nil"/>
              <w:left w:val="nil"/>
              <w:bottom w:val="nil"/>
              <w:right w:val="nil"/>
              <w:between w:val="nil"/>
            </w:pBdr>
            <w:tabs>
              <w:tab w:val="right" w:pos="9350"/>
            </w:tabs>
            <w:spacing w:after="0" w:line="360" w:lineRule="auto"/>
            <w:rPr>
              <w:color w:val="000000"/>
            </w:rPr>
          </w:pPr>
          <w:hyperlink w:anchor="_heading=h.tp9wc9liu0ph">
            <w:r>
              <w:rPr>
                <w:rFonts w:ascii="Arial" w:eastAsia="Arial" w:hAnsi="Arial" w:cs="Arial"/>
                <w:color w:val="000000"/>
              </w:rPr>
              <w:t>Table 4.1: Characteristics Table</w:t>
            </w:r>
            <w:r>
              <w:rPr>
                <w:rFonts w:ascii="Arial" w:eastAsia="Arial" w:hAnsi="Arial" w:cs="Arial"/>
                <w:color w:val="000000"/>
              </w:rPr>
              <w:tab/>
              <w:t>38</w:t>
            </w:r>
          </w:hyperlink>
        </w:p>
        <w:p w14:paraId="44C1FFE2" w14:textId="77777777" w:rsidR="00C244A9" w:rsidRDefault="00EF3F4D">
          <w:pPr>
            <w:pBdr>
              <w:top w:val="nil"/>
              <w:left w:val="nil"/>
              <w:bottom w:val="nil"/>
              <w:right w:val="nil"/>
              <w:between w:val="nil"/>
            </w:pBdr>
            <w:tabs>
              <w:tab w:val="right" w:pos="9350"/>
            </w:tabs>
            <w:spacing w:after="0" w:line="360" w:lineRule="auto"/>
            <w:jc w:val="both"/>
            <w:rPr>
              <w:rFonts w:ascii="Arial" w:eastAsia="Arial" w:hAnsi="Arial" w:cs="Arial"/>
              <w:color w:val="000000"/>
            </w:rPr>
          </w:pPr>
          <w:r>
            <w:fldChar w:fldCharType="end"/>
          </w:r>
        </w:p>
      </w:sdtContent>
    </w:sdt>
    <w:p w14:paraId="48D06ED0" w14:textId="77777777" w:rsidR="009F6D79" w:rsidRDefault="009F6D79">
      <w:pPr>
        <w:rPr>
          <w:rFonts w:ascii="Arial" w:eastAsia="Arial" w:hAnsi="Arial" w:cs="Arial"/>
          <w:b/>
          <w:bCs/>
          <w:color w:val="000000"/>
          <w:sz w:val="24"/>
          <w:szCs w:val="24"/>
        </w:rPr>
      </w:pPr>
      <w:bookmarkStart w:id="2" w:name="_Toc220786085"/>
      <w:r>
        <w:br w:type="page"/>
      </w:r>
    </w:p>
    <w:p w14:paraId="63A501AA" w14:textId="7D15CFC3" w:rsidR="00C244A9" w:rsidRDefault="00EF3F4D">
      <w:pPr>
        <w:pStyle w:val="Heading1"/>
        <w:spacing w:after="649"/>
        <w:ind w:left="12" w:right="3" w:firstLine="0"/>
      </w:pPr>
      <w:bookmarkStart w:id="3" w:name="_Toc220842088"/>
      <w:r>
        <w:lastRenderedPageBreak/>
        <w:t>Chapter 1: Introduction</w:t>
      </w:r>
      <w:bookmarkEnd w:id="2"/>
      <w:bookmarkEnd w:id="3"/>
      <w:r>
        <w:t xml:space="preserve"> </w:t>
      </w:r>
    </w:p>
    <w:p w14:paraId="4C3DCE6B" w14:textId="77777777" w:rsidR="00C244A9" w:rsidRDefault="00EF3F4D" w:rsidP="006B6EF8">
      <w:pPr>
        <w:pStyle w:val="Heading2"/>
      </w:pPr>
      <w:bookmarkStart w:id="4" w:name="_heading=h.uvnjdpb7qpcu" w:colFirst="0" w:colLast="0"/>
      <w:bookmarkStart w:id="5" w:name="_Toc220842089"/>
      <w:bookmarkEnd w:id="4"/>
      <w:r>
        <w:t xml:space="preserve">1.1 </w:t>
      </w:r>
      <w:r w:rsidRPr="006B6EF8">
        <w:t>Chapter</w:t>
      </w:r>
      <w:r>
        <w:t xml:space="preserve"> </w:t>
      </w:r>
      <w:r w:rsidRPr="006B6EF8">
        <w:t>Introduction</w:t>
      </w:r>
      <w:bookmarkEnd w:id="5"/>
    </w:p>
    <w:p w14:paraId="6E44CA7C" w14:textId="64FF480B" w:rsidR="00C244A9" w:rsidRPr="00295252" w:rsidRDefault="00EF3F4D" w:rsidP="00295252">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Cholera continues to show major global public health threats especially in the regions with insufficient water, sanitisation and hygiene systems (Mohamed </w:t>
      </w:r>
      <w:r>
        <w:rPr>
          <w:rFonts w:ascii="Arial" w:eastAsia="Arial" w:hAnsi="Arial" w:cs="Arial"/>
          <w:i/>
          <w:iCs/>
        </w:rPr>
        <w:t>et al.</w:t>
      </w:r>
      <w:r>
        <w:rPr>
          <w:rFonts w:ascii="Arial" w:eastAsia="Arial" w:hAnsi="Arial" w:cs="Arial"/>
        </w:rPr>
        <w:t xml:space="preserve"> 2025). However, direct faecal-oral transmission is well-recognised, indirect transmission by environmental reservoirs, aquatic ecosystems and contaminated water sources remains challenging to detect and control (Salamé </w:t>
      </w:r>
      <w:r>
        <w:rPr>
          <w:rFonts w:ascii="Arial" w:eastAsia="Arial" w:hAnsi="Arial" w:cs="Arial"/>
          <w:i/>
          <w:iCs/>
        </w:rPr>
        <w:t>et al.</w:t>
      </w:r>
      <w:r>
        <w:rPr>
          <w:rFonts w:ascii="Arial" w:eastAsia="Arial" w:hAnsi="Arial" w:cs="Arial"/>
        </w:rPr>
        <w:t xml:space="preserve"> 2021). The advance in molecular epidemiology provides powerful tools for comprehending these challenges of transmission dynamics. There are several technologies such as genomic sequencing, whole genome analysis and phylogenetics that help to trace the details of </w:t>
      </w:r>
      <w:r>
        <w:rPr>
          <w:rFonts w:ascii="Arial" w:eastAsia="Arial" w:hAnsi="Arial" w:cs="Arial"/>
          <w:i/>
          <w:iCs/>
        </w:rPr>
        <w:t xml:space="preserve">Vibrio cholera </w:t>
      </w:r>
      <w:r>
        <w:rPr>
          <w:rFonts w:ascii="Arial" w:eastAsia="Arial" w:hAnsi="Arial" w:cs="Arial"/>
        </w:rPr>
        <w:t>evolution and movements. This chapter will focus on the research to outline the context, background, significance, and the exploration of molecular evidence to guide cholera prevention in controlling the efforts.</w:t>
      </w:r>
      <w:bookmarkStart w:id="6" w:name="_heading=h.ogu7g6sdczyp" w:colFirst="0" w:colLast="0"/>
      <w:bookmarkEnd w:id="6"/>
    </w:p>
    <w:p w14:paraId="6018E75D" w14:textId="77777777" w:rsidR="00C244A9" w:rsidRDefault="00EF3F4D">
      <w:pPr>
        <w:pStyle w:val="Heading2"/>
        <w:ind w:firstLine="10"/>
        <w:rPr>
          <w:color w:val="000000"/>
        </w:rPr>
      </w:pPr>
      <w:bookmarkStart w:id="7" w:name="_Toc220842090"/>
      <w:r>
        <w:rPr>
          <w:color w:val="000000"/>
        </w:rPr>
        <w:t>1.2 Research Background</w:t>
      </w:r>
      <w:bookmarkEnd w:id="7"/>
    </w:p>
    <w:p w14:paraId="3670BF6A"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Cholera is a major global public health challenge with recurrent outbreaks influencing the vulnerable populations where water, sanitation and hygiene conditions are insufficient. As per the reports of WHO (2024), the number of cholera cases increased by 13% and deaths increased by 71% in 2022 and over 4,000 died in 2023 (WHO, 2024). The mosquito-borne disease represented one of the largest enhancements in decades with significant transmission occurring in several regions such as Africa (increasing rate 125%), Middle East and Asia (both decreasing with 32%) (Abdullah Al-Manji </w:t>
      </w:r>
      <w:r>
        <w:rPr>
          <w:rFonts w:ascii="Arial" w:eastAsia="Arial" w:hAnsi="Arial" w:cs="Arial"/>
          <w:i/>
          <w:iCs/>
        </w:rPr>
        <w:t>et al.</w:t>
      </w:r>
      <w:r>
        <w:rPr>
          <w:rFonts w:ascii="Arial" w:eastAsia="Arial" w:hAnsi="Arial" w:cs="Arial"/>
        </w:rPr>
        <w:t xml:space="preserve"> 2025). The countries including Malawi, Mozambique and Cameroon experienced widespread outbreaks enhancing the continued instability of cholera epidemiology and the persistent influence of environmental reservoirs (Ebenezer </w:t>
      </w:r>
      <w:r>
        <w:rPr>
          <w:rFonts w:ascii="Arial" w:eastAsia="Arial" w:hAnsi="Arial" w:cs="Arial"/>
          <w:i/>
          <w:iCs/>
        </w:rPr>
        <w:t>et al.</w:t>
      </w:r>
      <w:r>
        <w:rPr>
          <w:rFonts w:ascii="Arial" w:eastAsia="Arial" w:hAnsi="Arial" w:cs="Arial"/>
        </w:rPr>
        <w:t xml:space="preserve"> 2025). These global patterns show that Cholera remains deeply connected with the climate events, conflict, displacement and poor WASH infrastructures.</w:t>
      </w:r>
    </w:p>
    <w:p w14:paraId="1E6C1D2D" w14:textId="77777777" w:rsidR="00C244A9" w:rsidRDefault="00EF3F4D">
      <w:pPr>
        <w:pBdr>
          <w:top w:val="nil"/>
          <w:left w:val="nil"/>
          <w:bottom w:val="nil"/>
          <w:right w:val="nil"/>
          <w:between w:val="nil"/>
        </w:pBdr>
        <w:spacing w:line="360" w:lineRule="auto"/>
        <w:jc w:val="both"/>
        <w:rPr>
          <w:rFonts w:ascii="Arial" w:eastAsia="Arial" w:hAnsi="Arial" w:cs="Arial"/>
        </w:rPr>
      </w:pPr>
      <w:bookmarkStart w:id="8" w:name="_heading=h.3i8okq5npqn1" w:colFirst="0" w:colLast="0"/>
      <w:bookmarkEnd w:id="8"/>
      <w:r>
        <w:rPr>
          <w:rFonts w:ascii="Arial" w:eastAsia="Arial" w:hAnsi="Arial" w:cs="Arial"/>
        </w:rPr>
        <w:t xml:space="preserve">However, cholera is not endemic in the UK, the investigation indicates relevance for national public health preparedness. The European government records 29 confirmed imported cholera cases from 9 countries in 2022, especially associated with the travellers returning from endemic places such as India, Bangladesh and Pakistan (ECDC, 2022). There have been occasional detections of toxigenic </w:t>
      </w:r>
      <w:r>
        <w:rPr>
          <w:rFonts w:ascii="Arial" w:eastAsia="Arial" w:hAnsi="Arial" w:cs="Arial"/>
          <w:i/>
          <w:iCs/>
        </w:rPr>
        <w:t xml:space="preserve">Vibrio spp. </w:t>
      </w:r>
      <w:r>
        <w:rPr>
          <w:rFonts w:ascii="Arial" w:eastAsia="Arial" w:hAnsi="Arial" w:cs="Arial"/>
        </w:rPr>
        <w:t xml:space="preserve">in the UK coastal waters during unusually warm periods suggesting climate change (Brumfield </w:t>
      </w:r>
      <w:r>
        <w:rPr>
          <w:rFonts w:ascii="Arial" w:eastAsia="Arial" w:hAnsi="Arial" w:cs="Arial"/>
          <w:i/>
          <w:iCs/>
        </w:rPr>
        <w:t>et al.</w:t>
      </w:r>
      <w:r>
        <w:rPr>
          <w:rFonts w:ascii="Arial" w:eastAsia="Arial" w:hAnsi="Arial" w:cs="Arial"/>
        </w:rPr>
        <w:t xml:space="preserve"> 2021). This could facilitate the environmental suitability for </w:t>
      </w:r>
      <w:r>
        <w:rPr>
          <w:rFonts w:ascii="Arial" w:eastAsia="Arial" w:hAnsi="Arial" w:cs="Arial"/>
          <w:i/>
          <w:iCs/>
        </w:rPr>
        <w:t>Vibrio spp.</w:t>
      </w:r>
      <w:r>
        <w:rPr>
          <w:rFonts w:ascii="Arial" w:eastAsia="Arial" w:hAnsi="Arial" w:cs="Arial"/>
        </w:rPr>
        <w:t xml:space="preserve"> proliferation. The UK’s increasing focus on genomic surveillance </w:t>
      </w:r>
      <w:r>
        <w:rPr>
          <w:rFonts w:ascii="Arial" w:eastAsia="Arial" w:hAnsi="Arial" w:cs="Arial"/>
        </w:rPr>
        <w:lastRenderedPageBreak/>
        <w:t>especially by the UKHSA’s Vibrio monitoring programs has shown a precautionary strategy to track imported strains to understand pathogen evolution for strengthening infection control mechanisms (UK Health Security Agency, 2024).</w:t>
      </w:r>
    </w:p>
    <w:p w14:paraId="34A80EC1"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indirect environmental transmission plays a major role in sustaining </w:t>
      </w:r>
      <w:r>
        <w:rPr>
          <w:rFonts w:ascii="Arial" w:eastAsia="Arial" w:hAnsi="Arial" w:cs="Arial"/>
          <w:i/>
          <w:iCs/>
        </w:rPr>
        <w:t>Vibrio cholerae</w:t>
      </w:r>
      <w:r>
        <w:rPr>
          <w:rFonts w:ascii="Arial" w:eastAsia="Arial" w:hAnsi="Arial" w:cs="Arial"/>
        </w:rPr>
        <w:t xml:space="preserve"> in a global perspective. The bacteria persist in rivers, estuaries, coastal waters and planktonic communities to enable survival as aquatic ecosystems even when the human case numbers are low (Popoola </w:t>
      </w:r>
      <w:r>
        <w:rPr>
          <w:rFonts w:ascii="Arial" w:eastAsia="Arial" w:hAnsi="Arial" w:cs="Arial"/>
          <w:i/>
          <w:iCs/>
        </w:rPr>
        <w:t>et al.</w:t>
      </w:r>
      <w:r>
        <w:rPr>
          <w:rFonts w:ascii="Arial" w:eastAsia="Arial" w:hAnsi="Arial" w:cs="Arial"/>
        </w:rPr>
        <w:t xml:space="preserve"> 2025). </w:t>
      </w:r>
      <w:r>
        <w:rPr>
          <w:rFonts w:ascii="Arial" w:eastAsia="Arial" w:hAnsi="Arial" w:cs="Arial"/>
          <w:i/>
          <w:iCs/>
        </w:rPr>
        <w:t xml:space="preserve">Vibrio cholerae </w:t>
      </w:r>
      <w:r>
        <w:rPr>
          <w:rFonts w:ascii="Arial" w:eastAsia="Arial" w:hAnsi="Arial" w:cs="Arial"/>
        </w:rPr>
        <w:t xml:space="preserve">can enter a viable-but-non-culturable (VBNC) state, allowing environmental persistence and fast reactivation during the favourable conditions (Lotoux </w:t>
      </w:r>
      <w:r>
        <w:rPr>
          <w:rFonts w:ascii="Arial" w:eastAsia="Arial" w:hAnsi="Arial" w:cs="Arial"/>
          <w:i/>
          <w:iCs/>
        </w:rPr>
        <w:t>et al.</w:t>
      </w:r>
      <w:r>
        <w:rPr>
          <w:rFonts w:ascii="Arial" w:eastAsia="Arial" w:hAnsi="Arial" w:cs="Arial"/>
        </w:rPr>
        <w:t xml:space="preserve"> 2023). The climate fluctuations especially enhance sea-surface temperatures, flooding, monsoon variability and EI Niño cycles to make ecological opportunities for pathogen amplification (Jin </w:t>
      </w:r>
      <w:r>
        <w:rPr>
          <w:rFonts w:ascii="Arial" w:eastAsia="Arial" w:hAnsi="Arial" w:cs="Arial"/>
          <w:i/>
          <w:iCs/>
        </w:rPr>
        <w:t>et al.</w:t>
      </w:r>
      <w:r>
        <w:rPr>
          <w:rFonts w:ascii="Arial" w:eastAsia="Arial" w:hAnsi="Arial" w:cs="Arial"/>
        </w:rPr>
        <w:t xml:space="preserve"> 2025). These environmental drivers have been aligned with the outbreaks in several regions, including Bangladesh, South Sudan and Yemen, reinforcing the interconnectedness between climate, environment and disease transmissions.</w:t>
      </w:r>
    </w:p>
    <w:p w14:paraId="2E4ADFED"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traditional surveillance methods often fail to understand the complexity of these indirect pathways. The classical epidemiology depends on clinical reporting, which identifies outbreaks only after the human transmission increases (Chowdhury </w:t>
      </w:r>
      <w:r>
        <w:rPr>
          <w:rFonts w:ascii="Arial" w:eastAsia="Arial" w:hAnsi="Arial" w:cs="Arial"/>
          <w:i/>
          <w:iCs/>
        </w:rPr>
        <w:t>et al.</w:t>
      </w:r>
      <w:r>
        <w:rPr>
          <w:rFonts w:ascii="Arial" w:eastAsia="Arial" w:hAnsi="Arial" w:cs="Arial"/>
        </w:rPr>
        <w:t xml:space="preserve"> 2022). On the other hand, molecular epidemiology enables strong investigation of pathogen origins and movements. The techniques, such as whole genome sequencing, multi-locus sequence typing and phylogenetic mapping, allow detailed characterisation of </w:t>
      </w:r>
      <w:r>
        <w:rPr>
          <w:rFonts w:ascii="Arial" w:eastAsia="Arial" w:hAnsi="Arial" w:cs="Arial"/>
          <w:i/>
          <w:iCs/>
        </w:rPr>
        <w:t xml:space="preserve">Vibrio cholerae </w:t>
      </w:r>
      <w:r>
        <w:rPr>
          <w:rFonts w:ascii="Arial" w:eastAsia="Arial" w:hAnsi="Arial" w:cs="Arial"/>
        </w:rPr>
        <w:t xml:space="preserve">strains to provide insights on whether the outbreaks arise from persistent local reservoirs or newly introduced external lineages (Mageto </w:t>
      </w:r>
      <w:r>
        <w:rPr>
          <w:rFonts w:ascii="Arial" w:eastAsia="Arial" w:hAnsi="Arial" w:cs="Arial"/>
          <w:i/>
          <w:iCs/>
        </w:rPr>
        <w:t>et al.</w:t>
      </w:r>
      <w:r>
        <w:rPr>
          <w:rFonts w:ascii="Arial" w:eastAsia="Arial" w:hAnsi="Arial" w:cs="Arial"/>
        </w:rPr>
        <w:t xml:space="preserve"> 2025). For example, the genomic studies during the Haiti and Yemen outbreaks revealed strong evidence of international strain introduction to shape the direction of subsequent public health responses (GOV UK, 2025).</w:t>
      </w:r>
    </w:p>
    <w:p w14:paraId="097D4A76"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Molecular surveillance is identified as a crucial component of national readiness for imported infectious diseases in the UK (UK Health and Security Agency, 2023). Genomic characterisation of </w:t>
      </w:r>
      <w:r>
        <w:rPr>
          <w:rFonts w:ascii="Arial" w:eastAsia="Arial" w:hAnsi="Arial" w:cs="Arial"/>
          <w:i/>
          <w:iCs/>
        </w:rPr>
        <w:t>Vibrio sp.</w:t>
      </w:r>
      <w:r>
        <w:rPr>
          <w:rFonts w:ascii="Arial" w:eastAsia="Arial" w:hAnsi="Arial" w:cs="Arial"/>
        </w:rPr>
        <w:t xml:space="preserve"> isolates to enable rapid identification of antimicrobial resistance patterns by assessing potential environmental risks linked to warming coastal waters (Seethalakshmi </w:t>
      </w:r>
      <w:r>
        <w:rPr>
          <w:rFonts w:ascii="Arial" w:eastAsia="Arial" w:hAnsi="Arial" w:cs="Arial"/>
          <w:i/>
          <w:iCs/>
        </w:rPr>
        <w:t>et al.</w:t>
      </w:r>
      <w:r>
        <w:rPr>
          <w:rFonts w:ascii="Arial" w:eastAsia="Arial" w:hAnsi="Arial" w:cs="Arial"/>
        </w:rPr>
        <w:t xml:space="preserve"> 2025). The molecular tools support early detection, environmental monitoring and precise outbreak tracing to make them essential in cholera-endemic regions (Adewunmi Akingbola </w:t>
      </w:r>
      <w:r>
        <w:rPr>
          <w:rFonts w:ascii="Arial" w:eastAsia="Arial" w:hAnsi="Arial" w:cs="Arial"/>
          <w:i/>
          <w:iCs/>
        </w:rPr>
        <w:t>et al.</w:t>
      </w:r>
      <w:r>
        <w:rPr>
          <w:rFonts w:ascii="Arial" w:eastAsia="Arial" w:hAnsi="Arial" w:cs="Arial"/>
        </w:rPr>
        <w:t xml:space="preserve"> 2024). This research background focuses on the significance of understanding cholera’s indirect environmental transmission by the growing role of molecular epidemiology in strengthening national and global public health systems.</w:t>
      </w:r>
    </w:p>
    <w:p w14:paraId="269E4FA9" w14:textId="77777777" w:rsidR="00C244A9" w:rsidRDefault="00C244A9">
      <w:pPr>
        <w:pStyle w:val="Heading2"/>
        <w:ind w:firstLine="10"/>
        <w:rPr>
          <w:color w:val="000000"/>
        </w:rPr>
      </w:pPr>
      <w:bookmarkStart w:id="9" w:name="_heading=h.m50xkx3g3egp" w:colFirst="0" w:colLast="0"/>
      <w:bookmarkEnd w:id="9"/>
    </w:p>
    <w:p w14:paraId="2262C21D" w14:textId="77777777" w:rsidR="00C244A9" w:rsidRDefault="00EF3F4D" w:rsidP="006B6EF8">
      <w:pPr>
        <w:pStyle w:val="Heading2"/>
      </w:pPr>
      <w:bookmarkStart w:id="10" w:name="_Toc220842091"/>
      <w:r>
        <w:t xml:space="preserve">1.3 </w:t>
      </w:r>
      <w:r w:rsidRPr="006B6EF8">
        <w:t>Problem</w:t>
      </w:r>
      <w:r>
        <w:t xml:space="preserve"> Statement</w:t>
      </w:r>
      <w:bookmarkEnd w:id="10"/>
    </w:p>
    <w:p w14:paraId="41BDA375"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There is limited consolidated comprehension of the way these tools directly inform public health interventions targeting cholera’s indirect transmission pathways, despite major advances in molecular epidemiology</w:t>
      </w:r>
      <w:r>
        <w:rPr>
          <w:rFonts w:ascii="Arial" w:eastAsia="Arial" w:hAnsi="Arial" w:cs="Arial"/>
          <w:color w:val="000000"/>
        </w:rPr>
        <w:t xml:space="preserve">. The recent UK environmental health reporting indicates that fewer than 35% of the current routine water surveillance programmes incorporate genomic sequencing, which restricts on-time identification of water pathogens and the threat of indirect transmission (Oon </w:t>
      </w:r>
      <w:r>
        <w:rPr>
          <w:rFonts w:ascii="Arial" w:eastAsia="Arial" w:hAnsi="Arial" w:cs="Arial"/>
          <w:i/>
          <w:iCs/>
          <w:color w:val="000000"/>
        </w:rPr>
        <w:t>et al.</w:t>
      </w:r>
      <w:r>
        <w:rPr>
          <w:rFonts w:ascii="Arial" w:eastAsia="Arial" w:hAnsi="Arial" w:cs="Arial"/>
          <w:color w:val="000000"/>
        </w:rPr>
        <w:t xml:space="preserve"> 2023). </w:t>
      </w:r>
      <w:r>
        <w:rPr>
          <w:rFonts w:ascii="Arial" w:eastAsia="Arial" w:hAnsi="Arial" w:cs="Arial"/>
        </w:rPr>
        <w:t>The existing literature is fragmented, with several studies focusing separately on genomics, environmental reservoirs or outbreak investigation</w:t>
      </w:r>
      <w:r>
        <w:rPr>
          <w:rFonts w:ascii="Arial" w:eastAsia="Arial" w:hAnsi="Arial" w:cs="Arial"/>
          <w:color w:val="000000"/>
        </w:rPr>
        <w:t xml:space="preserve">. However, more than 40% of molecular epidemiology investigations employ non-standardised genomic procedures, which diminishes the cross-study comparability and strengthens evidence synthesis (Howley </w:t>
      </w:r>
      <w:r>
        <w:rPr>
          <w:rFonts w:ascii="Arial" w:eastAsia="Arial" w:hAnsi="Arial" w:cs="Arial"/>
          <w:i/>
          <w:iCs/>
          <w:color w:val="000000"/>
        </w:rPr>
        <w:t>et al.</w:t>
      </w:r>
      <w:r>
        <w:rPr>
          <w:rFonts w:ascii="Arial" w:eastAsia="Arial" w:hAnsi="Arial" w:cs="Arial"/>
          <w:color w:val="000000"/>
        </w:rPr>
        <w:t xml:space="preserve"> 2025). </w:t>
      </w:r>
      <w:r>
        <w:rPr>
          <w:rFonts w:ascii="Arial" w:eastAsia="Arial" w:hAnsi="Arial" w:cs="Arial"/>
        </w:rPr>
        <w:t xml:space="preserve">As a result, the translation of molecular findings into practical surveillance and prevention strategies remains inconsistent. </w:t>
      </w:r>
      <w:r>
        <w:rPr>
          <w:rFonts w:ascii="Arial" w:eastAsia="Arial" w:hAnsi="Arial" w:cs="Arial"/>
          <w:color w:val="000000"/>
        </w:rPr>
        <w:t xml:space="preserve">Genomic surveillance products are directly subjected to operational public health responses, and there is an ongoing disparity between the production of molecular data and the practical intervention strategies (Ling-Hu </w:t>
      </w:r>
      <w:r>
        <w:rPr>
          <w:rFonts w:ascii="Arial" w:eastAsia="Arial" w:hAnsi="Arial" w:cs="Arial"/>
          <w:i/>
          <w:iCs/>
          <w:color w:val="000000"/>
        </w:rPr>
        <w:t>et al.</w:t>
      </w:r>
      <w:r>
        <w:rPr>
          <w:rFonts w:ascii="Arial" w:eastAsia="Arial" w:hAnsi="Arial" w:cs="Arial"/>
          <w:color w:val="000000"/>
        </w:rPr>
        <w:t xml:space="preserve"> 2022). </w:t>
      </w:r>
      <w:r>
        <w:rPr>
          <w:rFonts w:ascii="Arial" w:eastAsia="Arial" w:hAnsi="Arial" w:cs="Arial"/>
        </w:rPr>
        <w:t xml:space="preserve">Furthermore, the environmental reservoirs continue to sustain </w:t>
      </w:r>
      <w:r>
        <w:rPr>
          <w:rFonts w:ascii="Arial" w:eastAsia="Arial" w:hAnsi="Arial" w:cs="Arial"/>
          <w:i/>
          <w:iCs/>
        </w:rPr>
        <w:t xml:space="preserve">Vibrio cholera </w:t>
      </w:r>
      <w:r>
        <w:rPr>
          <w:rFonts w:ascii="Arial" w:eastAsia="Arial" w:hAnsi="Arial" w:cs="Arial"/>
        </w:rPr>
        <w:t>between outbreaks, and their molecular characteristics to impact on transmission remain insufficiently synthesised. This gap limits the ability of health systems to develop targeted approaches for early detection, risk prediction and prevention of cholera transmissions.</w:t>
      </w:r>
    </w:p>
    <w:p w14:paraId="23349FF0" w14:textId="77777777" w:rsidR="00C244A9" w:rsidRDefault="00C244A9">
      <w:pPr>
        <w:pStyle w:val="Heading2"/>
        <w:ind w:firstLine="10"/>
        <w:rPr>
          <w:color w:val="000000"/>
        </w:rPr>
      </w:pPr>
      <w:bookmarkStart w:id="11" w:name="_heading=h.xmey8sz041vh" w:colFirst="0" w:colLast="0"/>
      <w:bookmarkEnd w:id="11"/>
    </w:p>
    <w:p w14:paraId="34E88B43" w14:textId="77777777" w:rsidR="00C244A9" w:rsidRDefault="00EF3F4D">
      <w:pPr>
        <w:pStyle w:val="Heading2"/>
        <w:ind w:firstLine="10"/>
        <w:rPr>
          <w:color w:val="000000"/>
        </w:rPr>
      </w:pPr>
      <w:bookmarkStart w:id="12" w:name="_Toc220842092"/>
      <w:r>
        <w:rPr>
          <w:color w:val="000000"/>
        </w:rPr>
        <w:t>1.4 Research question, Aims, and Objectives</w:t>
      </w:r>
      <w:bookmarkEnd w:id="12"/>
    </w:p>
    <w:p w14:paraId="58335158" w14:textId="77777777" w:rsidR="00C244A9" w:rsidRDefault="00EF3F4D" w:rsidP="006B6EF8">
      <w:pPr>
        <w:pStyle w:val="Heading3"/>
      </w:pPr>
      <w:bookmarkStart w:id="13" w:name="_Toc220842093"/>
      <w:r w:rsidRPr="006B6EF8">
        <w:t>Research</w:t>
      </w:r>
      <w:r>
        <w:t xml:space="preserve"> Question</w:t>
      </w:r>
      <w:bookmarkEnd w:id="13"/>
    </w:p>
    <w:p w14:paraId="43C48C2A"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How molecular epidemiology tools inform public health interventions aimed at preventing and</w:t>
      </w:r>
    </w:p>
    <w:p w14:paraId="6641F003"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Controlling indirect transmission of Cholera?</w:t>
      </w:r>
    </w:p>
    <w:p w14:paraId="0AA18B3E" w14:textId="77777777" w:rsidR="00C244A9" w:rsidRDefault="00C244A9">
      <w:pPr>
        <w:pBdr>
          <w:top w:val="nil"/>
          <w:left w:val="nil"/>
          <w:bottom w:val="nil"/>
          <w:right w:val="nil"/>
          <w:between w:val="nil"/>
        </w:pBdr>
        <w:spacing w:line="360" w:lineRule="auto"/>
        <w:jc w:val="both"/>
        <w:rPr>
          <w:rFonts w:ascii="Arial" w:eastAsia="Arial" w:hAnsi="Arial" w:cs="Arial"/>
          <w:b/>
          <w:bCs/>
        </w:rPr>
      </w:pPr>
    </w:p>
    <w:p w14:paraId="72678F6E" w14:textId="77777777" w:rsidR="00C244A9" w:rsidRDefault="00EF3F4D" w:rsidP="006B6EF8">
      <w:pPr>
        <w:pStyle w:val="Heading3"/>
      </w:pPr>
      <w:bookmarkStart w:id="14" w:name="_Toc220842094"/>
      <w:r>
        <w:t>Aim</w:t>
      </w:r>
      <w:bookmarkEnd w:id="14"/>
    </w:p>
    <w:p w14:paraId="09F65ADC"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The aim is to explore in the literature the molecular epidemiology technologies that investigate the transmission dynamics of cholera, informing public health interventions and strategies for disease prevention and control.</w:t>
      </w:r>
    </w:p>
    <w:p w14:paraId="4B0872FA" w14:textId="77777777" w:rsidR="00C244A9" w:rsidRDefault="00C244A9">
      <w:pPr>
        <w:pBdr>
          <w:top w:val="nil"/>
          <w:left w:val="nil"/>
          <w:bottom w:val="nil"/>
          <w:right w:val="nil"/>
          <w:between w:val="nil"/>
        </w:pBdr>
        <w:spacing w:line="360" w:lineRule="auto"/>
        <w:jc w:val="both"/>
        <w:rPr>
          <w:rFonts w:ascii="Arial" w:eastAsia="Arial" w:hAnsi="Arial" w:cs="Arial"/>
          <w:b/>
          <w:bCs/>
        </w:rPr>
      </w:pPr>
    </w:p>
    <w:p w14:paraId="1E2FBE7C" w14:textId="77777777" w:rsidR="00C244A9" w:rsidRDefault="00EF3F4D" w:rsidP="006B6EF8">
      <w:pPr>
        <w:pStyle w:val="Heading3"/>
      </w:pPr>
      <w:bookmarkStart w:id="15" w:name="_Toc220842095"/>
      <w:r>
        <w:t>Objectives</w:t>
      </w:r>
      <w:bookmarkEnd w:id="15"/>
    </w:p>
    <w:p w14:paraId="28AB5079" w14:textId="77777777" w:rsidR="00C244A9" w:rsidRDefault="00EF3F4D">
      <w:pPr>
        <w:numPr>
          <w:ilvl w:val="0"/>
          <w:numId w:val="2"/>
        </w:numPr>
        <w:pBdr>
          <w:top w:val="nil"/>
          <w:left w:val="nil"/>
          <w:bottom w:val="nil"/>
          <w:right w:val="nil"/>
          <w:between w:val="nil"/>
        </w:pBdr>
        <w:spacing w:after="0" w:line="360" w:lineRule="auto"/>
        <w:jc w:val="both"/>
        <w:rPr>
          <w:rFonts w:ascii="Arial" w:eastAsia="Arial" w:hAnsi="Arial" w:cs="Arial"/>
        </w:rPr>
      </w:pPr>
      <w:r>
        <w:rPr>
          <w:rFonts w:ascii="Arial" w:eastAsia="Arial" w:hAnsi="Arial" w:cs="Arial"/>
        </w:rPr>
        <w:t xml:space="preserve">To evaluate the effectiveness of molecular techniques (e.g., genomic sequencing and phylogenetic analysis) in detecting and characterising </w:t>
      </w:r>
      <w:r>
        <w:rPr>
          <w:rFonts w:ascii="Arial" w:eastAsia="Arial" w:hAnsi="Arial" w:cs="Arial"/>
          <w:i/>
          <w:iCs/>
        </w:rPr>
        <w:t>Vibrio cholerae</w:t>
      </w:r>
      <w:r>
        <w:rPr>
          <w:rFonts w:ascii="Arial" w:eastAsia="Arial" w:hAnsi="Arial" w:cs="Arial"/>
        </w:rPr>
        <w:t xml:space="preserve"> within environmental reservoirs and indirect transmission routes</w:t>
      </w:r>
    </w:p>
    <w:p w14:paraId="4F3AF8FD" w14:textId="77777777" w:rsidR="00C244A9" w:rsidRDefault="00EF3F4D">
      <w:pPr>
        <w:numPr>
          <w:ilvl w:val="0"/>
          <w:numId w:val="2"/>
        </w:numPr>
        <w:pBdr>
          <w:top w:val="nil"/>
          <w:left w:val="nil"/>
          <w:bottom w:val="nil"/>
          <w:right w:val="nil"/>
          <w:between w:val="nil"/>
        </w:pBdr>
        <w:spacing w:after="0" w:line="360" w:lineRule="auto"/>
        <w:jc w:val="both"/>
        <w:rPr>
          <w:rFonts w:ascii="Arial" w:eastAsia="Arial" w:hAnsi="Arial" w:cs="Arial"/>
        </w:rPr>
      </w:pPr>
      <w:r>
        <w:rPr>
          <w:rFonts w:ascii="Arial" w:eastAsia="Arial" w:hAnsi="Arial" w:cs="Arial"/>
        </w:rPr>
        <w:t>To explore the molecular and environmental factors that influence indirect transmission of cholera, including water sources sanitation, and vector pathways.</w:t>
      </w:r>
    </w:p>
    <w:p w14:paraId="246EE33E" w14:textId="77777777" w:rsidR="00C244A9" w:rsidRDefault="00EF3F4D">
      <w:pPr>
        <w:numPr>
          <w:ilvl w:val="0"/>
          <w:numId w:val="2"/>
        </w:numPr>
        <w:pBdr>
          <w:top w:val="nil"/>
          <w:left w:val="nil"/>
          <w:bottom w:val="nil"/>
          <w:right w:val="nil"/>
          <w:between w:val="nil"/>
        </w:pBdr>
        <w:spacing w:after="0" w:line="360" w:lineRule="auto"/>
        <w:jc w:val="both"/>
        <w:rPr>
          <w:rFonts w:ascii="Arial" w:eastAsia="Arial" w:hAnsi="Arial" w:cs="Arial"/>
        </w:rPr>
      </w:pPr>
      <w:r>
        <w:rPr>
          <w:rFonts w:ascii="Arial" w:eastAsia="Arial" w:hAnsi="Arial" w:cs="Arial"/>
        </w:rPr>
        <w:t xml:space="preserve">To provide recommendations regarding molecular epidemiology findings that target public health interventions aimed at improving outbreak detection, prevention, and control of cholera       </w:t>
      </w:r>
    </w:p>
    <w:p w14:paraId="4D10997D" w14:textId="77777777" w:rsidR="00C244A9" w:rsidRDefault="00C244A9">
      <w:pPr>
        <w:pBdr>
          <w:top w:val="nil"/>
          <w:left w:val="nil"/>
          <w:bottom w:val="nil"/>
          <w:right w:val="nil"/>
          <w:between w:val="nil"/>
        </w:pBdr>
        <w:spacing w:line="360" w:lineRule="auto"/>
        <w:ind w:left="720"/>
        <w:jc w:val="both"/>
        <w:rPr>
          <w:rFonts w:ascii="Arial" w:eastAsia="Arial" w:hAnsi="Arial" w:cs="Arial"/>
        </w:rPr>
      </w:pPr>
    </w:p>
    <w:p w14:paraId="10DD33B1" w14:textId="77777777" w:rsidR="00C244A9" w:rsidRDefault="00EF3F4D">
      <w:pPr>
        <w:pStyle w:val="Heading2"/>
        <w:ind w:firstLine="10"/>
        <w:rPr>
          <w:color w:val="000000"/>
        </w:rPr>
      </w:pPr>
      <w:bookmarkStart w:id="16" w:name="_heading=h.uglbxfy5se3a" w:colFirst="0" w:colLast="0"/>
      <w:bookmarkStart w:id="17" w:name="_Toc220842096"/>
      <w:bookmarkEnd w:id="16"/>
      <w:r>
        <w:rPr>
          <w:color w:val="000000"/>
        </w:rPr>
        <w:t>1.5. Dissertation Structure</w:t>
      </w:r>
      <w:bookmarkEnd w:id="17"/>
    </w:p>
    <w:p w14:paraId="1114DAA1" w14:textId="77777777" w:rsidR="00C244A9" w:rsidRDefault="00EF3F4D">
      <w:pPr>
        <w:spacing w:line="360" w:lineRule="auto"/>
        <w:jc w:val="both"/>
        <w:rPr>
          <w:rFonts w:ascii="Arial" w:eastAsia="Arial" w:hAnsi="Arial" w:cs="Arial"/>
        </w:rPr>
      </w:pPr>
      <w:r>
        <w:rPr>
          <w:rFonts w:ascii="Arial" w:eastAsia="Arial" w:hAnsi="Arial" w:cs="Arial"/>
        </w:rPr>
        <w:t>This dissertation has developed with five chapters in which chapter one has introduced the research context, problem statement, aims, objectives and significance and rationale underpinning the research. The chapter two will present a critical literature review on cholera transmission, molecular epidemiology tools and theoretical frameworks identifying the key knowledge gaps. Furthermore, chapter three will outline the systematic review methodology including research philosophy, design, data collection, analysis, and ethical considerations. The chapter four will report and synthesise the findings from the selected studies. Chapter five will discuss the findings, implications for public health practice, study limitations and conclude with recommendations for future research. The structure will ensure strategic coherence. Clarity and logical progression as well.</w:t>
      </w:r>
    </w:p>
    <w:p w14:paraId="68141758" w14:textId="77777777" w:rsidR="00C244A9" w:rsidRDefault="00C244A9">
      <w:pPr>
        <w:pBdr>
          <w:top w:val="nil"/>
          <w:left w:val="nil"/>
          <w:bottom w:val="nil"/>
          <w:right w:val="nil"/>
          <w:between w:val="nil"/>
        </w:pBdr>
        <w:spacing w:line="360" w:lineRule="auto"/>
        <w:jc w:val="both"/>
        <w:rPr>
          <w:rFonts w:ascii="Arial" w:eastAsia="Arial" w:hAnsi="Arial" w:cs="Arial"/>
        </w:rPr>
      </w:pPr>
    </w:p>
    <w:p w14:paraId="65D08866" w14:textId="77777777" w:rsidR="00C244A9" w:rsidRDefault="00EF3F4D" w:rsidP="00504F37">
      <w:pPr>
        <w:pStyle w:val="Heading2"/>
      </w:pPr>
      <w:bookmarkStart w:id="18" w:name="_heading=h.hiqlor4mtsnq" w:colFirst="0" w:colLast="0"/>
      <w:bookmarkStart w:id="19" w:name="_Toc220842097"/>
      <w:bookmarkEnd w:id="18"/>
      <w:r>
        <w:t xml:space="preserve">1.6 </w:t>
      </w:r>
      <w:r w:rsidRPr="00504F37">
        <w:t>Research</w:t>
      </w:r>
      <w:r>
        <w:t xml:space="preserve"> significance and rationale</w:t>
      </w:r>
      <w:bookmarkEnd w:id="19"/>
    </w:p>
    <w:p w14:paraId="0C0D8D72"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Significance</w:t>
      </w:r>
    </w:p>
    <w:p w14:paraId="7EF80076" w14:textId="77777777" w:rsidR="00C244A9" w:rsidRDefault="00EF3F4D">
      <w:pPr>
        <w:spacing w:line="360" w:lineRule="auto"/>
        <w:jc w:val="both"/>
        <w:rPr>
          <w:rFonts w:ascii="Arial" w:eastAsia="Arial" w:hAnsi="Arial" w:cs="Arial"/>
        </w:rPr>
      </w:pPr>
      <w:r>
        <w:rPr>
          <w:rFonts w:ascii="Arial" w:eastAsia="Arial" w:hAnsi="Arial" w:cs="Arial"/>
        </w:rPr>
        <w:t xml:space="preserve">Cholera causes global fatality with several cases reflected globally and UK specific outcomes. This disease enhances in several world countries characterised with poor health systems, unhygienic water sources and climate issues. However, the European government reports 29 imported cases from 9 countries with rise in global travel, warming seas and emerging </w:t>
      </w:r>
      <w:r>
        <w:rPr>
          <w:rFonts w:ascii="Arial" w:eastAsia="Arial" w:hAnsi="Arial" w:cs="Arial"/>
          <w:i/>
          <w:iCs/>
        </w:rPr>
        <w:t xml:space="preserve">Vibrio </w:t>
      </w:r>
      <w:r>
        <w:rPr>
          <w:rFonts w:ascii="Arial" w:eastAsia="Arial" w:hAnsi="Arial" w:cs="Arial"/>
        </w:rPr>
        <w:t xml:space="preserve">detections in 2022 (ECDC, 2022). The coastal waters undermine the significance of maintaining effective surveillance and preparedness frameworks. The comprehension of the disease from </w:t>
      </w:r>
      <w:r>
        <w:rPr>
          <w:rFonts w:ascii="Arial" w:eastAsia="Arial" w:hAnsi="Arial" w:cs="Arial"/>
        </w:rPr>
        <w:lastRenderedPageBreak/>
        <w:t>molecular aspects is highly crucial for endemic regions as well as for the country-specific outcomes which remain vulnerable to important pathogenic and environmental shifts.</w:t>
      </w:r>
    </w:p>
    <w:p w14:paraId="0B36BBF6" w14:textId="77777777" w:rsidR="00C244A9" w:rsidRDefault="00EF3F4D">
      <w:pPr>
        <w:spacing w:line="360" w:lineRule="auto"/>
        <w:jc w:val="both"/>
        <w:rPr>
          <w:rFonts w:ascii="Arial" w:eastAsia="Arial" w:hAnsi="Arial" w:cs="Arial"/>
        </w:rPr>
      </w:pPr>
      <w:r>
        <w:rPr>
          <w:rFonts w:ascii="Arial" w:eastAsia="Arial" w:hAnsi="Arial" w:cs="Arial"/>
        </w:rPr>
        <w:t xml:space="preserve">The significance of this research lies in the focus on the indirect environmental transmission pathways of </w:t>
      </w:r>
      <w:r>
        <w:rPr>
          <w:rFonts w:ascii="Arial" w:eastAsia="Arial" w:hAnsi="Arial" w:cs="Arial"/>
          <w:i/>
          <w:iCs/>
        </w:rPr>
        <w:t xml:space="preserve">Vibrio cholerae </w:t>
      </w:r>
      <w:r>
        <w:rPr>
          <w:rFonts w:ascii="Arial" w:eastAsia="Arial" w:hAnsi="Arial" w:cs="Arial"/>
        </w:rPr>
        <w:t xml:space="preserve">which are often overlooked in classical epidemiology. Molecular epidemiology tools including whole-genome sequencing, phylogenetics and environmental genomic surveillance providing essential insights into pathogen evolution, ecological persistence and transmission dynamics (Wood </w:t>
      </w:r>
      <w:r>
        <w:rPr>
          <w:rFonts w:ascii="Arial" w:eastAsia="Arial" w:hAnsi="Arial" w:cs="Arial"/>
          <w:i/>
          <w:iCs/>
        </w:rPr>
        <w:t>et al.</w:t>
      </w:r>
      <w:r>
        <w:rPr>
          <w:rFonts w:ascii="Arial" w:eastAsia="Arial" w:hAnsi="Arial" w:cs="Arial"/>
        </w:rPr>
        <w:t xml:space="preserve"> 2024). These techniques allow public health systems to trace outbreak origins to find high-risk environmental reservoirs by detecting emerging antimicrobial-resistant lineages. The research improves understanding of the way early detection, risk assessment and targeted interventions could be enhanced to synthesise the literature on these molecular methods.</w:t>
      </w:r>
    </w:p>
    <w:p w14:paraId="4DD5810B" w14:textId="77777777" w:rsidR="00C244A9" w:rsidRDefault="00EF3F4D">
      <w:pPr>
        <w:spacing w:line="360" w:lineRule="auto"/>
        <w:jc w:val="both"/>
        <w:rPr>
          <w:rFonts w:ascii="Arial" w:eastAsia="Arial" w:hAnsi="Arial" w:cs="Arial"/>
          <w:b/>
          <w:bCs/>
          <w:i/>
          <w:iCs/>
        </w:rPr>
      </w:pPr>
      <w:r>
        <w:rPr>
          <w:rFonts w:ascii="Arial" w:eastAsia="Arial" w:hAnsi="Arial" w:cs="Arial"/>
        </w:rPr>
        <w:t>Moreover, the global health guidelines including WHO Global Task Force on Cholera Control (GTFCC), focus on the integration of genomic data into national surveillance systems (GTFCC, 2025). This research will contribute to those objectives by using the molecular findings as well. This will support timely outbreak responses with informed WASH interventions and high environmental monitoring by enhancing strengths of national and international public health capabilities.</w:t>
      </w:r>
    </w:p>
    <w:p w14:paraId="12C45113"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Rationale</w:t>
      </w:r>
    </w:p>
    <w:p w14:paraId="106703B9" w14:textId="77777777" w:rsidR="00C244A9" w:rsidRDefault="00EF3F4D">
      <w:pPr>
        <w:spacing w:line="360" w:lineRule="auto"/>
        <w:jc w:val="both"/>
        <w:rPr>
          <w:rFonts w:ascii="Arial" w:eastAsia="Arial" w:hAnsi="Arial" w:cs="Arial"/>
        </w:rPr>
      </w:pPr>
      <w:r>
        <w:rPr>
          <w:rFonts w:ascii="Arial" w:eastAsia="Arial" w:hAnsi="Arial" w:cs="Arial"/>
        </w:rPr>
        <w:t xml:space="preserve">The rationale for conducting this research showcases the requirements to close the gap between rapidly advancing molecular technologies and their practical application in cholera control, particularly in relation to indirect transmission. The translation of this evidence into public health decision-making remains insufficient while genomic and phylogenetic data on </w:t>
      </w:r>
      <w:r>
        <w:rPr>
          <w:rFonts w:ascii="Arial" w:eastAsia="Arial" w:hAnsi="Arial" w:cs="Arial"/>
          <w:i/>
          <w:iCs/>
        </w:rPr>
        <w:t xml:space="preserve">Vibrio cholerae </w:t>
      </w:r>
      <w:r>
        <w:rPr>
          <w:rFonts w:ascii="Arial" w:eastAsia="Arial" w:hAnsi="Arial" w:cs="Arial"/>
        </w:rPr>
        <w:t>O1</w:t>
      </w:r>
      <w:r>
        <w:rPr>
          <w:rFonts w:ascii="Arial" w:eastAsia="Arial" w:hAnsi="Arial" w:cs="Arial"/>
          <w:i/>
          <w:iCs/>
        </w:rPr>
        <w:t xml:space="preserve"> </w:t>
      </w:r>
      <w:r>
        <w:rPr>
          <w:rFonts w:ascii="Arial" w:eastAsia="Arial" w:hAnsi="Arial" w:cs="Arial"/>
        </w:rPr>
        <w:t xml:space="preserve">(Rouard </w:t>
      </w:r>
      <w:r>
        <w:rPr>
          <w:rFonts w:ascii="Arial" w:eastAsia="Arial" w:hAnsi="Arial" w:cs="Arial"/>
          <w:i/>
          <w:iCs/>
        </w:rPr>
        <w:t xml:space="preserve">et al. </w:t>
      </w:r>
      <w:r>
        <w:rPr>
          <w:rFonts w:ascii="Arial" w:eastAsia="Arial" w:hAnsi="Arial" w:cs="Arial"/>
        </w:rPr>
        <w:t>2024). The outbreak management strategies sometimes depend highly on traditional clinical surveillance which can fail to recognise early environmental signals or the molecular characteristics which shape disease spread (Montero</w:t>
      </w:r>
      <w:r>
        <w:rPr>
          <w:rFonts w:ascii="Arial" w:eastAsia="Arial" w:hAnsi="Arial" w:cs="Arial"/>
          <w:i/>
          <w:iCs/>
        </w:rPr>
        <w:t xml:space="preserve"> et al.</w:t>
      </w:r>
      <w:r>
        <w:rPr>
          <w:rFonts w:ascii="Arial" w:eastAsia="Arial" w:hAnsi="Arial" w:cs="Arial"/>
        </w:rPr>
        <w:t xml:space="preserve"> 2023). This limits the effectiveness of prevention efforts especially in regions where environmental reservoirs sustain the pathogen between epidemics (Montero</w:t>
      </w:r>
      <w:r>
        <w:rPr>
          <w:rFonts w:ascii="Arial" w:eastAsia="Arial" w:hAnsi="Arial" w:cs="Arial"/>
          <w:i/>
          <w:iCs/>
        </w:rPr>
        <w:t xml:space="preserve"> et al.</w:t>
      </w:r>
      <w:r>
        <w:rPr>
          <w:rFonts w:ascii="Arial" w:eastAsia="Arial" w:hAnsi="Arial" w:cs="Arial"/>
        </w:rPr>
        <w:t xml:space="preserve"> 2023). The systematic review is necessary to consolidate the dispersed evidence on the way molecular epidemiology improves comprehending of cholera ecology, environmental persistence and outbreak dynamics (Wang, 2022). The findings will support proper interpretation of genomic data for public health usage including risk prediction, detection of emerging strains and identification of transmission pathways. Policymakers and practitioners will be required to learn from the evidence for integrating molecular surveillance into </w:t>
      </w:r>
      <w:r>
        <w:rPr>
          <w:rFonts w:ascii="Arial" w:eastAsia="Arial" w:hAnsi="Arial" w:cs="Arial"/>
        </w:rPr>
        <w:lastRenderedPageBreak/>
        <w:t xml:space="preserve">routine cholera control approaches. Climate change and higher global mobility are altering the cholera risk landscapes (Bastin </w:t>
      </w:r>
      <w:r>
        <w:rPr>
          <w:rFonts w:ascii="Arial" w:eastAsia="Arial" w:hAnsi="Arial" w:cs="Arial"/>
          <w:i/>
          <w:iCs/>
        </w:rPr>
        <w:t>et al.</w:t>
      </w:r>
      <w:r>
        <w:rPr>
          <w:rFonts w:ascii="Arial" w:eastAsia="Arial" w:hAnsi="Arial" w:cs="Arial"/>
        </w:rPr>
        <w:t xml:space="preserve"> 2024). Rising sea temperatures and extreme weather events have expanded the ecological niches where </w:t>
      </w:r>
      <w:r>
        <w:rPr>
          <w:rFonts w:ascii="Arial" w:eastAsia="Arial" w:hAnsi="Arial" w:cs="Arial"/>
          <w:i/>
          <w:iCs/>
        </w:rPr>
        <w:t xml:space="preserve">Vibrio cholerae </w:t>
      </w:r>
      <w:r>
        <w:rPr>
          <w:rFonts w:ascii="Arial" w:eastAsia="Arial" w:hAnsi="Arial" w:cs="Arial"/>
        </w:rPr>
        <w:t xml:space="preserve">can survive such as in non-endemic regions (Archer </w:t>
      </w:r>
      <w:r>
        <w:rPr>
          <w:rFonts w:ascii="Arial" w:eastAsia="Arial" w:hAnsi="Arial" w:cs="Arial"/>
          <w:i/>
          <w:iCs/>
        </w:rPr>
        <w:t>et al.</w:t>
      </w:r>
      <w:r>
        <w:rPr>
          <w:rFonts w:ascii="Arial" w:eastAsia="Arial" w:hAnsi="Arial" w:cs="Arial"/>
        </w:rPr>
        <w:t xml:space="preserve"> 2023). This changes the urgency of comprehending molecular mechanisms which allow environmental persistence. The rationale aligns with the growing need for antimicrobial resistance monitoring as resistant strains threaten global treatment effectiveness. Thus, this research will address a timely and important need to analyse the way molecular tools can support the modern, predictive and environmentally informed cholera prevention strategies.</w:t>
      </w:r>
    </w:p>
    <w:p w14:paraId="5B067E10" w14:textId="77777777" w:rsidR="00C244A9" w:rsidRDefault="00C244A9">
      <w:pPr>
        <w:pStyle w:val="Heading2"/>
        <w:ind w:firstLine="10"/>
        <w:rPr>
          <w:color w:val="000000"/>
        </w:rPr>
      </w:pPr>
      <w:bookmarkStart w:id="20" w:name="_heading=h.g92hvclgk33" w:colFirst="0" w:colLast="0"/>
      <w:bookmarkEnd w:id="20"/>
    </w:p>
    <w:p w14:paraId="231F0BF3" w14:textId="77777777" w:rsidR="00C244A9" w:rsidRDefault="00EF3F4D" w:rsidP="00504F37">
      <w:pPr>
        <w:pStyle w:val="Heading2"/>
      </w:pPr>
      <w:bookmarkStart w:id="21" w:name="_Toc220842098"/>
      <w:r>
        <w:t xml:space="preserve">1.7 </w:t>
      </w:r>
      <w:r w:rsidRPr="00504F37">
        <w:t>Summary</w:t>
      </w:r>
      <w:r>
        <w:t xml:space="preserve"> of the Chapter</w:t>
      </w:r>
      <w:bookmarkEnd w:id="21"/>
    </w:p>
    <w:p w14:paraId="791A1E79"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This chapter has introduced the research by outlining the global and UK relevance of cholera with the focus on indirect environmental transmission and the growing role of molecular epidemiology. This has shown the research background, identified research problems and highlighted the requirements for improved understanding of molecular tools in public health decision-making. This chapter has also outlined the research aim, objectives and question and provided the significance and rationale supporting the research. </w:t>
      </w:r>
    </w:p>
    <w:p w14:paraId="7A1006CF" w14:textId="77777777" w:rsidR="00C244A9" w:rsidRDefault="00EF3F4D">
      <w:pPr>
        <w:spacing w:after="0"/>
      </w:pPr>
      <w:r>
        <w:tab/>
        <w:t xml:space="preserve"> </w:t>
      </w:r>
    </w:p>
    <w:p w14:paraId="53E220F8" w14:textId="77777777" w:rsidR="00C244A9" w:rsidRDefault="00EF3F4D">
      <w:pPr>
        <w:rPr>
          <w:b/>
          <w:bCs/>
          <w:sz w:val="24"/>
          <w:szCs w:val="24"/>
        </w:rPr>
      </w:pPr>
      <w:r>
        <w:br w:type="page"/>
      </w:r>
    </w:p>
    <w:p w14:paraId="2517A7FB" w14:textId="77777777" w:rsidR="00C244A9" w:rsidRDefault="00EF3F4D">
      <w:pPr>
        <w:pStyle w:val="Heading1"/>
        <w:spacing w:after="610"/>
        <w:ind w:left="12" w:right="6" w:firstLine="0"/>
      </w:pPr>
      <w:bookmarkStart w:id="22" w:name="_Toc220786086"/>
      <w:bookmarkStart w:id="23" w:name="_Toc220842099"/>
      <w:r>
        <w:lastRenderedPageBreak/>
        <w:t>Chapter 2: Literature review/theoretical framework</w:t>
      </w:r>
      <w:bookmarkEnd w:id="22"/>
      <w:bookmarkEnd w:id="23"/>
      <w:r>
        <w:t xml:space="preserve"> </w:t>
      </w:r>
    </w:p>
    <w:p w14:paraId="17941284" w14:textId="77777777" w:rsidR="00C244A9" w:rsidRDefault="00EF3F4D">
      <w:pPr>
        <w:pStyle w:val="Heading2"/>
        <w:ind w:firstLine="10"/>
        <w:rPr>
          <w:color w:val="000000"/>
        </w:rPr>
      </w:pPr>
      <w:bookmarkStart w:id="24" w:name="_heading=h.ei90k8yxyswc" w:colFirst="0" w:colLast="0"/>
      <w:bookmarkStart w:id="25" w:name="_Toc220842100"/>
      <w:bookmarkEnd w:id="24"/>
      <w:r>
        <w:rPr>
          <w:color w:val="000000"/>
        </w:rPr>
        <w:t>2.1 Introduction</w:t>
      </w:r>
      <w:bookmarkEnd w:id="25"/>
    </w:p>
    <w:p w14:paraId="26970CA0"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This chapter critically reviews current literature on the molecular epidemiology of cholera with a specific focus on technologies used to investigate indirect transmission routes and environmental reservoirs. This chapter will discuss and evaluate the role of genomic sequencing and molecular roles in detecting, characterising and tracking </w:t>
      </w:r>
      <w:r>
        <w:rPr>
          <w:rFonts w:ascii="Arial" w:eastAsia="Arial" w:hAnsi="Arial" w:cs="Arial"/>
          <w:i/>
          <w:iCs/>
        </w:rPr>
        <w:t>Vibrio cholerae</w:t>
      </w:r>
      <w:r>
        <w:rPr>
          <w:rFonts w:ascii="Arial" w:eastAsia="Arial" w:hAnsi="Arial" w:cs="Arial"/>
        </w:rPr>
        <w:t>. The emphasis will be on the way these techniques improve comprehension of environmental persistence by informing public health interventions. This chapter concluded to find the literature gap and theories with exciting research to summarise the recommendation for future research.</w:t>
      </w:r>
    </w:p>
    <w:p w14:paraId="0BCC1239" w14:textId="77777777" w:rsidR="00C244A9" w:rsidRDefault="00C244A9">
      <w:pPr>
        <w:pStyle w:val="Heading2"/>
        <w:ind w:firstLine="10"/>
        <w:rPr>
          <w:color w:val="000000"/>
        </w:rPr>
      </w:pPr>
      <w:bookmarkStart w:id="26" w:name="_heading=h.uo7uw9kpkgao" w:colFirst="0" w:colLast="0"/>
      <w:bookmarkEnd w:id="26"/>
    </w:p>
    <w:p w14:paraId="2EE3BBBF" w14:textId="77777777" w:rsidR="00C244A9" w:rsidRDefault="00EF3F4D">
      <w:pPr>
        <w:pStyle w:val="Heading2"/>
        <w:ind w:firstLine="10"/>
        <w:rPr>
          <w:color w:val="000000"/>
        </w:rPr>
      </w:pPr>
      <w:bookmarkStart w:id="27" w:name="_Toc220842101"/>
      <w:r>
        <w:rPr>
          <w:color w:val="000000"/>
        </w:rPr>
        <w:t>2.2 Molecular epidemiological tools introduced</w:t>
      </w:r>
      <w:bookmarkEnd w:id="27"/>
    </w:p>
    <w:p w14:paraId="71A65A36"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Molecular tools provide the ability to sub-classify organisms into meaningful groups, and to detect (e.g., genomic sequencing), and to trace living organisms in the human body or in the environment, and to detect diseases’ symptoms early (Eybpoos </w:t>
      </w:r>
      <w:r>
        <w:rPr>
          <w:rFonts w:ascii="Arial" w:eastAsia="Arial" w:hAnsi="Arial" w:cs="Arial"/>
          <w:i/>
          <w:iCs/>
        </w:rPr>
        <w:t xml:space="preserve">et al. </w:t>
      </w:r>
      <w:r>
        <w:rPr>
          <w:rFonts w:ascii="Arial" w:eastAsia="Arial" w:hAnsi="Arial" w:cs="Arial"/>
        </w:rPr>
        <w:t xml:space="preserve">2017). The epidemiological investigation of </w:t>
      </w:r>
      <w:r>
        <w:rPr>
          <w:rFonts w:ascii="Arial" w:eastAsia="Arial" w:hAnsi="Arial" w:cs="Arial"/>
          <w:i/>
          <w:iCs/>
        </w:rPr>
        <w:t>Vibrio cholerae</w:t>
      </w:r>
      <w:r>
        <w:rPr>
          <w:rFonts w:ascii="Arial" w:eastAsia="Arial" w:hAnsi="Arial" w:cs="Arial"/>
        </w:rPr>
        <w:t xml:space="preserve">, the causative agent of cholera, starts with traditional microbiological tools including culture, biochemical identification and serotyping that serve as the foundation for confirming suspected clinical areas. As per Eybpoos </w:t>
      </w:r>
      <w:r>
        <w:rPr>
          <w:rFonts w:ascii="Arial" w:eastAsia="Arial" w:hAnsi="Arial" w:cs="Arial"/>
          <w:i/>
          <w:iCs/>
        </w:rPr>
        <w:t>et al.</w:t>
      </w:r>
      <w:r>
        <w:rPr>
          <w:rFonts w:ascii="Arial" w:eastAsia="Arial" w:hAnsi="Arial" w:cs="Arial"/>
        </w:rPr>
        <w:t xml:space="preserve"> (2017), these methods allow laboratories to isolate by identifying </w:t>
      </w:r>
      <w:r>
        <w:rPr>
          <w:rFonts w:ascii="Arial" w:eastAsia="Arial" w:hAnsi="Arial" w:cs="Arial"/>
          <w:i/>
          <w:iCs/>
        </w:rPr>
        <w:t xml:space="preserve">Vibrio cholerae </w:t>
      </w:r>
      <w:r>
        <w:rPr>
          <w:rFonts w:ascii="Arial" w:eastAsia="Arial" w:hAnsi="Arial" w:cs="Arial"/>
        </w:rPr>
        <w:t>from patient stool samples and environmental sources supporting outbreak response and case confirmations. However, while conventional techniques are essential for initial detection and public health surveillance, they lack adequate resolution to differentiate between closely related strains or to track the transmission dynamics across and between the outbreaks.</w:t>
      </w:r>
    </w:p>
    <w:p w14:paraId="15DFC2EE"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Furthermore, the molecular epidemiological tools including multi-locus variable-number tandem-repeat analysis (MLVA) and whole-genome sequencing (WGS) provide the ability to sub-classify </w:t>
      </w:r>
      <w:r>
        <w:rPr>
          <w:rFonts w:ascii="Arial" w:eastAsia="Arial" w:hAnsi="Arial" w:cs="Arial"/>
          <w:i/>
          <w:iCs/>
        </w:rPr>
        <w:t xml:space="preserve">Vibrio cholera </w:t>
      </w:r>
      <w:r>
        <w:rPr>
          <w:rFonts w:ascii="Arial" w:eastAsia="Arial" w:hAnsi="Arial" w:cs="Arial"/>
        </w:rPr>
        <w:t xml:space="preserve">isolated into different genetic lineages (Jalalizadeh </w:t>
      </w:r>
      <w:r>
        <w:rPr>
          <w:rFonts w:ascii="Arial" w:eastAsia="Arial" w:hAnsi="Arial" w:cs="Arial"/>
          <w:i/>
          <w:iCs/>
        </w:rPr>
        <w:t>et al.</w:t>
      </w:r>
      <w:r>
        <w:rPr>
          <w:rFonts w:ascii="Arial" w:eastAsia="Arial" w:hAnsi="Arial" w:cs="Arial"/>
        </w:rPr>
        <w:t xml:space="preserve"> 2024). These strategies develop high-resolution genetic fingerprints which reveal clonal relationships and transmission pathways across spatial and temporal scales. For example, the genotyping approach has identified 31 multi-locus haplotypes which grouped into three clusters of single-locus variants plus one unique lineage based on analysis of 93 Xpm strains collected globally one five decades (Rache </w:t>
      </w:r>
      <w:r>
        <w:rPr>
          <w:rFonts w:ascii="Arial" w:eastAsia="Arial" w:hAnsi="Arial" w:cs="Arial"/>
          <w:i/>
          <w:iCs/>
        </w:rPr>
        <w:t>et al.</w:t>
      </w:r>
      <w:r>
        <w:rPr>
          <w:rFonts w:ascii="Arial" w:eastAsia="Arial" w:hAnsi="Arial" w:cs="Arial"/>
        </w:rPr>
        <w:t xml:space="preserve"> 2023). These molecular methods also uncover genotype changes in virulence and resistance determinants which traditional epidemiology would exclude by improving outbreak </w:t>
      </w:r>
      <w:r>
        <w:rPr>
          <w:rFonts w:ascii="Arial" w:eastAsia="Arial" w:hAnsi="Arial" w:cs="Arial"/>
        </w:rPr>
        <w:lastRenderedPageBreak/>
        <w:t>investigation, source tracking and surveillance strategic planning prior to application of genomic sequencing in broader epidemiological frameworks.</w:t>
      </w:r>
    </w:p>
    <w:p w14:paraId="4445DAEF" w14:textId="77777777" w:rsidR="00C244A9" w:rsidRDefault="00C244A9" w:rsidP="006B6EF8">
      <w:pPr>
        <w:pStyle w:val="Heading3"/>
      </w:pPr>
      <w:bookmarkStart w:id="28" w:name="_heading=h.ueesv7ld9dh2" w:colFirst="0" w:colLast="0"/>
      <w:bookmarkEnd w:id="28"/>
    </w:p>
    <w:p w14:paraId="46ECDEB0" w14:textId="77777777" w:rsidR="00C244A9" w:rsidRDefault="00EF3F4D" w:rsidP="006B6EF8">
      <w:pPr>
        <w:pStyle w:val="Heading3"/>
      </w:pPr>
      <w:bookmarkStart w:id="29" w:name="_Toc220842102"/>
      <w:r>
        <w:t>2.2.1 Genomic sequencing of Vibrio cholerae</w:t>
      </w:r>
      <w:bookmarkEnd w:id="29"/>
    </w:p>
    <w:p w14:paraId="0827D3F1"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Genomic sequencing has transformed the understanding of </w:t>
      </w:r>
      <w:r>
        <w:rPr>
          <w:rFonts w:ascii="Arial" w:eastAsia="Arial" w:hAnsi="Arial" w:cs="Arial"/>
          <w:i/>
          <w:iCs/>
        </w:rPr>
        <w:t xml:space="preserve">Vibrio cholerae </w:t>
      </w:r>
      <w:r>
        <w:rPr>
          <w:rFonts w:ascii="Arial" w:eastAsia="Arial" w:hAnsi="Arial" w:cs="Arial"/>
        </w:rPr>
        <w:t xml:space="preserve">ecology to enable researchers tracing the bacterium’s genetic evolutions, environmental persistence and transmission pathways with unprecedented precision. Whole genome sequencing (WGS) (see Figure 2.2) enables highly thorough analysis capable of discriminating between closely related strains, identifying sero-groups, tracking antibiotic resistance markets, and revealing lineage-specific modifications (Odoi </w:t>
      </w:r>
      <w:r>
        <w:rPr>
          <w:rFonts w:ascii="Arial" w:eastAsia="Arial" w:hAnsi="Arial" w:cs="Arial"/>
          <w:i/>
          <w:iCs/>
        </w:rPr>
        <w:t>et al.</w:t>
      </w:r>
      <w:r>
        <w:rPr>
          <w:rFonts w:ascii="Arial" w:eastAsia="Arial" w:hAnsi="Arial" w:cs="Arial"/>
        </w:rPr>
        <w:t xml:space="preserve"> 2025). These insights have provided valuable insights for comprehending indirect transmission of </w:t>
      </w:r>
      <w:r>
        <w:rPr>
          <w:rFonts w:ascii="Arial" w:eastAsia="Arial" w:hAnsi="Arial" w:cs="Arial"/>
          <w:i/>
          <w:iCs/>
        </w:rPr>
        <w:t xml:space="preserve">Vibrio cholera </w:t>
      </w:r>
      <w:r>
        <w:rPr>
          <w:rFonts w:ascii="Arial" w:eastAsia="Arial" w:hAnsi="Arial" w:cs="Arial"/>
        </w:rPr>
        <w:t>cycles through aquatic reservoirs, sediments, biofilms and planktonic systems before re-infecting human populations.</w:t>
      </w:r>
    </w:p>
    <w:p w14:paraId="7AFA7B65" w14:textId="77777777" w:rsidR="00C244A9" w:rsidRDefault="00EF3F4D">
      <w:pPr>
        <w:pBdr>
          <w:top w:val="nil"/>
          <w:left w:val="nil"/>
          <w:bottom w:val="nil"/>
          <w:right w:val="nil"/>
          <w:between w:val="nil"/>
        </w:pBdr>
        <w:spacing w:line="360" w:lineRule="auto"/>
        <w:jc w:val="center"/>
        <w:rPr>
          <w:rFonts w:ascii="Arial" w:eastAsia="Arial" w:hAnsi="Arial" w:cs="Arial"/>
        </w:rPr>
      </w:pPr>
      <w:r>
        <w:rPr>
          <w:rFonts w:ascii="Arial" w:eastAsia="Arial" w:hAnsi="Arial" w:cs="Arial"/>
          <w:noProof/>
        </w:rPr>
        <w:drawing>
          <wp:inline distT="114300" distB="114300" distL="114300" distR="114300" wp14:anchorId="43292112" wp14:editId="1BE68BC7">
            <wp:extent cx="3719513" cy="3767199"/>
            <wp:effectExtent l="25400" t="25400" r="25400" b="25400"/>
            <wp:docPr id="2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3719513" cy="3767199"/>
                    </a:xfrm>
                    <a:prstGeom prst="rect">
                      <a:avLst/>
                    </a:prstGeom>
                    <a:ln w="25400">
                      <a:solidFill>
                        <a:srgbClr val="000000"/>
                      </a:solidFill>
                      <a:prstDash val="solid"/>
                    </a:ln>
                  </pic:spPr>
                </pic:pic>
              </a:graphicData>
            </a:graphic>
          </wp:inline>
        </w:drawing>
      </w:r>
    </w:p>
    <w:p w14:paraId="765CD064" w14:textId="77777777" w:rsidR="00C244A9" w:rsidRDefault="00EF3F4D" w:rsidP="004E7C87">
      <w:pPr>
        <w:pStyle w:val="Heading4"/>
      </w:pPr>
      <w:bookmarkStart w:id="30" w:name="_Toc220786491"/>
      <w:r>
        <w:t xml:space="preserve">Figure 2.1: </w:t>
      </w:r>
      <w:r w:rsidRPr="004E7C87">
        <w:t>Whole</w:t>
      </w:r>
      <w:r>
        <w:t xml:space="preserve"> Genome Sequencing (WGS)</w:t>
      </w:r>
      <w:bookmarkEnd w:id="30"/>
    </w:p>
    <w:p w14:paraId="61B39286" w14:textId="77777777" w:rsidR="00C244A9" w:rsidRDefault="00EF3F4D">
      <w:pPr>
        <w:pBdr>
          <w:top w:val="nil"/>
          <w:left w:val="nil"/>
          <w:bottom w:val="nil"/>
          <w:right w:val="nil"/>
          <w:between w:val="nil"/>
        </w:pBdr>
        <w:spacing w:line="360" w:lineRule="auto"/>
        <w:jc w:val="center"/>
        <w:rPr>
          <w:rFonts w:ascii="Arial" w:eastAsia="Arial" w:hAnsi="Arial" w:cs="Arial"/>
        </w:rPr>
      </w:pPr>
      <w:r>
        <w:rPr>
          <w:rFonts w:ascii="Arial" w:eastAsia="Arial" w:hAnsi="Arial" w:cs="Arial"/>
        </w:rPr>
        <w:t xml:space="preserve">(Source: Mevada </w:t>
      </w:r>
      <w:r>
        <w:rPr>
          <w:rFonts w:ascii="Arial" w:eastAsia="Arial" w:hAnsi="Arial" w:cs="Arial"/>
          <w:i/>
          <w:iCs/>
        </w:rPr>
        <w:t xml:space="preserve">et al. </w:t>
      </w:r>
      <w:r>
        <w:rPr>
          <w:rFonts w:ascii="Arial" w:eastAsia="Arial" w:hAnsi="Arial" w:cs="Arial"/>
        </w:rPr>
        <w:t>2023)</w:t>
      </w:r>
    </w:p>
    <w:p w14:paraId="410904CF"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lastRenderedPageBreak/>
        <w:t xml:space="preserve">The major contribution of genomic sequencing shows their capacity on environmental origins of outbreaks. </w:t>
      </w:r>
      <w:r>
        <w:rPr>
          <w:rFonts w:ascii="Arial" w:eastAsia="Arial" w:hAnsi="Arial" w:cs="Arial"/>
          <w:i/>
          <w:iCs/>
        </w:rPr>
        <w:t>Vibrio cholerae</w:t>
      </w:r>
      <w:r>
        <w:rPr>
          <w:rFonts w:ascii="Arial" w:eastAsia="Arial" w:hAnsi="Arial" w:cs="Arial"/>
        </w:rPr>
        <w:t>O1 and O139 strains often persist in estuarine and brackish waters undergoing the genetic modifications influenced by salinity, temperature and nutrient availability (Mevada</w:t>
      </w:r>
      <w:r>
        <w:rPr>
          <w:rFonts w:ascii="Arial" w:eastAsia="Arial" w:hAnsi="Arial" w:cs="Arial"/>
          <w:i/>
          <w:iCs/>
        </w:rPr>
        <w:t xml:space="preserve"> et al.</w:t>
      </w:r>
      <w:r>
        <w:rPr>
          <w:rFonts w:ascii="Arial" w:eastAsia="Arial" w:hAnsi="Arial" w:cs="Arial"/>
        </w:rPr>
        <w:t xml:space="preserve"> 2023). WGS analysis describes that the environmental isolation often shares core genomic similarities with clinical strains detected during the outbreaks. This suggests that the environmental reservoirs act as persistent sources of infection rather than passive habitats. In line with this, Islam </w:t>
      </w:r>
      <w:r>
        <w:rPr>
          <w:rFonts w:ascii="Arial" w:eastAsia="Arial" w:hAnsi="Arial" w:cs="Arial"/>
          <w:i/>
          <w:iCs/>
        </w:rPr>
        <w:t>et al.</w:t>
      </w:r>
      <w:r>
        <w:rPr>
          <w:rFonts w:ascii="Arial" w:eastAsia="Arial" w:hAnsi="Arial" w:cs="Arial"/>
        </w:rPr>
        <w:t xml:space="preserve"> (2021) stated that the phylogenetic trees need to identify whether cases start from the local environmental persistence or external introductions for comparing genomes across the large sample sets. For example, genomic research of outbreaks in Yemen, Haiti, and Africa found that the causal strains were genetically linked to Asian lineages to promote long-distance transmission by human movement or environmental dispersal (Kang </w:t>
      </w:r>
      <w:r>
        <w:rPr>
          <w:rFonts w:ascii="Arial" w:eastAsia="Arial" w:hAnsi="Arial" w:cs="Arial"/>
          <w:i/>
          <w:iCs/>
        </w:rPr>
        <w:t xml:space="preserve">et al. </w:t>
      </w:r>
      <w:r>
        <w:rPr>
          <w:rFonts w:ascii="Arial" w:eastAsia="Arial" w:hAnsi="Arial" w:cs="Arial"/>
        </w:rPr>
        <w:t xml:space="preserve">2024). In contrast, sequencing has shown environmental reservoirs that contribute to recurring outbreaks in Bangladesh, India, and other countries (Hossain </w:t>
      </w:r>
      <w:r>
        <w:rPr>
          <w:rFonts w:ascii="Arial" w:eastAsia="Arial" w:hAnsi="Arial" w:cs="Arial"/>
          <w:i/>
          <w:iCs/>
        </w:rPr>
        <w:t>et al.</w:t>
      </w:r>
      <w:r>
        <w:rPr>
          <w:rFonts w:ascii="Arial" w:eastAsia="Arial" w:hAnsi="Arial" w:cs="Arial"/>
        </w:rPr>
        <w:t xml:space="preserve"> 2025). </w:t>
      </w:r>
    </w:p>
    <w:p w14:paraId="120A42C8" w14:textId="77777777" w:rsidR="00C244A9" w:rsidRDefault="00EF3F4D">
      <w:pPr>
        <w:pBdr>
          <w:top w:val="nil"/>
          <w:left w:val="nil"/>
          <w:bottom w:val="nil"/>
          <w:right w:val="nil"/>
          <w:between w:val="nil"/>
        </w:pBdr>
        <w:spacing w:line="360" w:lineRule="auto"/>
        <w:jc w:val="center"/>
        <w:rPr>
          <w:rFonts w:ascii="Arial" w:eastAsia="Arial" w:hAnsi="Arial" w:cs="Arial"/>
          <w:b/>
          <w:bCs/>
        </w:rPr>
      </w:pPr>
      <w:bookmarkStart w:id="31" w:name="_heading=h.fanm3y7nz46t" w:colFirst="0" w:colLast="0"/>
      <w:bookmarkEnd w:id="31"/>
      <w:r>
        <w:rPr>
          <w:rFonts w:ascii="Arial" w:eastAsia="Arial" w:hAnsi="Arial" w:cs="Arial"/>
          <w:noProof/>
        </w:rPr>
        <w:drawing>
          <wp:inline distT="114300" distB="114300" distL="114300" distR="114300" wp14:anchorId="768D1BC5" wp14:editId="1E6F438A">
            <wp:extent cx="5943600" cy="3365500"/>
            <wp:effectExtent l="25400" t="25400" r="25400" b="25400"/>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2EB0B45F" w14:textId="77777777" w:rsidR="00C244A9" w:rsidRDefault="00EF3F4D" w:rsidP="004E7C87">
      <w:pPr>
        <w:pStyle w:val="Heading4"/>
      </w:pPr>
      <w:bookmarkStart w:id="32" w:name="_Toc220786492"/>
      <w:r>
        <w:t>Figure 2.2: Phylogenetic analysis of Vibrio cholerae</w:t>
      </w:r>
      <w:bookmarkEnd w:id="32"/>
    </w:p>
    <w:p w14:paraId="4C045F73" w14:textId="77777777" w:rsidR="00C244A9" w:rsidRDefault="00EF3F4D">
      <w:pPr>
        <w:pBdr>
          <w:top w:val="nil"/>
          <w:left w:val="nil"/>
          <w:bottom w:val="nil"/>
          <w:right w:val="nil"/>
          <w:between w:val="nil"/>
        </w:pBdr>
        <w:spacing w:line="360" w:lineRule="auto"/>
        <w:jc w:val="center"/>
        <w:rPr>
          <w:rFonts w:ascii="Arial" w:eastAsia="Arial" w:hAnsi="Arial" w:cs="Arial"/>
        </w:rPr>
      </w:pPr>
      <w:r>
        <w:rPr>
          <w:rFonts w:ascii="Arial" w:eastAsia="Arial" w:hAnsi="Arial" w:cs="Arial"/>
        </w:rPr>
        <w:t xml:space="preserve">(Source: Vezzulli </w:t>
      </w:r>
      <w:r>
        <w:rPr>
          <w:rFonts w:ascii="Arial" w:eastAsia="Arial" w:hAnsi="Arial" w:cs="Arial"/>
          <w:i/>
          <w:iCs/>
        </w:rPr>
        <w:t>et al.</w:t>
      </w:r>
      <w:r>
        <w:rPr>
          <w:rFonts w:ascii="Arial" w:eastAsia="Arial" w:hAnsi="Arial" w:cs="Arial"/>
        </w:rPr>
        <w:t xml:space="preserve"> 2021)</w:t>
      </w:r>
    </w:p>
    <w:p w14:paraId="5ECEAECB" w14:textId="77777777" w:rsidR="00C244A9" w:rsidRDefault="00C244A9">
      <w:pPr>
        <w:pBdr>
          <w:top w:val="nil"/>
          <w:left w:val="nil"/>
          <w:bottom w:val="nil"/>
          <w:right w:val="nil"/>
          <w:between w:val="nil"/>
        </w:pBdr>
        <w:spacing w:line="360" w:lineRule="auto"/>
        <w:jc w:val="both"/>
        <w:rPr>
          <w:rFonts w:ascii="Arial" w:eastAsia="Arial" w:hAnsi="Arial" w:cs="Arial"/>
        </w:rPr>
      </w:pPr>
    </w:p>
    <w:p w14:paraId="3A1490CA" w14:textId="1C6995A5"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Furthermore, Vezzulli </w:t>
      </w:r>
      <w:r>
        <w:rPr>
          <w:rFonts w:ascii="Arial" w:eastAsia="Arial" w:hAnsi="Arial" w:cs="Arial"/>
          <w:i/>
          <w:iCs/>
        </w:rPr>
        <w:t>et al.</w:t>
      </w:r>
      <w:r>
        <w:rPr>
          <w:rFonts w:ascii="Arial" w:eastAsia="Arial" w:hAnsi="Arial" w:cs="Arial"/>
        </w:rPr>
        <w:t xml:space="preserve"> (2021) mentioned that the meta-genomics sequencing could improve the detection by allowing the identification of </w:t>
      </w:r>
      <w:r>
        <w:rPr>
          <w:rFonts w:ascii="Arial" w:eastAsia="Arial" w:hAnsi="Arial" w:cs="Arial"/>
          <w:i/>
          <w:iCs/>
        </w:rPr>
        <w:t xml:space="preserve">Vibrio cholera </w:t>
      </w:r>
      <w:r>
        <w:rPr>
          <w:rFonts w:ascii="Arial" w:eastAsia="Arial" w:hAnsi="Arial" w:cs="Arial"/>
        </w:rPr>
        <w:t xml:space="preserve">directly from water, sediment and </w:t>
      </w:r>
      <w:r>
        <w:rPr>
          <w:rFonts w:ascii="Arial" w:eastAsia="Arial" w:hAnsi="Arial" w:cs="Arial"/>
        </w:rPr>
        <w:lastRenderedPageBreak/>
        <w:t xml:space="preserve">plankton samples without the prior culture. This method detects the genomic composition of entire microbial communities showing the presence of both toxigenic and non-toxigenic strains (see Figure 2.3). As opined by Hassan </w:t>
      </w:r>
      <w:r>
        <w:rPr>
          <w:rFonts w:ascii="Arial" w:eastAsia="Arial" w:hAnsi="Arial" w:cs="Arial"/>
          <w:i/>
          <w:iCs/>
        </w:rPr>
        <w:t xml:space="preserve">et al. </w:t>
      </w:r>
      <w:r>
        <w:rPr>
          <w:rFonts w:ascii="Arial" w:eastAsia="Arial" w:hAnsi="Arial" w:cs="Arial"/>
        </w:rPr>
        <w:t>(2025), 2.86 million cholera cases are observed within the countries worldwide and the case fatality rate ranging from 0% to 6.8</w:t>
      </w:r>
      <w:r w:rsidR="004E7C87">
        <w:rPr>
          <w:rFonts w:ascii="Arial" w:eastAsia="Arial" w:hAnsi="Arial" w:cs="Arial"/>
        </w:rPr>
        <w:t>%. Environmental</w:t>
      </w:r>
      <w:r>
        <w:rPr>
          <w:rFonts w:ascii="Arial" w:eastAsia="Arial" w:hAnsi="Arial" w:cs="Arial"/>
        </w:rPr>
        <w:t xml:space="preserve"> metagenomics has revealed the roles of zooplankton and phytoplankton as protective reservoirs which facilitate bacterial survival during inter-epidemic periods. The sequencing allows detection of virulence genes such as ctxAB, tcpA and rtx (see Figure 2.3) that contribute to pathogenicity by emerging through horizontal gene transfer in an environmental context (Pal </w:t>
      </w:r>
      <w:r>
        <w:rPr>
          <w:rFonts w:ascii="Arial" w:eastAsia="Arial" w:hAnsi="Arial" w:cs="Arial"/>
          <w:i/>
          <w:iCs/>
        </w:rPr>
        <w:t>et al.</w:t>
      </w:r>
      <w:r>
        <w:rPr>
          <w:rFonts w:ascii="Arial" w:eastAsia="Arial" w:hAnsi="Arial" w:cs="Arial"/>
        </w:rPr>
        <w:t xml:space="preserve"> 2023).</w:t>
      </w:r>
    </w:p>
    <w:p w14:paraId="42037691" w14:textId="77777777" w:rsidR="00C244A9" w:rsidRDefault="00C244A9" w:rsidP="006B6EF8">
      <w:pPr>
        <w:pStyle w:val="Heading3"/>
      </w:pPr>
      <w:bookmarkStart w:id="33" w:name="_heading=h.yly1e3f067u1" w:colFirst="0" w:colLast="0"/>
      <w:bookmarkEnd w:id="33"/>
    </w:p>
    <w:p w14:paraId="19E862B5" w14:textId="77777777" w:rsidR="00C244A9" w:rsidRDefault="00EF3F4D" w:rsidP="006B6EF8">
      <w:pPr>
        <w:pStyle w:val="Heading3"/>
      </w:pPr>
      <w:bookmarkStart w:id="34" w:name="_Toc220842103"/>
      <w:r>
        <w:t>2.2.2. AMR mechanism</w:t>
      </w:r>
      <w:bookmarkEnd w:id="34"/>
    </w:p>
    <w:p w14:paraId="031F7EEB"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genomic tools support the understanding of antimicrobial resistance (AMR) in cholera. WGS has identified the spread of resistant genes including encoding tetracycline, macrolide and fluoroquinolone resistance often carried on mobile genetic elements (Yaqub </w:t>
      </w:r>
      <w:r>
        <w:rPr>
          <w:rFonts w:ascii="Arial" w:eastAsia="Arial" w:hAnsi="Arial" w:cs="Arial"/>
          <w:i/>
          <w:iCs/>
        </w:rPr>
        <w:t xml:space="preserve">et al. </w:t>
      </w:r>
      <w:r>
        <w:rPr>
          <w:rFonts w:ascii="Arial" w:eastAsia="Arial" w:hAnsi="Arial" w:cs="Arial"/>
        </w:rPr>
        <w:t>2024). The environmental reservoirs have been reflected to harbour AMR determinants which might further appear in clinical isolation resulting in the need for integrated genomic surveillance connecting environmental and clinical data.</w:t>
      </w:r>
    </w:p>
    <w:p w14:paraId="6A54A395" w14:textId="77777777" w:rsidR="00C244A9" w:rsidRDefault="00C244A9">
      <w:pPr>
        <w:pBdr>
          <w:top w:val="nil"/>
          <w:left w:val="nil"/>
          <w:bottom w:val="nil"/>
          <w:right w:val="nil"/>
          <w:between w:val="nil"/>
        </w:pBdr>
        <w:spacing w:line="360" w:lineRule="auto"/>
        <w:jc w:val="both"/>
        <w:rPr>
          <w:rFonts w:ascii="Arial" w:eastAsia="Arial" w:hAnsi="Arial" w:cs="Arial"/>
        </w:rPr>
      </w:pPr>
    </w:p>
    <w:p w14:paraId="4C147D65" w14:textId="77777777" w:rsidR="00C244A9" w:rsidRDefault="00EF3F4D">
      <w:pPr>
        <w:pBdr>
          <w:top w:val="nil"/>
          <w:left w:val="nil"/>
          <w:bottom w:val="nil"/>
          <w:right w:val="nil"/>
          <w:between w:val="nil"/>
        </w:pBdr>
        <w:spacing w:line="360" w:lineRule="auto"/>
        <w:jc w:val="center"/>
        <w:rPr>
          <w:rFonts w:ascii="Arial" w:eastAsia="Arial" w:hAnsi="Arial" w:cs="Arial"/>
        </w:rPr>
      </w:pPr>
      <w:r>
        <w:rPr>
          <w:rFonts w:ascii="Arial" w:eastAsia="Arial" w:hAnsi="Arial" w:cs="Arial"/>
          <w:noProof/>
        </w:rPr>
        <w:drawing>
          <wp:inline distT="114300" distB="114300" distL="114300" distR="114300" wp14:anchorId="2D7EB90F" wp14:editId="718E4991">
            <wp:extent cx="5238750" cy="3429000"/>
            <wp:effectExtent l="25400" t="25400" r="25400" b="25400"/>
            <wp:docPr id="2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238750" cy="3429000"/>
                    </a:xfrm>
                    <a:prstGeom prst="rect">
                      <a:avLst/>
                    </a:prstGeom>
                    <a:ln w="25400">
                      <a:solidFill>
                        <a:srgbClr val="000000"/>
                      </a:solidFill>
                      <a:prstDash val="solid"/>
                    </a:ln>
                  </pic:spPr>
                </pic:pic>
              </a:graphicData>
            </a:graphic>
          </wp:inline>
        </w:drawing>
      </w:r>
    </w:p>
    <w:p w14:paraId="491B7C9C" w14:textId="77777777" w:rsidR="00C244A9" w:rsidRDefault="00EF3F4D" w:rsidP="004E7C87">
      <w:pPr>
        <w:pStyle w:val="Heading4"/>
      </w:pPr>
      <w:bookmarkStart w:id="35" w:name="_Toc220786493"/>
      <w:r>
        <w:lastRenderedPageBreak/>
        <w:t>Figure 2.3: AMR mechanism</w:t>
      </w:r>
      <w:bookmarkEnd w:id="35"/>
    </w:p>
    <w:p w14:paraId="3E883C3F" w14:textId="77777777" w:rsidR="00C244A9" w:rsidRDefault="00EF3F4D">
      <w:pPr>
        <w:pBdr>
          <w:top w:val="nil"/>
          <w:left w:val="nil"/>
          <w:bottom w:val="nil"/>
          <w:right w:val="nil"/>
          <w:between w:val="nil"/>
        </w:pBdr>
        <w:spacing w:line="360" w:lineRule="auto"/>
        <w:jc w:val="center"/>
        <w:rPr>
          <w:rFonts w:ascii="Arial" w:eastAsia="Arial" w:hAnsi="Arial" w:cs="Arial"/>
        </w:rPr>
      </w:pPr>
      <w:r>
        <w:rPr>
          <w:rFonts w:ascii="Arial" w:eastAsia="Arial" w:hAnsi="Arial" w:cs="Arial"/>
        </w:rPr>
        <w:t xml:space="preserve">(Source: Yaqub </w:t>
      </w:r>
      <w:r>
        <w:rPr>
          <w:rFonts w:ascii="Arial" w:eastAsia="Arial" w:hAnsi="Arial" w:cs="Arial"/>
          <w:i/>
          <w:iCs/>
        </w:rPr>
        <w:t>et al.</w:t>
      </w:r>
      <w:r>
        <w:rPr>
          <w:rFonts w:ascii="Arial" w:eastAsia="Arial" w:hAnsi="Arial" w:cs="Arial"/>
        </w:rPr>
        <w:t xml:space="preserve"> 2024)</w:t>
      </w:r>
    </w:p>
    <w:p w14:paraId="0B7C12FC" w14:textId="77777777" w:rsidR="00C244A9" w:rsidRDefault="00C244A9">
      <w:pPr>
        <w:pBdr>
          <w:top w:val="nil"/>
          <w:left w:val="nil"/>
          <w:bottom w:val="nil"/>
          <w:right w:val="nil"/>
          <w:between w:val="nil"/>
        </w:pBdr>
        <w:spacing w:line="360" w:lineRule="auto"/>
        <w:jc w:val="both"/>
        <w:rPr>
          <w:rFonts w:ascii="Arial" w:eastAsia="Arial" w:hAnsi="Arial" w:cs="Arial"/>
        </w:rPr>
      </w:pPr>
    </w:p>
    <w:p w14:paraId="31F0F5B6"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Thus, the genomic sequencing could provide comprehensive insights into environmental persistence, lineage evolution, AMR patterns and ecological diversity of </w:t>
      </w:r>
      <w:r>
        <w:rPr>
          <w:rFonts w:ascii="Arial" w:eastAsia="Arial" w:hAnsi="Arial" w:cs="Arial"/>
          <w:i/>
          <w:iCs/>
        </w:rPr>
        <w:t>Vibrio cholerae</w:t>
      </w:r>
      <w:r>
        <w:rPr>
          <w:rFonts w:ascii="Arial" w:eastAsia="Arial" w:hAnsi="Arial" w:cs="Arial"/>
        </w:rPr>
        <w:t>. These outcomes significantly enhance the public health interventions by enabling early detection, target WASH strategies, environmental monitoring and prediction of higher risk periods for outbreak emergence.</w:t>
      </w:r>
    </w:p>
    <w:p w14:paraId="040F0862"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Hence, the genomic sequencing is able to precisely track </w:t>
      </w:r>
      <w:r>
        <w:rPr>
          <w:rFonts w:ascii="Arial" w:eastAsia="Arial" w:hAnsi="Arial" w:cs="Arial"/>
          <w:i/>
          <w:iCs/>
        </w:rPr>
        <w:t xml:space="preserve">Vibrio cholera </w:t>
      </w:r>
      <w:r>
        <w:rPr>
          <w:rFonts w:ascii="Arial" w:eastAsia="Arial" w:hAnsi="Arial" w:cs="Arial"/>
        </w:rPr>
        <w:t>evolution. Environmental persistence and indirect transmission. WGS connects environmental and clinical strains showing global lineage movement. Thai helps to detect virulence and SMR genes by supporting metagenomics identification to enhance strengths of early detection, environmental monitoring and targeted public health interventions.</w:t>
      </w:r>
    </w:p>
    <w:p w14:paraId="4FC15318" w14:textId="77777777" w:rsidR="00C244A9" w:rsidRDefault="00C244A9" w:rsidP="006B6EF8">
      <w:pPr>
        <w:pStyle w:val="Heading3"/>
      </w:pPr>
      <w:bookmarkStart w:id="36" w:name="_heading=h.6poair9a3yy1" w:colFirst="0" w:colLast="0"/>
      <w:bookmarkEnd w:id="36"/>
    </w:p>
    <w:p w14:paraId="469DA219" w14:textId="77777777" w:rsidR="00C244A9" w:rsidRDefault="00EF3F4D" w:rsidP="006B6EF8">
      <w:pPr>
        <w:pStyle w:val="Heading3"/>
      </w:pPr>
      <w:bookmarkStart w:id="37" w:name="_Toc220842104"/>
      <w:r>
        <w:t>2.2.3 Phylogenetic analysis in detecting and characterising Vibrio Cholerae</w:t>
      </w:r>
      <w:bookmarkEnd w:id="37"/>
    </w:p>
    <w:p w14:paraId="286085E1" w14:textId="77777777" w:rsidR="00C244A9" w:rsidRDefault="00EF3F4D">
      <w:pPr>
        <w:spacing w:line="360" w:lineRule="auto"/>
        <w:jc w:val="both"/>
        <w:rPr>
          <w:rFonts w:ascii="Arial" w:eastAsia="Arial" w:hAnsi="Arial" w:cs="Arial"/>
          <w:b/>
          <w:bCs/>
        </w:rPr>
      </w:pPr>
      <w:r>
        <w:rPr>
          <w:rFonts w:ascii="Arial" w:eastAsia="Arial" w:hAnsi="Arial" w:cs="Arial"/>
          <w:b/>
          <w:bCs/>
        </w:rPr>
        <w:t>Informing public health Surveillance</w:t>
      </w:r>
    </w:p>
    <w:p w14:paraId="19FCD8B0" w14:textId="77777777" w:rsidR="00C244A9" w:rsidRDefault="00EF3F4D">
      <w:pPr>
        <w:spacing w:line="360" w:lineRule="auto"/>
        <w:jc w:val="both"/>
        <w:rPr>
          <w:rFonts w:ascii="Arial" w:eastAsia="Arial" w:hAnsi="Arial" w:cs="Arial"/>
        </w:rPr>
      </w:pPr>
      <w:r>
        <w:rPr>
          <w:rFonts w:ascii="Arial" w:eastAsia="Arial" w:hAnsi="Arial" w:cs="Arial"/>
        </w:rPr>
        <w:t xml:space="preserve">The public health surveillance program is critical for determining the key characteristics of </w:t>
      </w:r>
      <w:r>
        <w:rPr>
          <w:rFonts w:ascii="Arial" w:eastAsia="Arial" w:hAnsi="Arial" w:cs="Arial"/>
          <w:b/>
          <w:bCs/>
          <w:i/>
          <w:iCs/>
        </w:rPr>
        <w:t xml:space="preserve">Vibrio Cholera </w:t>
      </w:r>
      <w:r>
        <w:rPr>
          <w:rFonts w:ascii="Arial" w:eastAsia="Arial" w:hAnsi="Arial" w:cs="Arial"/>
        </w:rPr>
        <w:t xml:space="preserve">and exploring its phylogenetic nature of occurrence. Determining the whole genome sequence of 66 V. cholerae strains through intervention of factors in the public health intervention must be developed through generation sequencing technology (Ke </w:t>
      </w:r>
      <w:r>
        <w:rPr>
          <w:rFonts w:ascii="Arial" w:eastAsia="Arial" w:hAnsi="Arial" w:cs="Arial"/>
          <w:i/>
          <w:iCs/>
        </w:rPr>
        <w:t>et al.</w:t>
      </w:r>
      <w:r>
        <w:rPr>
          <w:rFonts w:ascii="Arial" w:eastAsia="Arial" w:hAnsi="Arial" w:cs="Arial"/>
        </w:rPr>
        <w:t xml:space="preserve"> 2022). </w:t>
      </w:r>
      <w:r>
        <w:rPr>
          <w:rFonts w:ascii="Arial" w:eastAsia="Arial" w:hAnsi="Arial" w:cs="Arial"/>
          <w:i/>
          <w:iCs/>
        </w:rPr>
        <w:t>Vibrio cholerae</w:t>
      </w:r>
      <w:r>
        <w:rPr>
          <w:rFonts w:ascii="Arial" w:eastAsia="Arial" w:hAnsi="Arial" w:cs="Arial"/>
        </w:rPr>
        <w:t xml:space="preserve"> consists of more than 200 serogroups that help to determine the molecular mechanisms and phylogenetic nature in the disease occurrence (Montero </w:t>
      </w:r>
      <w:r>
        <w:rPr>
          <w:rFonts w:ascii="Arial" w:eastAsia="Arial" w:hAnsi="Arial" w:cs="Arial"/>
          <w:i/>
          <w:iCs/>
        </w:rPr>
        <w:t>et al.</w:t>
      </w:r>
      <w:r>
        <w:rPr>
          <w:rFonts w:ascii="Arial" w:eastAsia="Arial" w:hAnsi="Arial" w:cs="Arial"/>
        </w:rPr>
        <w:t xml:space="preserve"> 2023).  Phylogenetic analysis can be possible through the information of public health surveillance in the characterisation of </w:t>
      </w:r>
      <w:r>
        <w:rPr>
          <w:rFonts w:ascii="Arial" w:eastAsia="Arial" w:hAnsi="Arial" w:cs="Arial"/>
          <w:i/>
          <w:iCs/>
        </w:rPr>
        <w:t>Vibrio Cholerae.</w:t>
      </w:r>
      <w:r>
        <w:rPr>
          <w:rFonts w:ascii="Arial" w:eastAsia="Arial" w:hAnsi="Arial" w:cs="Arial"/>
        </w:rPr>
        <w:t xml:space="preserve">  Moreover, the genome-based phylogenetic data provides insights to the transmission and clustering of the outbreak for removing the risk of local endemicity (Duault </w:t>
      </w:r>
      <w:r>
        <w:rPr>
          <w:rFonts w:ascii="Arial" w:eastAsia="Arial" w:hAnsi="Arial" w:cs="Arial"/>
          <w:i/>
          <w:iCs/>
        </w:rPr>
        <w:t>et al.</w:t>
      </w:r>
      <w:r>
        <w:rPr>
          <w:rFonts w:ascii="Arial" w:eastAsia="Arial" w:hAnsi="Arial" w:cs="Arial"/>
        </w:rPr>
        <w:t xml:space="preserve"> 2022). Phylogenetic data also helps to reduce the outbreaks by importing cases in a clustered pathogenesis for recognition of transmission rate within the groups.</w:t>
      </w:r>
    </w:p>
    <w:p w14:paraId="1411AA83" w14:textId="77777777" w:rsidR="00C244A9" w:rsidRDefault="00EF3F4D">
      <w:pPr>
        <w:spacing w:line="360" w:lineRule="auto"/>
        <w:jc w:val="both"/>
        <w:rPr>
          <w:rFonts w:ascii="Arial" w:eastAsia="Arial" w:hAnsi="Arial" w:cs="Arial"/>
          <w:b/>
          <w:bCs/>
        </w:rPr>
      </w:pPr>
      <w:r>
        <w:rPr>
          <w:rFonts w:ascii="Arial" w:eastAsia="Arial" w:hAnsi="Arial" w:cs="Arial"/>
          <w:b/>
          <w:bCs/>
        </w:rPr>
        <w:t>Guiding prevention and control</w:t>
      </w:r>
    </w:p>
    <w:p w14:paraId="04C71D83" w14:textId="77777777" w:rsidR="00C244A9" w:rsidRDefault="00EF3F4D">
      <w:pPr>
        <w:spacing w:line="360" w:lineRule="auto"/>
        <w:jc w:val="both"/>
        <w:rPr>
          <w:rFonts w:ascii="Arial" w:eastAsia="Arial" w:hAnsi="Arial" w:cs="Arial"/>
        </w:rPr>
      </w:pPr>
      <w:r>
        <w:rPr>
          <w:rFonts w:ascii="Arial" w:eastAsia="Arial" w:hAnsi="Arial" w:cs="Arial"/>
        </w:rPr>
        <w:t xml:space="preserve">Guiding prevention and control can be achieved by the phylogenetic analysis and detecting characteristics of </w:t>
      </w:r>
      <w:r>
        <w:rPr>
          <w:rFonts w:ascii="Arial" w:eastAsia="Arial" w:hAnsi="Arial" w:cs="Arial"/>
          <w:i/>
          <w:iCs/>
        </w:rPr>
        <w:t>Vibrio Cholerae</w:t>
      </w:r>
      <w:r>
        <w:rPr>
          <w:rFonts w:ascii="Arial" w:eastAsia="Arial" w:hAnsi="Arial" w:cs="Arial"/>
        </w:rPr>
        <w:t xml:space="preserve"> in the infected body. However, cholerae infection and offer </w:t>
      </w:r>
      <w:r>
        <w:rPr>
          <w:rFonts w:ascii="Arial" w:eastAsia="Arial" w:hAnsi="Arial" w:cs="Arial"/>
        </w:rPr>
        <w:lastRenderedPageBreak/>
        <w:t xml:space="preserve">recommendations for the avoidance and management of associated diseases (Devi </w:t>
      </w:r>
      <w:r>
        <w:rPr>
          <w:rFonts w:ascii="Arial" w:eastAsia="Arial" w:hAnsi="Arial" w:cs="Arial"/>
          <w:i/>
          <w:iCs/>
        </w:rPr>
        <w:t>et al.</w:t>
      </w:r>
      <w:r>
        <w:rPr>
          <w:rFonts w:ascii="Arial" w:eastAsia="Arial" w:hAnsi="Arial" w:cs="Arial"/>
        </w:rPr>
        <w:t xml:space="preserve"> 2021). Guiding prevention and control through phylogenetic analysis can help to create awareness about the disease contamination and enteric-borne pathogen nature. </w:t>
      </w:r>
      <w:r>
        <w:rPr>
          <w:rFonts w:ascii="Arial" w:eastAsia="Arial" w:hAnsi="Arial" w:cs="Arial"/>
          <w:i/>
          <w:iCs/>
        </w:rPr>
        <w:t>Vibrio cholerae</w:t>
      </w:r>
      <w:r>
        <w:rPr>
          <w:rFonts w:ascii="Arial" w:eastAsia="Arial" w:hAnsi="Arial" w:cs="Arial"/>
        </w:rPr>
        <w:t xml:space="preserve">, the main causative agent of cholera, is highly contagious and proper recognition through guiding prevention is critical in managing severity (Montero </w:t>
      </w:r>
      <w:r>
        <w:rPr>
          <w:rFonts w:ascii="Arial" w:eastAsia="Arial" w:hAnsi="Arial" w:cs="Arial"/>
          <w:i/>
          <w:iCs/>
        </w:rPr>
        <w:t>et al.</w:t>
      </w:r>
      <w:r>
        <w:rPr>
          <w:rFonts w:ascii="Arial" w:eastAsia="Arial" w:hAnsi="Arial" w:cs="Arial"/>
        </w:rPr>
        <w:t xml:space="preserve"> 2023). In poor economic countries cholera is the major health issue due to lack of sanitation and hygiene in the food and water transport facility (Montero</w:t>
      </w:r>
      <w:r>
        <w:rPr>
          <w:rFonts w:ascii="Arial" w:eastAsia="Arial" w:hAnsi="Arial" w:cs="Arial"/>
          <w:i/>
          <w:iCs/>
        </w:rPr>
        <w:t xml:space="preserve"> et al. </w:t>
      </w:r>
      <w:r>
        <w:rPr>
          <w:rFonts w:ascii="Arial" w:eastAsia="Arial" w:hAnsi="Arial" w:cs="Arial"/>
        </w:rPr>
        <w:t xml:space="preserve">2023). Knowledge of lineage emergence spread of the genetic traits such as antibiotic resistance can help to develop strategic responses in the cholera intervention (Debasish Samal </w:t>
      </w:r>
      <w:r>
        <w:rPr>
          <w:rFonts w:ascii="Arial" w:eastAsia="Arial" w:hAnsi="Arial" w:cs="Arial"/>
          <w:i/>
          <w:iCs/>
        </w:rPr>
        <w:t>et al.</w:t>
      </w:r>
      <w:r>
        <w:rPr>
          <w:rFonts w:ascii="Arial" w:eastAsia="Arial" w:hAnsi="Arial" w:cs="Arial"/>
        </w:rPr>
        <w:t xml:space="preserve"> 2025). The phylogenetic analysis has taken a dominant position of detecting and determining the </w:t>
      </w:r>
      <w:r>
        <w:rPr>
          <w:rFonts w:ascii="Arial" w:eastAsia="Arial" w:hAnsi="Arial" w:cs="Arial"/>
          <w:i/>
          <w:iCs/>
        </w:rPr>
        <w:t>Vibrio cholerae</w:t>
      </w:r>
      <w:r>
        <w:rPr>
          <w:rFonts w:ascii="Arial" w:eastAsia="Arial" w:hAnsi="Arial" w:cs="Arial"/>
        </w:rPr>
        <w:t xml:space="preserve"> in the environmental reservoirs and indirect transmission routes. Recent reports are the manner through which the human cases and path and direction of spread can be linked to environmental isolates through sequencing of environmental isolates. Ismail </w:t>
      </w:r>
      <w:r>
        <w:rPr>
          <w:rFonts w:ascii="Arial" w:eastAsia="Arial" w:hAnsi="Arial" w:cs="Arial"/>
          <w:i/>
          <w:iCs/>
        </w:rPr>
        <w:t xml:space="preserve">et al. </w:t>
      </w:r>
      <w:r>
        <w:rPr>
          <w:rFonts w:ascii="Arial" w:eastAsia="Arial" w:hAnsi="Arial" w:cs="Arial"/>
        </w:rPr>
        <w:t xml:space="preserve">(2021) demonstrated that it was possible to map the interpersonal, animal-to-animal, and water-to-human transmission of the endemics by applying molecular ecoepidemiology. Whole-genome approaches allow the correct clustering of isolates and can show patterns of transmission that classical typing is incapable of. This has been made possible by the genomic studies, which have differentiated environmental and clinical strains that have given rise to reservoirs that are utilized in preserving inter-outbreak transmission (Pérez-Duque </w:t>
      </w:r>
      <w:r>
        <w:rPr>
          <w:rFonts w:ascii="Arial" w:eastAsia="Arial" w:hAnsi="Arial" w:cs="Arial"/>
          <w:i/>
          <w:iCs/>
        </w:rPr>
        <w:t xml:space="preserve">et al. </w:t>
      </w:r>
      <w:r>
        <w:rPr>
          <w:rFonts w:ascii="Arial" w:eastAsia="Arial" w:hAnsi="Arial" w:cs="Arial"/>
        </w:rPr>
        <w:t>2021).  The pan-genomic research presents the availability of the accessory genes and factors of transport that enable the survival and indirect transmission within the environment.</w:t>
      </w:r>
    </w:p>
    <w:p w14:paraId="65C3EDB9" w14:textId="77777777" w:rsidR="00C244A9" w:rsidRDefault="00EF3F4D">
      <w:pPr>
        <w:spacing w:line="360" w:lineRule="auto"/>
        <w:jc w:val="both"/>
        <w:rPr>
          <w:rFonts w:ascii="Arial" w:eastAsia="Arial" w:hAnsi="Arial" w:cs="Arial"/>
        </w:rPr>
      </w:pPr>
      <w:r>
        <w:rPr>
          <w:rFonts w:ascii="Arial" w:eastAsia="Arial" w:hAnsi="Arial" w:cs="Arial"/>
        </w:rPr>
        <w:t xml:space="preserve">Mevada </w:t>
      </w:r>
      <w:r>
        <w:rPr>
          <w:rFonts w:ascii="Arial" w:eastAsia="Arial" w:hAnsi="Arial" w:cs="Arial"/>
          <w:i/>
          <w:iCs/>
        </w:rPr>
        <w:t>et al.</w:t>
      </w:r>
      <w:r>
        <w:rPr>
          <w:rFonts w:ascii="Arial" w:eastAsia="Arial" w:hAnsi="Arial" w:cs="Arial"/>
        </w:rPr>
        <w:t xml:space="preserve"> (2023) have outlined the sporadic clinical strains by using the methods of whole-genome and pan-genome analysis and placed them in perspective with the environmental genomes.  The non-O1/non-O139 lineages in the aquatic animals and fish were identified through environmental sequencing. It identified the non-adaptive genomic features of survival despite human beings. Qin </w:t>
      </w:r>
      <w:r>
        <w:rPr>
          <w:rFonts w:ascii="Arial" w:eastAsia="Arial" w:hAnsi="Arial" w:cs="Arial"/>
          <w:i/>
          <w:iCs/>
        </w:rPr>
        <w:t xml:space="preserve">et al. </w:t>
      </w:r>
      <w:r>
        <w:rPr>
          <w:rFonts w:ascii="Arial" w:eastAsia="Arial" w:hAnsi="Arial" w:cs="Arial"/>
        </w:rPr>
        <w:t xml:space="preserve">(2024) mention that the genome characteristics of non-O1/non-O139 isolates of freshwater fish, the environment was flexible and transferred to others indirectly, which is hazardous. The synthesized evidence that the environmental drivers and the genomic diversity influence the risk of an outbreak and the movement of pathogens has been collectively found. The integration of the surveillance along with the molecular data would be emphasized, and the environmental stimuli and dynamics of the transmission would be emphasized (Usmani </w:t>
      </w:r>
      <w:r>
        <w:rPr>
          <w:rFonts w:ascii="Arial" w:eastAsia="Arial" w:hAnsi="Arial" w:cs="Arial"/>
          <w:i/>
          <w:iCs/>
        </w:rPr>
        <w:t xml:space="preserve">et al. </w:t>
      </w:r>
      <w:r>
        <w:rPr>
          <w:rFonts w:ascii="Arial" w:eastAsia="Arial" w:hAnsi="Arial" w:cs="Arial"/>
        </w:rPr>
        <w:t xml:space="preserve">2021). Environmental persistence micro-evolutionary changes are shown in single-nucleotide polymorphic phylogenetic trees (Zhong </w:t>
      </w:r>
      <w:r>
        <w:rPr>
          <w:rFonts w:ascii="Arial" w:eastAsia="Arial" w:hAnsi="Arial" w:cs="Arial"/>
          <w:i/>
          <w:iCs/>
        </w:rPr>
        <w:t>et al.</w:t>
      </w:r>
      <w:r>
        <w:rPr>
          <w:rFonts w:ascii="Arial" w:eastAsia="Arial" w:hAnsi="Arial" w:cs="Arial"/>
        </w:rPr>
        <w:t xml:space="preserve"> 2024). Such trees can distinguish the populations in the local settings and clones of epidemics that were imported. SNP phylogenies give more examples of recombination and horizontal gene transfer that make the task of establishing the </w:t>
      </w:r>
      <w:r>
        <w:rPr>
          <w:rFonts w:ascii="Arial" w:eastAsia="Arial" w:hAnsi="Arial" w:cs="Arial"/>
        </w:rPr>
        <w:lastRenderedPageBreak/>
        <w:t>lineage more complex. The high-resolution phylogenomic can thus have the luxury of sampling the environment where there are high probabilities of inoculation of human infections.</w:t>
      </w:r>
    </w:p>
    <w:p w14:paraId="2883C8D2" w14:textId="77777777" w:rsidR="00C244A9" w:rsidRDefault="00EF3F4D">
      <w:pPr>
        <w:spacing w:line="360" w:lineRule="auto"/>
        <w:jc w:val="both"/>
        <w:rPr>
          <w:rFonts w:ascii="Arial" w:eastAsia="Arial" w:hAnsi="Arial" w:cs="Arial"/>
        </w:rPr>
      </w:pPr>
      <w:r>
        <w:rPr>
          <w:rFonts w:ascii="Arial" w:eastAsia="Arial" w:hAnsi="Arial" w:cs="Arial"/>
        </w:rPr>
        <w:t xml:space="preserve">The addition of hydrological and ecological metadata in the form of genomics data complements inferences concerning the indirect transmission routes. The relationship between waterbird movement and seafood contamination and seasonal bloom was examined using combined datasets to provide a connection between these two aspects as a connecting environmental niche. The particular pathogenicity islands are the predictors of the environmental strains that are harmful to human health, the genomic epidemiology implies (Watanabe </w:t>
      </w:r>
      <w:r>
        <w:rPr>
          <w:rFonts w:ascii="Arial" w:eastAsia="Arial" w:hAnsi="Arial" w:cs="Arial"/>
          <w:i/>
          <w:iCs/>
        </w:rPr>
        <w:t>et al.</w:t>
      </w:r>
      <w:r>
        <w:rPr>
          <w:rFonts w:ascii="Arial" w:eastAsia="Arial" w:hAnsi="Arial" w:cs="Arial"/>
        </w:rPr>
        <w:t xml:space="preserve"> 2025). Monitoring of these traces in reservoirs can be performed to make it easy to designate the process of specific interventions, including monitoring and treatment of water and shellfish. Narrowing down attribution of outbreak sources and warranting risk-oriented response to public health is also achieved by phylogenetic surveillance. This combination of articles points towards the promotion of the early detection and management of indirect transmission by routine environmental genomics. The processes of prevention of cholera at the international level will be reinforced through the additional environmental sequencing, open-data sharing, and usage of standard phylogenetic pipelines.</w:t>
      </w:r>
    </w:p>
    <w:p w14:paraId="62BBE85E" w14:textId="77777777" w:rsidR="00C244A9" w:rsidRDefault="00EF3F4D">
      <w:pPr>
        <w:spacing w:line="360" w:lineRule="auto"/>
        <w:jc w:val="both"/>
        <w:rPr>
          <w:rFonts w:ascii="Arial" w:eastAsia="Arial" w:hAnsi="Arial" w:cs="Arial"/>
        </w:rPr>
      </w:pPr>
      <w:r>
        <w:rPr>
          <w:rFonts w:ascii="Arial" w:eastAsia="Arial" w:hAnsi="Arial" w:cs="Arial"/>
        </w:rPr>
        <w:t xml:space="preserve">Driving strategic response to the strong surveillance can help to create an effective antibiotic resistance within the body for protecting cells from the pathogens attack and mutation within the gut. Thus, guiding prevention and control mechanisms can help to control the disease intention rate in the community groups. The phylogenetic analysis of </w:t>
      </w:r>
      <w:r>
        <w:rPr>
          <w:rFonts w:ascii="Arial" w:eastAsia="Arial" w:hAnsi="Arial" w:cs="Arial"/>
          <w:i/>
          <w:iCs/>
        </w:rPr>
        <w:t>Vibrio Cholerae</w:t>
      </w:r>
      <w:r>
        <w:rPr>
          <w:rFonts w:ascii="Arial" w:eastAsia="Arial" w:hAnsi="Arial" w:cs="Arial"/>
        </w:rPr>
        <w:t xml:space="preserve"> is critical for determining its transmission capacity in the water borne body and creating awareness for hygiene and sanitation.</w:t>
      </w:r>
    </w:p>
    <w:p w14:paraId="5DCE544F" w14:textId="77777777" w:rsidR="00C244A9" w:rsidRDefault="00C244A9" w:rsidP="006B6EF8">
      <w:pPr>
        <w:pStyle w:val="Heading3"/>
      </w:pPr>
      <w:bookmarkStart w:id="38" w:name="_heading=h.xp631kwqcsyn" w:colFirst="0" w:colLast="0"/>
      <w:bookmarkEnd w:id="38"/>
    </w:p>
    <w:p w14:paraId="4F8545B2" w14:textId="77777777" w:rsidR="00C244A9" w:rsidRDefault="00EF3F4D" w:rsidP="006B6EF8">
      <w:pPr>
        <w:pStyle w:val="Heading3"/>
      </w:pPr>
      <w:bookmarkStart w:id="39" w:name="_Toc220842105"/>
      <w:r>
        <w:t>2.2.4 Molecular and environmental factors influencing indirect transmission of cholera</w:t>
      </w:r>
      <w:bookmarkEnd w:id="39"/>
    </w:p>
    <w:p w14:paraId="46CFA630"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Outbreak sources and a public health priority</w:t>
      </w:r>
    </w:p>
    <w:p w14:paraId="27276830" w14:textId="77777777" w:rsidR="00C244A9" w:rsidRDefault="00EF3F4D">
      <w:pPr>
        <w:spacing w:line="360" w:lineRule="auto"/>
        <w:jc w:val="both"/>
        <w:rPr>
          <w:rFonts w:ascii="Arial" w:eastAsia="Arial" w:hAnsi="Arial" w:cs="Arial"/>
        </w:rPr>
      </w:pPr>
      <w:r>
        <w:rPr>
          <w:rFonts w:ascii="Arial" w:eastAsia="Arial" w:hAnsi="Arial" w:cs="Arial"/>
        </w:rPr>
        <w:t xml:space="preserve">The indirect transmission of </w:t>
      </w:r>
      <w:r>
        <w:rPr>
          <w:rFonts w:ascii="Arial" w:eastAsia="Arial" w:hAnsi="Arial" w:cs="Arial"/>
          <w:i/>
          <w:iCs/>
        </w:rPr>
        <w:t xml:space="preserve">Vibrio cholera </w:t>
      </w:r>
      <w:r>
        <w:rPr>
          <w:rFonts w:ascii="Arial" w:eastAsia="Arial" w:hAnsi="Arial" w:cs="Arial"/>
        </w:rPr>
        <w:t xml:space="preserve">shows a major public health priority due to the persistent role of environmental reservoirs such as rivers, brackish water and aquatic biofilms. </w:t>
      </w:r>
      <w:r w:rsidRPr="00BA74BB">
        <w:rPr>
          <w:rFonts w:ascii="Arial" w:eastAsia="Arial" w:hAnsi="Arial" w:cs="Arial"/>
        </w:rPr>
        <w:t xml:space="preserve">These reservoirs enable the bacterium to survive between epidemics and re-emerge when ecological conditions become favourable. Pathogens need reservoirs to survive for extended periods of time (Stulberg </w:t>
      </w:r>
      <w:r w:rsidRPr="00BA74BB">
        <w:rPr>
          <w:rFonts w:ascii="Arial" w:eastAsia="Arial" w:hAnsi="Arial" w:cs="Arial"/>
          <w:i/>
          <w:iCs/>
        </w:rPr>
        <w:t>et al.</w:t>
      </w:r>
      <w:r w:rsidRPr="00BA74BB">
        <w:rPr>
          <w:rFonts w:ascii="Arial" w:eastAsia="Arial" w:hAnsi="Arial" w:cs="Arial"/>
        </w:rPr>
        <w:t xml:space="preserve"> 2026). </w:t>
      </w:r>
      <w:r>
        <w:rPr>
          <w:rFonts w:ascii="Arial" w:eastAsia="Arial" w:hAnsi="Arial" w:cs="Arial"/>
        </w:rPr>
        <w:t xml:space="preserve">These reservoirs can be either living things or inanimate objects, however non-living reservoirs might include soil and water in the environment (Meradji </w:t>
      </w:r>
      <w:r>
        <w:rPr>
          <w:rFonts w:ascii="Arial" w:eastAsia="Arial" w:hAnsi="Arial" w:cs="Arial"/>
          <w:i/>
          <w:iCs/>
        </w:rPr>
        <w:t xml:space="preserve">et </w:t>
      </w:r>
      <w:r>
        <w:rPr>
          <w:rFonts w:ascii="Arial" w:eastAsia="Arial" w:hAnsi="Arial" w:cs="Arial"/>
          <w:i/>
          <w:iCs/>
        </w:rPr>
        <w:lastRenderedPageBreak/>
        <w:t>al.</w:t>
      </w:r>
      <w:r>
        <w:rPr>
          <w:rFonts w:ascii="Arial" w:eastAsia="Arial" w:hAnsi="Arial" w:cs="Arial"/>
        </w:rPr>
        <w:t xml:space="preserve"> 2025). Water contamination is the main source of the spread of the infection among various countries (Asantewaa </w:t>
      </w:r>
      <w:r>
        <w:rPr>
          <w:rFonts w:ascii="Arial" w:eastAsia="Arial" w:hAnsi="Arial" w:cs="Arial"/>
          <w:i/>
          <w:iCs/>
        </w:rPr>
        <w:t>et al.</w:t>
      </w:r>
      <w:r>
        <w:rPr>
          <w:rFonts w:ascii="Arial" w:eastAsia="Arial" w:hAnsi="Arial" w:cs="Arial"/>
        </w:rPr>
        <w:t xml:space="preserve"> 2024). Poor water, sanitisation and hygiene (WASH) infrastructure reflect contamination by allowing faecal matter to enter drinking-water networks and surface-water systems. Environmental epidemiology employed the use of molecular instruments to monitor the disease between water, animals, and humans (Ismail </w:t>
      </w:r>
      <w:r>
        <w:rPr>
          <w:rFonts w:ascii="Arial" w:eastAsia="Arial" w:hAnsi="Arial" w:cs="Arial"/>
          <w:i/>
          <w:iCs/>
        </w:rPr>
        <w:t>et al.</w:t>
      </w:r>
      <w:r>
        <w:rPr>
          <w:rFonts w:ascii="Arial" w:eastAsia="Arial" w:hAnsi="Arial" w:cs="Arial"/>
        </w:rPr>
        <w:t xml:space="preserve"> 2021). Molecular profiling has described that environmental isolation often harbours virulence and antimicrobial resistance determinants by showing their pathogenic potential. These reinforce the need to prioritise environmental sources as part of national and global cholera preparedness strategies.</w:t>
      </w:r>
    </w:p>
    <w:p w14:paraId="2DD4D0BB"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Use of patterns for early warning systems</w:t>
      </w:r>
    </w:p>
    <w:p w14:paraId="585860DC" w14:textId="77777777" w:rsidR="00C244A9" w:rsidRDefault="00EF3F4D">
      <w:pPr>
        <w:spacing w:line="360" w:lineRule="auto"/>
        <w:jc w:val="both"/>
        <w:rPr>
          <w:rFonts w:ascii="Arial" w:eastAsia="Arial" w:hAnsi="Arial" w:cs="Arial"/>
        </w:rPr>
      </w:pPr>
      <w:r>
        <w:rPr>
          <w:rFonts w:ascii="Arial" w:eastAsia="Arial" w:hAnsi="Arial" w:cs="Arial"/>
        </w:rPr>
        <w:t xml:space="preserve">Environmental and climate patterns strongly influence cholera dynamics making them critical components of early warning systems. Seasonal plankton blooms have been blamed for the Bengal Delta region's recurring seasonal cholera outbreaks over the past few decades (Biplab Maity </w:t>
      </w:r>
      <w:r>
        <w:rPr>
          <w:rFonts w:ascii="Arial" w:eastAsia="Arial" w:hAnsi="Arial" w:cs="Arial"/>
          <w:i/>
          <w:iCs/>
        </w:rPr>
        <w:t>et al.</w:t>
      </w:r>
      <w:r>
        <w:rPr>
          <w:rFonts w:ascii="Arial" w:eastAsia="Arial" w:hAnsi="Arial" w:cs="Arial"/>
        </w:rPr>
        <w:t xml:space="preserve"> 2025). The seasonal warming, monsoon rainfall and flooding events frequently coincide with spikes in bacterial abundance resulting in enhanced risk of waterborne transmission. According to Shafii </w:t>
      </w:r>
      <w:r>
        <w:rPr>
          <w:rFonts w:ascii="Arial" w:eastAsia="Arial" w:hAnsi="Arial" w:cs="Arial"/>
          <w:i/>
          <w:iCs/>
        </w:rPr>
        <w:t>et al.</w:t>
      </w:r>
      <w:r>
        <w:rPr>
          <w:rFonts w:ascii="Arial" w:eastAsia="Arial" w:hAnsi="Arial" w:cs="Arial"/>
        </w:rPr>
        <w:t xml:space="preserve"> (2023) the direct effects of floodwater, an unforeseen large-scale flood disaster is typically linked to a higher risk of waterborne infectious diseases. The molecular surveillance improves early warning capacity by linking environmental cues with genomic signals like emergence of specific virulence genes or shifts in strain clusters. Inclusion of the genomic data into the environmental measurement would help to predict outbreaks and intervene more closely. For example, enhance WASH and use outcomes in genomic surveillance to manage cholera (Usmani </w:t>
      </w:r>
      <w:r>
        <w:rPr>
          <w:rFonts w:ascii="Arial" w:eastAsia="Arial" w:hAnsi="Arial" w:cs="Arial"/>
          <w:i/>
          <w:iCs/>
        </w:rPr>
        <w:t>et al.</w:t>
      </w:r>
      <w:r>
        <w:rPr>
          <w:rFonts w:ascii="Arial" w:eastAsia="Arial" w:hAnsi="Arial" w:cs="Arial"/>
        </w:rPr>
        <w:t xml:space="preserve"> 2021). This has integrated these patterns allowing public health authorities to anticipate outbreaks, initiate rapid field assessment and target WASH reinforcement before high transmission.</w:t>
      </w:r>
    </w:p>
    <w:p w14:paraId="5188CA56"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Genomic surveillance for detection</w:t>
      </w:r>
    </w:p>
    <w:p w14:paraId="07C72D19" w14:textId="77777777" w:rsidR="00C244A9" w:rsidRDefault="00EF3F4D">
      <w:pPr>
        <w:spacing w:line="360" w:lineRule="auto"/>
        <w:jc w:val="both"/>
        <w:rPr>
          <w:rFonts w:ascii="Arial" w:eastAsia="Arial" w:hAnsi="Arial" w:cs="Arial"/>
        </w:rPr>
      </w:pPr>
      <w:r>
        <w:rPr>
          <w:rFonts w:ascii="Arial" w:eastAsia="Arial" w:hAnsi="Arial" w:cs="Arial"/>
        </w:rPr>
        <w:t xml:space="preserve">Genomic surveillance plays a major role in detecting indirect transmission pathways and comprehending the ecological persistence of </w:t>
      </w:r>
      <w:r>
        <w:rPr>
          <w:rFonts w:ascii="Arial" w:eastAsia="Arial" w:hAnsi="Arial" w:cs="Arial"/>
          <w:i/>
          <w:iCs/>
        </w:rPr>
        <w:t>Vibrio cholerae</w:t>
      </w:r>
      <w:r>
        <w:rPr>
          <w:rFonts w:ascii="Arial" w:eastAsia="Arial" w:hAnsi="Arial" w:cs="Arial"/>
        </w:rPr>
        <w:t xml:space="preserve">. WGS, MLST and metagenomics provide high-resolution data on strain relatedness, antimicrobial resistance markers and environmental adaptation. As opined by Usmani </w:t>
      </w:r>
      <w:r>
        <w:rPr>
          <w:rFonts w:ascii="Arial" w:eastAsia="Arial" w:hAnsi="Arial" w:cs="Arial"/>
          <w:i/>
          <w:iCs/>
        </w:rPr>
        <w:t>et al.</w:t>
      </w:r>
      <w:r>
        <w:rPr>
          <w:rFonts w:ascii="Arial" w:eastAsia="Arial" w:hAnsi="Arial" w:cs="Arial"/>
        </w:rPr>
        <w:t xml:space="preserve"> (2021), </w:t>
      </w:r>
      <w:r>
        <w:rPr>
          <w:rFonts w:ascii="Arial" w:eastAsia="Arial" w:hAnsi="Arial" w:cs="Arial"/>
          <w:i/>
          <w:iCs/>
        </w:rPr>
        <w:t>Vibrio cholerae</w:t>
      </w:r>
      <w:r>
        <w:rPr>
          <w:rFonts w:ascii="Arial" w:eastAsia="Arial" w:hAnsi="Arial" w:cs="Arial"/>
        </w:rPr>
        <w:t xml:space="preserve"> is one of the most significant health issues creating bacteria which is contaminated through the primary ingestion of water with the bacteria contamination. In contrast Shackleton </w:t>
      </w:r>
      <w:r>
        <w:rPr>
          <w:rFonts w:ascii="Arial" w:eastAsia="Arial" w:hAnsi="Arial" w:cs="Arial"/>
          <w:i/>
          <w:iCs/>
        </w:rPr>
        <w:t>et al.</w:t>
      </w:r>
      <w:r>
        <w:rPr>
          <w:rFonts w:ascii="Arial" w:eastAsia="Arial" w:hAnsi="Arial" w:cs="Arial"/>
        </w:rPr>
        <w:t xml:space="preserve"> (2024) stated that Cholera remains a significant public health issue due to changing nature of the bacterial transformation system and influencing from the direct transmission. These techniques distinguish between locally </w:t>
      </w:r>
      <w:r>
        <w:rPr>
          <w:rFonts w:ascii="Arial" w:eastAsia="Arial" w:hAnsi="Arial" w:cs="Arial"/>
        </w:rPr>
        <w:lastRenderedPageBreak/>
        <w:t>sustained environmental strains and newly introduced lineages by enabling accurate source attribution. The genomic evidence from several regions has depicted the way environmental reservoirs can act as continuous sources of infections while international movement can also show outbreaks. The detection of virulence genes such as ctxAB and rtx plankton, sediment and untreated water enhances understanding of the way environmental transmission occurs before human exposure is detected. Clinically, this integration of genomic data with environmental monitoring supports more precise surveillance frameworks.</w:t>
      </w:r>
    </w:p>
    <w:p w14:paraId="7F19C21D"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Major pathways and public health interventions</w:t>
      </w:r>
    </w:p>
    <w:p w14:paraId="1A38CEEB" w14:textId="77777777" w:rsidR="00C244A9" w:rsidRDefault="00EF3F4D">
      <w:pPr>
        <w:spacing w:line="360" w:lineRule="auto"/>
        <w:jc w:val="both"/>
        <w:rPr>
          <w:rFonts w:ascii="Arial" w:eastAsia="Arial" w:hAnsi="Arial" w:cs="Arial"/>
        </w:rPr>
      </w:pPr>
      <w:r>
        <w:rPr>
          <w:rFonts w:ascii="Arial" w:eastAsia="Arial" w:hAnsi="Arial" w:cs="Arial"/>
        </w:rPr>
        <w:t xml:space="preserve">The major pathways of indirect cholera transmission involve contaminated drinking water wastewater intrusion, aquatic reservoir exposure, consumption of raw or undercooked aquatic products and contact with faecal polluted environments. The polluted environment helped the pathogen to developed different phage in sewage and contaminated water habitats are comparatively low (World Health Organisation, 2022). The molecular profiling confirms that these pathways are influenced by climate change, pollution, overcrowding, population displacement and poor sanitisation. As indicated by Lanrewaju </w:t>
      </w:r>
      <w:r>
        <w:rPr>
          <w:rFonts w:ascii="Arial" w:eastAsia="Arial" w:hAnsi="Arial" w:cs="Arial"/>
          <w:i/>
          <w:iCs/>
        </w:rPr>
        <w:t xml:space="preserve">et al. </w:t>
      </w:r>
      <w:r>
        <w:rPr>
          <w:rFonts w:ascii="Arial" w:eastAsia="Arial" w:hAnsi="Arial" w:cs="Arial"/>
        </w:rPr>
        <w:t>(2022), a negative attitude towards boiled or treated water may increase contamination rate within the population group and directly increase the pathogenesis transmission. The public health intervention needs to target WASH improvements, including provision of safe water, chlorination, sanitation infrastructure upgrades and community hygiene education (World Health Organisation, 2023). The genomic surveillance needs to be implemented into routine monitoring to identify high-risk reservoirs, detect antimicrobial resistance patterns and guide rapid outbreak responses. This has strengthened environmental microbiological testing, regulated water quality and incorporating climate-based predictive tools can further enhance prevention efforts. These strategies make a proactive framework for minimising transmission to enhance long-term cholera control.</w:t>
      </w:r>
    </w:p>
    <w:p w14:paraId="1066D4EE" w14:textId="77777777" w:rsidR="00C244A9" w:rsidRDefault="00C244A9">
      <w:pPr>
        <w:pStyle w:val="Heading2"/>
        <w:ind w:firstLine="10"/>
        <w:rPr>
          <w:color w:val="000000"/>
        </w:rPr>
      </w:pPr>
      <w:bookmarkStart w:id="40" w:name="_heading=h.llnpc95ipiwx" w:colFirst="0" w:colLast="0"/>
      <w:bookmarkEnd w:id="40"/>
    </w:p>
    <w:p w14:paraId="540373D8" w14:textId="77777777" w:rsidR="00C244A9" w:rsidRDefault="00EF3F4D">
      <w:pPr>
        <w:pStyle w:val="Heading2"/>
        <w:ind w:firstLine="10"/>
        <w:rPr>
          <w:color w:val="000000"/>
        </w:rPr>
      </w:pPr>
      <w:bookmarkStart w:id="41" w:name="_Toc220842106"/>
      <w:r>
        <w:rPr>
          <w:color w:val="000000"/>
        </w:rPr>
        <w:t>2.3 Theoretical Framework</w:t>
      </w:r>
      <w:bookmarkEnd w:id="41"/>
    </w:p>
    <w:p w14:paraId="238006F4" w14:textId="77777777" w:rsidR="00C244A9" w:rsidRDefault="00EF3F4D">
      <w:pPr>
        <w:pBdr>
          <w:top w:val="nil"/>
          <w:left w:val="nil"/>
          <w:bottom w:val="nil"/>
          <w:right w:val="nil"/>
          <w:between w:val="nil"/>
        </w:pBdr>
        <w:spacing w:line="360" w:lineRule="auto"/>
        <w:jc w:val="both"/>
        <w:rPr>
          <w:rFonts w:ascii="Arial" w:eastAsia="Arial" w:hAnsi="Arial" w:cs="Arial"/>
          <w:b/>
          <w:bCs/>
          <w:i/>
          <w:iCs/>
        </w:rPr>
      </w:pPr>
      <w:r>
        <w:rPr>
          <w:rFonts w:ascii="Arial" w:eastAsia="Arial" w:hAnsi="Arial" w:cs="Arial"/>
          <w:b/>
          <w:bCs/>
          <w:i/>
          <w:iCs/>
        </w:rPr>
        <w:t>Germ theory of disease</w:t>
      </w:r>
    </w:p>
    <w:p w14:paraId="01977E2F" w14:textId="77777777" w:rsidR="00C244A9" w:rsidRDefault="00EF3F4D">
      <w:pPr>
        <w:spacing w:line="360" w:lineRule="auto"/>
        <w:jc w:val="both"/>
        <w:rPr>
          <w:rFonts w:ascii="Arial" w:eastAsia="Arial" w:hAnsi="Arial" w:cs="Arial"/>
        </w:rPr>
      </w:pPr>
      <w:r>
        <w:rPr>
          <w:rFonts w:ascii="Arial" w:eastAsia="Arial" w:hAnsi="Arial" w:cs="Arial"/>
        </w:rPr>
        <w:t xml:space="preserve">The germ theory of disease (mid-to-late 19th century) is the modern scientific theory that specialises the operation of key microorganisms that are called pathogens which have created many diseases. The germ theory has highlighted that invasion of the body due to contamination from the microorganisms especially from the pathogens (Casanova, 2023). The full implication of </w:t>
      </w:r>
      <w:r>
        <w:rPr>
          <w:rFonts w:ascii="Arial" w:eastAsia="Arial" w:hAnsi="Arial" w:cs="Arial"/>
        </w:rPr>
        <w:lastRenderedPageBreak/>
        <w:t>germ theory in the medical practices were not directly informed from the recognition of the pathogens in the body. Germ theory denotes the cause and effects of disease due to contamination from pathogens and microorganisms. As stated by Carlsson and Råberg (2024), germ theory coincides with the factors responsible for the severity of disease such as “evolutionary biology, microbial pathogenesis, and host–pathogen interactions”.  Application of germ theory in the treatment of Cholera is to determine the key specific vector pathogens and use antibiotics for prevention of contamination within the body. However, the virulence nature of the pathogens and transition within the cell cannot be determined by the implication of germ theory. On the other hand, Casanova and Abel (2021), stated that the clinical phenotypes of PIDs help to determine the recurrence infection in the body in the form of viral, bacterial and parasitic infections. The germ theory helps to increase the natural phenotypes for inclusion of benefits through medication and public health intervention. For example, it has wider benefits for determination of clinical phenotype in the development of autoimmune systems for protecting the body from pathogens. Thus, germ theory can be implied effectively in the application of intervention for prevention of Cholera.</w:t>
      </w:r>
    </w:p>
    <w:p w14:paraId="2BD085C0"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germ theory of disease explicitly recognises the infection caused by the interaction of microbial pathogens and explores their host in the contaminated body (Acharya, 2023). Germ theory helps to make a strong cause and effect relationship between infection and illness to determine the transmission rate and pathogenesis activity in the contaminated body. As opined by Casanova and Abel (2021), germ theory advanced as the possible recognition of illness due to pathogenesis and the nature of mutation within the cellular structure. It involves the benefits of disease recognition from the contamination of pathogens in the participating body (Horgan, 2023). Bacterial pathogens pose an array of specific infection through virulence of propagation within a host.  Germ theory has identified that the first stage of the infection is attachments of bacteria to the cell surface. Most essential causes of the cholera are the higher rate of transmission of </w:t>
      </w:r>
      <w:r>
        <w:rPr>
          <w:rFonts w:ascii="Arial" w:eastAsia="Arial" w:hAnsi="Arial" w:cs="Arial"/>
          <w:i/>
          <w:iCs/>
        </w:rPr>
        <w:t xml:space="preserve">Vibrio cholerae </w:t>
      </w:r>
      <w:r>
        <w:rPr>
          <w:rFonts w:ascii="Arial" w:eastAsia="Arial" w:hAnsi="Arial" w:cs="Arial"/>
        </w:rPr>
        <w:t xml:space="preserve">and its pathogenesis nature of mutation within the cell body (Filik and Filik, 2023). Germ theory of disease helps to underline the cause of epidemiology in the prevention and determination of epidemiology due to specific transmission of pathogenesis. Germ theory helps to determine the careful observation of diligent epidemiology through evidence-based data collection and population intervention (Paul </w:t>
      </w:r>
      <w:r>
        <w:rPr>
          <w:rFonts w:ascii="Arial" w:eastAsia="Arial" w:hAnsi="Arial" w:cs="Arial"/>
          <w:i/>
          <w:iCs/>
        </w:rPr>
        <w:t xml:space="preserve">et al. </w:t>
      </w:r>
      <w:r>
        <w:rPr>
          <w:rFonts w:ascii="Arial" w:eastAsia="Arial" w:hAnsi="Arial" w:cs="Arial"/>
        </w:rPr>
        <w:t>2024).</w:t>
      </w:r>
    </w:p>
    <w:p w14:paraId="79A7E4D3"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In this research cholera outbreak can be determined by successful implication germ theory within the population group and reduce risk of epidemiology. Germ theory helps to determine the key medication facility through exploring the current transmission rate and its antibiotic resistance. </w:t>
      </w:r>
      <w:r>
        <w:rPr>
          <w:rFonts w:ascii="Arial" w:eastAsia="Arial" w:hAnsi="Arial" w:cs="Arial"/>
        </w:rPr>
        <w:lastRenderedPageBreak/>
        <w:t xml:space="preserve">The higher level of cholera outbreak has made it necessary for the determination of molecular epidemiology tools in the prevention and control mechanism of cholera. Public health intervention strategy helps to reduce the outbreak of Cholera by adoption of early diagnosis and control mechanism through implication of germ theory. Determination of the pattern of Vibrio Cholerae in evolutionary genomics is critical for determination of transmission rate in the infected area. Cholera is an acute diarrheal disease with 2.9 million cases and 95,000 deaths observed in the global world each across 47 countries (Walton </w:t>
      </w:r>
      <w:r>
        <w:rPr>
          <w:rFonts w:ascii="Arial" w:eastAsia="Arial" w:hAnsi="Arial" w:cs="Arial"/>
          <w:i/>
          <w:iCs/>
        </w:rPr>
        <w:t xml:space="preserve">et al. </w:t>
      </w:r>
      <w:r>
        <w:rPr>
          <w:rFonts w:ascii="Arial" w:eastAsia="Arial" w:hAnsi="Arial" w:cs="Arial"/>
        </w:rPr>
        <w:t xml:space="preserve">2023). Moreover, implication of germ theory in the infected species can help to determine the antimicrobial pathogenesis and explore key medication by determination of antimicrobial resistance. In comparison to it, Igere and Nwodo (2024), expressed information that molecular epidemiology helps in genotypic determination of targeted pathogens for exploring its nature, virulence and plasmid DNA composition. </w:t>
      </w:r>
    </w:p>
    <w:p w14:paraId="39026255"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Germ theory helps to integrate better activity in the use of molecular technology for identifying pathogens virulent pattern and contamination rate in the infectious group. It helps to provide benefits for determination of current sources of infection and its link to the external factors to control the transmission rate in the contaminated body. Disease prevention and control mechanisms are essential for intervention and control of cholera outbreak by estimating the current transmission rate of Cholera bacteria in the water borne microorganisms. It is essential to understand the emergence of cholera prevention within the vector body for reducing chances of epidemiology and current progression of cholera outbreaks (Adeniyi, 2024). External environmental factors such as socio-economic relevance and cultural inclusion have illustrated key risk factors for the cholera outbreaks within vulnerable communities. The application of germ theory can help to identify the key factor and cause of microbial transmission within the vector body to explore better prevention in the cholera outbreaks. Thus, application of Germ theory helps to provide key observation facilities within the healthcare groups to explore the nature of pathogenesis of microorganisms.  </w:t>
      </w:r>
    </w:p>
    <w:p w14:paraId="2B8339DC" w14:textId="77777777" w:rsidR="00C244A9" w:rsidRDefault="00C244A9">
      <w:pPr>
        <w:pStyle w:val="Heading2"/>
        <w:ind w:left="0"/>
        <w:rPr>
          <w:color w:val="000000"/>
        </w:rPr>
      </w:pPr>
      <w:bookmarkStart w:id="42" w:name="_heading=h.1t5g5l7w6q0c" w:colFirst="0" w:colLast="0"/>
      <w:bookmarkEnd w:id="42"/>
    </w:p>
    <w:p w14:paraId="644F84BC" w14:textId="77777777" w:rsidR="00C244A9" w:rsidRDefault="00EF3F4D">
      <w:pPr>
        <w:pStyle w:val="Heading2"/>
        <w:ind w:left="0"/>
        <w:rPr>
          <w:color w:val="000000"/>
        </w:rPr>
      </w:pPr>
      <w:bookmarkStart w:id="43" w:name="_Toc220842107"/>
      <w:r>
        <w:rPr>
          <w:color w:val="000000"/>
        </w:rPr>
        <w:t>2.4 Gaps in Literature</w:t>
      </w:r>
      <w:bookmarkEnd w:id="43"/>
    </w:p>
    <w:p w14:paraId="59A41C01"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several critical gaps persist in understanding the indirect transmission of </w:t>
      </w:r>
      <w:r>
        <w:rPr>
          <w:rFonts w:ascii="Arial" w:eastAsia="Arial" w:hAnsi="Arial" w:cs="Arial"/>
          <w:i/>
          <w:iCs/>
        </w:rPr>
        <w:t>Vibrio cholerae</w:t>
      </w:r>
      <w:r>
        <w:rPr>
          <w:rFonts w:ascii="Arial" w:eastAsia="Arial" w:hAnsi="Arial" w:cs="Arial"/>
        </w:rPr>
        <w:t xml:space="preserve">, despite the extensive growth of molecular epidemiology research. The available genomic literature emphasises primarily on the outbreak periods with limited investigation into inter-epidemic environmental dynamics. Longitudinal environmental genomic surveillance remains a gap, especially studies which track </w:t>
      </w:r>
      <w:r>
        <w:rPr>
          <w:rFonts w:ascii="Arial" w:eastAsia="Arial" w:hAnsi="Arial" w:cs="Arial"/>
          <w:i/>
          <w:iCs/>
        </w:rPr>
        <w:t xml:space="preserve">Vibrio cholera </w:t>
      </w:r>
      <w:r>
        <w:rPr>
          <w:rFonts w:ascii="Arial" w:eastAsia="Arial" w:hAnsi="Arial" w:cs="Arial"/>
        </w:rPr>
        <w:t xml:space="preserve">across multiple seasons to find early ecological </w:t>
      </w:r>
      <w:r>
        <w:rPr>
          <w:rFonts w:ascii="Arial" w:eastAsia="Arial" w:hAnsi="Arial" w:cs="Arial"/>
        </w:rPr>
        <w:lastRenderedPageBreak/>
        <w:t xml:space="preserve">triggers preceding human cases (Usmani </w:t>
      </w:r>
      <w:r>
        <w:rPr>
          <w:rFonts w:ascii="Arial" w:eastAsia="Arial" w:hAnsi="Arial" w:cs="Arial"/>
          <w:i/>
          <w:iCs/>
        </w:rPr>
        <w:t xml:space="preserve">et al. </w:t>
      </w:r>
      <w:r>
        <w:rPr>
          <w:rFonts w:ascii="Arial" w:eastAsia="Arial" w:hAnsi="Arial" w:cs="Arial"/>
        </w:rPr>
        <w:t>2021). This gap restricts understanding of the way pathogens persist, adapt and reactivate in complex aquatic ecosystems.</w:t>
      </w:r>
    </w:p>
    <w:p w14:paraId="07D327EF"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The global distribution of research might be uneven in which majority of the molecular studies originate from the Asian, African where cholera is highly endemic and other nations remain significantly underrepresented. Therefore, the broader ecological and climatic variations influencing indirect transmission are poorly captured with limiting generalisability across the diverse geographic contexts. The under-resourced regions might experience substantial outbreaks, however the poor genomic capacity to develop molecular data informs local public health strategies.</w:t>
      </w:r>
    </w:p>
    <w:p w14:paraId="4AAFBFEF"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However, the molecular methods detect VBNC forms of </w:t>
      </w:r>
      <w:r>
        <w:rPr>
          <w:rFonts w:ascii="Arial" w:eastAsia="Arial" w:hAnsi="Arial" w:cs="Arial"/>
          <w:i/>
          <w:iCs/>
        </w:rPr>
        <w:t xml:space="preserve">Vibrio cholera </w:t>
      </w:r>
      <w:r>
        <w:rPr>
          <w:rFonts w:ascii="Arial" w:eastAsia="Arial" w:hAnsi="Arial" w:cs="Arial"/>
        </w:rPr>
        <w:t xml:space="preserve">which might lack understanding of the way these states contribute to the environmental persistence and transmission risks (Zhang </w:t>
      </w:r>
      <w:r>
        <w:rPr>
          <w:rFonts w:ascii="Arial" w:eastAsia="Arial" w:hAnsi="Arial" w:cs="Arial"/>
          <w:i/>
          <w:iCs/>
        </w:rPr>
        <w:t>et al.</w:t>
      </w:r>
      <w:r>
        <w:rPr>
          <w:rFonts w:ascii="Arial" w:eastAsia="Arial" w:hAnsi="Arial" w:cs="Arial"/>
        </w:rPr>
        <w:t xml:space="preserve"> 2023). The minimal studies integrate VBNC detection with hydrological modelling, climate data or risk prediction frameworks. Hence, the public health authorities face issues in interpreting the genomic results for practical environmental risk assessments.</w:t>
      </w:r>
    </w:p>
    <w:p w14:paraId="536311EF"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literature has also described the insufficient translation of molecular findings into actionable public health interventions. Many countries lack structured frameworks for integrating genomic data with traditional surveillance, WASH planning or outbreak response mechanisms. This disconnect limits the operational utilization of sequencing evidence on guiding early detection, source attribution, environmental monitoring and targeted prevention efforts. The limited research analyses the cost-effectiveness, feasibility and sustainability to incorporate genomic surveillance in the lower- and middle-income countries (Price </w:t>
      </w:r>
      <w:r>
        <w:rPr>
          <w:rFonts w:ascii="Arial" w:eastAsia="Arial" w:hAnsi="Arial" w:cs="Arial"/>
          <w:i/>
          <w:iCs/>
        </w:rPr>
        <w:t xml:space="preserve">et al. </w:t>
      </w:r>
      <w:r>
        <w:rPr>
          <w:rFonts w:ascii="Arial" w:eastAsia="Arial" w:hAnsi="Arial" w:cs="Arial"/>
        </w:rPr>
        <w:t>2023). High resource requirements, technical expertise and laboratory infrastructure remain challenges; however, few comparative studies assess which molecular tools are highly practical for endemic contexts. The insufficient multidisciplinary integration persists in crucial molecular studies that often operate independently of environmental science, hydrology, and climate modelling and social epidemiology, despite cholera’s strong environmental drivers. These gaps have been optimised essentially with full potential of molecular epidemiology in cholera prevention, prediction and control.</w:t>
      </w:r>
    </w:p>
    <w:p w14:paraId="1AB3DD10" w14:textId="77777777" w:rsidR="00C244A9" w:rsidRDefault="00C244A9">
      <w:pPr>
        <w:pStyle w:val="Heading2"/>
        <w:ind w:firstLine="10"/>
        <w:rPr>
          <w:color w:val="000000"/>
        </w:rPr>
      </w:pPr>
      <w:bookmarkStart w:id="44" w:name="_heading=h.kdwaubg5tf2" w:colFirst="0" w:colLast="0"/>
      <w:bookmarkEnd w:id="44"/>
    </w:p>
    <w:p w14:paraId="01345D1F" w14:textId="77777777" w:rsidR="00C244A9" w:rsidRDefault="00EF3F4D">
      <w:pPr>
        <w:pStyle w:val="Heading2"/>
        <w:ind w:firstLine="10"/>
        <w:rPr>
          <w:color w:val="000000"/>
        </w:rPr>
      </w:pPr>
      <w:bookmarkStart w:id="45" w:name="_Toc220842108"/>
      <w:r>
        <w:rPr>
          <w:color w:val="000000"/>
        </w:rPr>
        <w:t>2.5 Summary of the Chapter</w:t>
      </w:r>
      <w:bookmarkEnd w:id="45"/>
    </w:p>
    <w:p w14:paraId="50E52B7A" w14:textId="77777777" w:rsidR="00C244A9" w:rsidRDefault="00EF3F4D">
      <w:pPr>
        <w:pBdr>
          <w:top w:val="nil"/>
          <w:left w:val="nil"/>
          <w:bottom w:val="nil"/>
          <w:right w:val="nil"/>
          <w:between w:val="nil"/>
        </w:pBdr>
        <w:spacing w:line="360" w:lineRule="auto"/>
        <w:jc w:val="both"/>
        <w:rPr>
          <w:b/>
          <w:bCs/>
          <w:sz w:val="24"/>
          <w:szCs w:val="24"/>
        </w:rPr>
      </w:pPr>
      <w:r>
        <w:rPr>
          <w:rFonts w:ascii="Arial" w:eastAsia="Arial" w:hAnsi="Arial" w:cs="Arial"/>
        </w:rPr>
        <w:t xml:space="preserve">This chapter has presented a structured review using current evidence on molecular epidemiology in investigating cholera’s indirect transmission. This has outlined the systematic search strategy, reviewed genomic sequencing techniques by highlighting their role for detecting and characterizing </w:t>
      </w:r>
      <w:r>
        <w:rPr>
          <w:rFonts w:ascii="Arial" w:eastAsia="Arial" w:hAnsi="Arial" w:cs="Arial"/>
          <w:i/>
          <w:iCs/>
        </w:rPr>
        <w:t xml:space="preserve">Vibrio cholera </w:t>
      </w:r>
      <w:r>
        <w:rPr>
          <w:rFonts w:ascii="Arial" w:eastAsia="Arial" w:hAnsi="Arial" w:cs="Arial"/>
        </w:rPr>
        <w:t xml:space="preserve">in environmental reservoirs. This chapter has also described that the molecular tools significantly strengthen comprehension of pathogen evolution, environmental persistence and outbreak origins with recommendations. This has identified the major gaps including limited environmental surveillance, geographic bias and challenges integrating genomic data into practices. These insights have provided the foundation for discussing the way molecular findings could inform public health interventions. Thus, literature review helps to evaluate the current factors responsible for the prevalence of Cholera due to close contamination. </w:t>
      </w:r>
      <w:r>
        <w:br w:type="page"/>
      </w:r>
    </w:p>
    <w:p w14:paraId="02C1D086" w14:textId="77777777" w:rsidR="00C244A9" w:rsidRDefault="00EF3F4D">
      <w:pPr>
        <w:pStyle w:val="Heading1"/>
        <w:ind w:left="12" w:right="4" w:firstLine="0"/>
      </w:pPr>
      <w:bookmarkStart w:id="46" w:name="_Toc220786087"/>
      <w:bookmarkStart w:id="47" w:name="_Toc220842109"/>
      <w:r>
        <w:lastRenderedPageBreak/>
        <w:t>Chapter 3: Research Methodology</w:t>
      </w:r>
      <w:bookmarkEnd w:id="46"/>
      <w:bookmarkEnd w:id="47"/>
      <w:r>
        <w:t xml:space="preserve">  </w:t>
      </w:r>
    </w:p>
    <w:p w14:paraId="60696484" w14:textId="77777777" w:rsidR="00C244A9" w:rsidRDefault="00C244A9">
      <w:pPr>
        <w:pStyle w:val="Heading2"/>
        <w:ind w:firstLine="10"/>
        <w:rPr>
          <w:color w:val="000000"/>
        </w:rPr>
      </w:pPr>
      <w:bookmarkStart w:id="48" w:name="_heading=h.w7esl6oa9oq4" w:colFirst="0" w:colLast="0"/>
      <w:bookmarkEnd w:id="48"/>
    </w:p>
    <w:p w14:paraId="464212DE" w14:textId="77777777" w:rsidR="00C244A9" w:rsidRDefault="00EF3F4D">
      <w:pPr>
        <w:pStyle w:val="Heading2"/>
        <w:ind w:firstLine="10"/>
        <w:rPr>
          <w:color w:val="000000"/>
        </w:rPr>
      </w:pPr>
      <w:bookmarkStart w:id="49" w:name="_Toc220842110"/>
      <w:r>
        <w:rPr>
          <w:color w:val="000000"/>
        </w:rPr>
        <w:t>3.1 Introduction to the Research</w:t>
      </w:r>
      <w:bookmarkEnd w:id="49"/>
    </w:p>
    <w:p w14:paraId="6FDAA33D" w14:textId="77777777" w:rsidR="00C244A9" w:rsidRDefault="00EF3F4D">
      <w:pPr>
        <w:spacing w:line="360" w:lineRule="auto"/>
        <w:jc w:val="both"/>
        <w:rPr>
          <w:rFonts w:ascii="Arial" w:eastAsia="Arial" w:hAnsi="Arial" w:cs="Arial"/>
        </w:rPr>
      </w:pPr>
      <w:r>
        <w:rPr>
          <w:rFonts w:ascii="Arial" w:eastAsia="Arial" w:hAnsi="Arial" w:cs="Arial"/>
        </w:rPr>
        <w:t xml:space="preserve">The systematic review methodology has been instrumental in the collection of existing strong literature on the perception of how the molecular epidemiology tool can be applied by a public health-interventions to reduce cholera. The genomic epidemiologic studies have made possible the phylogenetic distribution visualisation and dynamics of transmission of a single V. cholerae (Jiang </w:t>
      </w:r>
      <w:r>
        <w:rPr>
          <w:rFonts w:ascii="Arial" w:eastAsia="Arial" w:hAnsi="Arial" w:cs="Arial"/>
          <w:i/>
          <w:iCs/>
        </w:rPr>
        <w:t>et al.</w:t>
      </w:r>
      <w:r>
        <w:rPr>
          <w:rFonts w:ascii="Arial" w:eastAsia="Arial" w:hAnsi="Arial" w:cs="Arial"/>
        </w:rPr>
        <w:t xml:space="preserve"> 2025). The source of the outbreaks can be tracked, and the public health interventions are used. The molecular epidemiology tools outlined the transmission pathways that are crucial during the intervention and surveillance of the public health strategies (Ismail </w:t>
      </w:r>
      <w:r>
        <w:rPr>
          <w:rFonts w:ascii="Arial" w:eastAsia="Arial" w:hAnsi="Arial" w:cs="Arial"/>
          <w:i/>
          <w:iCs/>
        </w:rPr>
        <w:t>et al.</w:t>
      </w:r>
      <w:r>
        <w:rPr>
          <w:rFonts w:ascii="Arial" w:eastAsia="Arial" w:hAnsi="Arial" w:cs="Arial"/>
        </w:rPr>
        <w:t xml:space="preserve"> 2021). This chapter will discuss the method used to capture the evidence that is utilized in this review, including the extensive database searches that allow one to identify existing literature on the molecular tools in the prevention of cholera. Moreover, the chapter discussed the data management, analysis and ethical considerations in details.</w:t>
      </w:r>
    </w:p>
    <w:p w14:paraId="31B55E23" w14:textId="77777777" w:rsidR="00C244A9" w:rsidRDefault="00C244A9">
      <w:pPr>
        <w:pStyle w:val="Heading2"/>
        <w:ind w:firstLine="10"/>
        <w:rPr>
          <w:color w:val="000000"/>
        </w:rPr>
      </w:pPr>
      <w:bookmarkStart w:id="50" w:name="_heading=h.b2r5aqm427ft" w:colFirst="0" w:colLast="0"/>
      <w:bookmarkEnd w:id="50"/>
    </w:p>
    <w:p w14:paraId="15E92BAD" w14:textId="77777777" w:rsidR="00C244A9" w:rsidRDefault="00EF3F4D">
      <w:pPr>
        <w:pStyle w:val="Heading2"/>
        <w:ind w:firstLine="10"/>
        <w:rPr>
          <w:color w:val="000000"/>
        </w:rPr>
      </w:pPr>
      <w:bookmarkStart w:id="51" w:name="_Toc220842111"/>
      <w:r>
        <w:rPr>
          <w:color w:val="000000"/>
        </w:rPr>
        <w:t>3.2 Research paradigm/ philosophy</w:t>
      </w:r>
      <w:bookmarkEnd w:id="51"/>
    </w:p>
    <w:p w14:paraId="2D3D3FD9" w14:textId="77777777" w:rsidR="00C244A9" w:rsidRDefault="00EF3F4D">
      <w:pPr>
        <w:spacing w:line="360" w:lineRule="auto"/>
        <w:jc w:val="both"/>
        <w:rPr>
          <w:rFonts w:ascii="Arial" w:eastAsia="Arial" w:hAnsi="Arial" w:cs="Arial"/>
        </w:rPr>
      </w:pPr>
      <w:r>
        <w:rPr>
          <w:rFonts w:ascii="Arial" w:eastAsia="Arial" w:hAnsi="Arial" w:cs="Arial"/>
        </w:rPr>
        <w:t>The philosophy that is employed in the research is interpretivism, which views reality as a social construct based on human experience. Interpretivism also presupposes the existence of various realities and meanings that are created based on a contextual understanding and constructed nature of reality, elaborate the significance of personal experiences (Salzmann-Erikson, 2024). Improved comprehension of the intricate phenomena is in accord with such a philosophical approach as the qualitative inquiry that aims to measure variables. Interpretive research has been incorporated into the study as a means of on the perceptions on the molecular epidemiology tools utilised as public health interventions to reduce cholera. Interpretivism as a paradigm, which responds to the perceptions of the participants in order to comprehend the phenomena based on the contextual environment (Arias and Li, 2025). The interpretivism application was enable this systematic review to understand how the instruments of molecular epidemiology are perceived in various circumstances of public health to reverse the transmission of cholera. In addition, the interpretivism approach places a researcher as an active intruder of evidence, and not a viewer of a distinct reality (Clare and Kourousis, 2021). This review is supported by interpretivism because it allows us to understand the context of application of molecular epidemiology in the context of its influence on the preventive measures of cholera.</w:t>
      </w:r>
    </w:p>
    <w:p w14:paraId="21C743EC" w14:textId="77777777" w:rsidR="00C244A9" w:rsidRDefault="00EF3F4D">
      <w:pPr>
        <w:pStyle w:val="Heading2"/>
        <w:ind w:firstLine="10"/>
        <w:rPr>
          <w:color w:val="000000"/>
        </w:rPr>
      </w:pPr>
      <w:bookmarkStart w:id="52" w:name="_heading=h.h1j1lgis7bug" w:colFirst="0" w:colLast="0"/>
      <w:bookmarkStart w:id="53" w:name="_Toc220842112"/>
      <w:bookmarkEnd w:id="52"/>
      <w:r>
        <w:rPr>
          <w:color w:val="000000"/>
        </w:rPr>
        <w:lastRenderedPageBreak/>
        <w:t>3.3 Research strategy</w:t>
      </w:r>
      <w:bookmarkEnd w:id="53"/>
    </w:p>
    <w:p w14:paraId="74857146" w14:textId="77777777" w:rsidR="00C244A9" w:rsidRDefault="00EF3F4D">
      <w:pPr>
        <w:spacing w:line="360" w:lineRule="auto"/>
        <w:jc w:val="both"/>
        <w:rPr>
          <w:rFonts w:ascii="Arial" w:eastAsia="Arial" w:hAnsi="Arial" w:cs="Arial"/>
        </w:rPr>
      </w:pPr>
      <w:r>
        <w:rPr>
          <w:rFonts w:ascii="Arial" w:eastAsia="Arial" w:hAnsi="Arial" w:cs="Arial"/>
        </w:rPr>
        <w:t xml:space="preserve">The research study adopts the systematic review research strategy; the researcher developed interpretations and insights on the exact patterns that arise in the literature. An inductive strategy begins with certain evidence of a certain nature and generates broad conceptual knowledge, and a variable of interest follows an ordinal distribution (Grek </w:t>
      </w:r>
      <w:r>
        <w:rPr>
          <w:rFonts w:ascii="Arial" w:eastAsia="Arial" w:hAnsi="Arial" w:cs="Arial"/>
          <w:i/>
          <w:iCs/>
        </w:rPr>
        <w:t>et al.</w:t>
      </w:r>
      <w:r>
        <w:rPr>
          <w:rFonts w:ascii="Arial" w:eastAsia="Arial" w:hAnsi="Arial" w:cs="Arial"/>
        </w:rPr>
        <w:t xml:space="preserve"> 2024). This methodology is appropriate when it comes to studying a complex situation related to the cholera control efforts implemented by the use of molecular epidemiology tools in population health. In cases where the likelihood exists that the pre-determined theories are constrained. One of the techniques is qualitative inductive reasoning in which the themes and insights can be directly inferred from the review data instead of testing a hypothesis (Rana, Poudel, and Chimoriya, 2023). A study that involves inductive interpretation of evidence between studies can be carried out using methods of narrative and thematic synthesis (MajaGaborov </w:t>
      </w:r>
      <w:r>
        <w:rPr>
          <w:rFonts w:ascii="Arial" w:eastAsia="Arial" w:hAnsi="Arial" w:cs="Arial"/>
          <w:i/>
          <w:iCs/>
        </w:rPr>
        <w:t>et al.</w:t>
      </w:r>
      <w:r>
        <w:rPr>
          <w:rFonts w:ascii="Arial" w:eastAsia="Arial" w:hAnsi="Arial" w:cs="Arial"/>
        </w:rPr>
        <w:t xml:space="preserve"> 2024). The deductive approaches are not relevant in this case because they assume the application of past theories in order to test them, which is not the aim of this exploratory review.</w:t>
      </w:r>
    </w:p>
    <w:p w14:paraId="3E5781A4" w14:textId="77777777" w:rsidR="00C244A9" w:rsidRDefault="00C244A9">
      <w:pPr>
        <w:pStyle w:val="Heading2"/>
        <w:ind w:firstLine="10"/>
        <w:rPr>
          <w:color w:val="000000"/>
        </w:rPr>
      </w:pPr>
      <w:bookmarkStart w:id="54" w:name="_heading=h.2yro22ub8w8c" w:colFirst="0" w:colLast="0"/>
      <w:bookmarkEnd w:id="54"/>
    </w:p>
    <w:p w14:paraId="3E154A1E" w14:textId="77777777" w:rsidR="00C244A9" w:rsidRDefault="00EF3F4D">
      <w:pPr>
        <w:pStyle w:val="Heading2"/>
        <w:ind w:firstLine="10"/>
        <w:rPr>
          <w:color w:val="000000"/>
        </w:rPr>
      </w:pPr>
      <w:bookmarkStart w:id="55" w:name="_Toc220842113"/>
      <w:r>
        <w:rPr>
          <w:color w:val="000000"/>
        </w:rPr>
        <w:t>3.4 Research Design</w:t>
      </w:r>
      <w:bookmarkEnd w:id="55"/>
    </w:p>
    <w:p w14:paraId="51C93D0F" w14:textId="77777777" w:rsidR="00C244A9" w:rsidRDefault="00EF3F4D">
      <w:pPr>
        <w:spacing w:line="360" w:lineRule="auto"/>
        <w:jc w:val="both"/>
        <w:rPr>
          <w:rFonts w:ascii="Arial" w:eastAsia="Arial" w:hAnsi="Arial" w:cs="Arial"/>
        </w:rPr>
      </w:pPr>
      <w:r>
        <w:rPr>
          <w:rFonts w:ascii="Arial" w:eastAsia="Arial" w:hAnsi="Arial" w:cs="Arial"/>
        </w:rPr>
        <w:t xml:space="preserve">The research design that should be used in this research is a systematic review because the kind of research design has been chosen due to the need to conduct methodologically viable and transparent research. A systematic review process is conducted with respect to a series of steps that allow identifying, assessing, and synthesizing the available evidence using the conventional methods of molecular epidemiology tools in cholera control (Nur </w:t>
      </w:r>
      <w:r>
        <w:rPr>
          <w:rFonts w:ascii="Arial" w:eastAsia="Arial" w:hAnsi="Arial" w:cs="Arial"/>
          <w:i/>
          <w:iCs/>
        </w:rPr>
        <w:t>et al.</w:t>
      </w:r>
      <w:r>
        <w:rPr>
          <w:rFonts w:ascii="Arial" w:eastAsia="Arial" w:hAnsi="Arial" w:cs="Arial"/>
        </w:rPr>
        <w:t xml:space="preserve"> 2024). It enables ordered research to be conducted regarding the contributions of the molecular data on the process of informing professionals on the best intervention strategies against the indirect mode of transmission. The systematic reviews allow the comparison of various molecular tools in the prism of the outbreaks that cannot be considered through the narrative review (Bae </w:t>
      </w:r>
      <w:r>
        <w:rPr>
          <w:rFonts w:ascii="Arial" w:eastAsia="Arial" w:hAnsi="Arial" w:cs="Arial"/>
          <w:i/>
          <w:iCs/>
        </w:rPr>
        <w:t>et al.</w:t>
      </w:r>
      <w:r>
        <w:rPr>
          <w:rFonts w:ascii="Arial" w:eastAsia="Arial" w:hAnsi="Arial" w:cs="Arial"/>
        </w:rPr>
        <w:t xml:space="preserve"> 2022). The authors consider systematic reviews as beneficial designs, and they might be used to consolidate the complex epidemiology evidence on the topic of the relationship between public health and </w:t>
      </w:r>
    </w:p>
    <w:p w14:paraId="30385253" w14:textId="77777777" w:rsidR="00C244A9" w:rsidRDefault="00C244A9">
      <w:pPr>
        <w:pStyle w:val="Heading2"/>
        <w:ind w:firstLine="10"/>
        <w:rPr>
          <w:color w:val="000000"/>
        </w:rPr>
      </w:pPr>
      <w:bookmarkStart w:id="56" w:name="_heading=h.g5hx1hbe83r8" w:colFirst="0" w:colLast="0"/>
      <w:bookmarkEnd w:id="56"/>
    </w:p>
    <w:p w14:paraId="7BBB06E0" w14:textId="16367701" w:rsidR="00C244A9" w:rsidRDefault="00EF3F4D">
      <w:pPr>
        <w:pStyle w:val="Heading2"/>
        <w:ind w:firstLine="10"/>
        <w:rPr>
          <w:color w:val="000000"/>
        </w:rPr>
      </w:pPr>
      <w:bookmarkStart w:id="57" w:name="_Toc220842114"/>
      <w:r>
        <w:rPr>
          <w:color w:val="000000"/>
        </w:rPr>
        <w:t>3.</w:t>
      </w:r>
      <w:r w:rsidR="00BA74BB">
        <w:rPr>
          <w:color w:val="000000"/>
        </w:rPr>
        <w:t>5</w:t>
      </w:r>
      <w:r>
        <w:rPr>
          <w:color w:val="000000"/>
        </w:rPr>
        <w:t xml:space="preserve"> Method of data collection</w:t>
      </w:r>
      <w:bookmarkEnd w:id="57"/>
    </w:p>
    <w:p w14:paraId="5103BF94" w14:textId="46E8AB10" w:rsidR="00C244A9" w:rsidRDefault="00EF3F4D" w:rsidP="006B6EF8">
      <w:pPr>
        <w:pStyle w:val="Heading3"/>
      </w:pPr>
      <w:bookmarkStart w:id="58" w:name="_heading=h.um87y13zirdz" w:colFirst="0" w:colLast="0"/>
      <w:bookmarkStart w:id="59" w:name="_Toc220842115"/>
      <w:bookmarkEnd w:id="58"/>
      <w:r>
        <w:t>3.</w:t>
      </w:r>
      <w:r w:rsidR="00BA74BB">
        <w:t>5</w:t>
      </w:r>
      <w:r>
        <w:t>.1 Search strategy</w:t>
      </w:r>
      <w:bookmarkEnd w:id="59"/>
    </w:p>
    <w:p w14:paraId="17D96284" w14:textId="77777777" w:rsidR="00C244A9" w:rsidRDefault="00EF3F4D">
      <w:pPr>
        <w:spacing w:line="360" w:lineRule="auto"/>
        <w:jc w:val="both"/>
        <w:rPr>
          <w:rFonts w:ascii="Arial" w:eastAsia="Arial" w:hAnsi="Arial" w:cs="Arial"/>
        </w:rPr>
      </w:pPr>
      <w:bookmarkStart w:id="60" w:name="_heading=h.ehe35laj5if" w:colFirst="0" w:colLast="0"/>
      <w:bookmarkEnd w:id="60"/>
      <w:r>
        <w:rPr>
          <w:rFonts w:ascii="Arial" w:eastAsia="Arial" w:hAnsi="Arial" w:cs="Arial"/>
        </w:rPr>
        <w:lastRenderedPageBreak/>
        <w:t xml:space="preserve">The corresponding data is systematically retrieved, and, in this instance, the systematic search strategy was used, relying on keywords that were established based on the subject of interest of the study. The most significant words were “Vibrio cholerae”, “Cholera”, “Molecular Epidemiology”, “Transmission Prevention”, “Disease Control”, and “Public Health Intervention”. The operators of Boolean operators, such as AND OR, have been used in narrowing down the search results and eventually reduced to the works. Literature synthesis in of the field of molecular epidemiology is more detailed and complete since search methods are well-defined, and systematic search methods could be adopted (Jiang </w:t>
      </w:r>
      <w:r>
        <w:rPr>
          <w:rFonts w:ascii="Arial" w:eastAsia="Arial" w:hAnsi="Arial" w:cs="Arial"/>
          <w:i/>
          <w:iCs/>
        </w:rPr>
        <w:t>et al.</w:t>
      </w:r>
      <w:r>
        <w:rPr>
          <w:rFonts w:ascii="Arial" w:eastAsia="Arial" w:hAnsi="Arial" w:cs="Arial"/>
        </w:rPr>
        <w:t xml:space="preserve"> 2025). The identified keyword searches were used to locate the studies that contain the application of molecular data in the context of public health interventions to enable the review to reach the evidence-based results of cholera prevention. This strategy ensured uniformity and relevance of the data from the systematic review.</w:t>
      </w:r>
    </w:p>
    <w:p w14:paraId="09A51BF4" w14:textId="396D300F" w:rsidR="00C244A9" w:rsidRDefault="00EF3F4D">
      <w:pPr>
        <w:spacing w:line="360" w:lineRule="auto"/>
        <w:jc w:val="both"/>
        <w:rPr>
          <w:rFonts w:ascii="Arial" w:eastAsia="Arial" w:hAnsi="Arial" w:cs="Arial"/>
          <w:b/>
          <w:bCs/>
          <w:color w:val="FF0000"/>
          <w:u w:val="single"/>
        </w:rPr>
      </w:pPr>
      <w:bookmarkStart w:id="61" w:name="_heading=h.utco1lxpn484" w:colFirst="0" w:colLast="0"/>
      <w:bookmarkEnd w:id="61"/>
      <w:r>
        <w:rPr>
          <w:rFonts w:ascii="Arial" w:eastAsia="Arial" w:hAnsi="Arial" w:cs="Arial"/>
          <w:b/>
          <w:bCs/>
          <w:u w:val="single"/>
        </w:rPr>
        <w:t>3.</w:t>
      </w:r>
      <w:r w:rsidR="00BA74BB">
        <w:rPr>
          <w:rFonts w:ascii="Arial" w:eastAsia="Arial" w:hAnsi="Arial" w:cs="Arial"/>
          <w:b/>
          <w:bCs/>
          <w:u w:val="single"/>
        </w:rPr>
        <w:t>5</w:t>
      </w:r>
      <w:r>
        <w:rPr>
          <w:rFonts w:ascii="Arial" w:eastAsia="Arial" w:hAnsi="Arial" w:cs="Arial"/>
          <w:b/>
          <w:bCs/>
          <w:u w:val="single"/>
        </w:rPr>
        <w:t>.2 Database search procedure</w:t>
      </w:r>
    </w:p>
    <w:p w14:paraId="1E2E0362" w14:textId="77777777" w:rsidR="00C244A9" w:rsidRDefault="00EF3F4D">
      <w:pPr>
        <w:spacing w:line="360" w:lineRule="auto"/>
        <w:jc w:val="both"/>
        <w:rPr>
          <w:rFonts w:ascii="Arial" w:eastAsia="Arial" w:hAnsi="Arial" w:cs="Arial"/>
        </w:rPr>
      </w:pPr>
      <w:r>
        <w:rPr>
          <w:rFonts w:ascii="Arial" w:eastAsia="Arial" w:hAnsi="Arial" w:cs="Arial"/>
        </w:rPr>
        <w:t>The articles are topical and developed methodologically in the field of molecular epidemiology; we chose to find articles published between 2020 and 2025. Firstly, the filters were titles and abstracts that were utilised to decide on the relevance of the same to the topic of cholera transmission and measures that can be adopted to promote health among the population. Details of the full-text articles that had met the inclusion criteria were then read. The CASP tools were used to validate the studies and determine the rigor and the applicability of the found studies in the given review.</w:t>
      </w:r>
    </w:p>
    <w:p w14:paraId="664492BA" w14:textId="77777777" w:rsidR="00C244A9" w:rsidRDefault="00EF3F4D">
      <w:pPr>
        <w:spacing w:line="360" w:lineRule="auto"/>
        <w:jc w:val="both"/>
        <w:rPr>
          <w:rFonts w:ascii="Arial" w:eastAsia="Arial" w:hAnsi="Arial" w:cs="Arial"/>
        </w:rPr>
      </w:pPr>
      <w:r>
        <w:rPr>
          <w:rFonts w:ascii="Arial" w:eastAsia="Arial" w:hAnsi="Arial" w:cs="Arial"/>
        </w:rPr>
        <w:t xml:space="preserve">The data collection technique has been used in this research as a secondary data collection that is suitable for a systematic review design. An economical, practical, and successful way to use current data to address new research problems is through secondary data analysis. (Kelly </w:t>
      </w:r>
      <w:r>
        <w:rPr>
          <w:rFonts w:ascii="Arial" w:eastAsia="Arial" w:hAnsi="Arial" w:cs="Arial"/>
          <w:i/>
          <w:iCs/>
        </w:rPr>
        <w:t>et al.</w:t>
      </w:r>
      <w:r>
        <w:rPr>
          <w:rFonts w:ascii="Arial" w:eastAsia="Arial" w:hAnsi="Arial" w:cs="Arial"/>
        </w:rPr>
        <w:t xml:space="preserve"> 2024). The approach allows collecting peer-reviewed evidence exhaustively on the role of the molecular epidemiology instruments in substantiating the interventions of public health to contain the indirect spread of cholera. </w:t>
      </w:r>
    </w:p>
    <w:p w14:paraId="6FBDD863" w14:textId="77777777" w:rsidR="00C244A9" w:rsidRDefault="00EF3F4D">
      <w:pPr>
        <w:spacing w:line="360" w:lineRule="auto"/>
        <w:jc w:val="both"/>
        <w:rPr>
          <w:rFonts w:ascii="Arial" w:eastAsia="Arial" w:hAnsi="Arial" w:cs="Arial"/>
        </w:rPr>
      </w:pPr>
      <w:r>
        <w:rPr>
          <w:rFonts w:ascii="Arial" w:eastAsia="Arial" w:hAnsi="Arial" w:cs="Arial"/>
        </w:rPr>
        <w:t xml:space="preserve">The role of public health interventions in the prevention of the cholera has been derived following the aspect of Hand search. The manual search under the search processes involves searching through all texts of social care journals and compiling data according to objectives. Moreover, the hand research has been performed based on the target source, cholera impact and prevention. </w:t>
      </w:r>
    </w:p>
    <w:p w14:paraId="6123409A" w14:textId="77777777" w:rsidR="00C244A9" w:rsidRDefault="00EF3F4D">
      <w:pPr>
        <w:spacing w:line="360" w:lineRule="auto"/>
        <w:jc w:val="both"/>
        <w:rPr>
          <w:rFonts w:ascii="Arial" w:eastAsia="Arial" w:hAnsi="Arial" w:cs="Arial"/>
        </w:rPr>
      </w:pPr>
      <w:r>
        <w:rPr>
          <w:rFonts w:ascii="Arial" w:eastAsia="Arial" w:hAnsi="Arial" w:cs="Arial"/>
        </w:rPr>
        <w:t xml:space="preserve">The grey literature aspect implies gathering of pertinent information in health sciences, social policy and engineering. Given the research topic, the journal articles were collected only in healthcare journals, health security and social policies. Moreover, the articles published </w:t>
      </w:r>
      <w:r>
        <w:rPr>
          <w:rFonts w:ascii="Arial" w:eastAsia="Arial" w:hAnsi="Arial" w:cs="Arial"/>
        </w:rPr>
        <w:lastRenderedPageBreak/>
        <w:t xml:space="preserve">commercially have only been sampled under the grey literature screening process. This study on the interventions that control Cholera in terms of the public health has resulted in unbiased research findings. </w:t>
      </w:r>
    </w:p>
    <w:p w14:paraId="207250DA" w14:textId="2EC2A116" w:rsidR="00C244A9" w:rsidRDefault="00EF3F4D">
      <w:pPr>
        <w:pStyle w:val="Heading2"/>
        <w:ind w:firstLine="10"/>
        <w:rPr>
          <w:color w:val="000000"/>
        </w:rPr>
      </w:pPr>
      <w:bookmarkStart w:id="62" w:name="_heading=h.f6901j4yqog3" w:colFirst="0" w:colLast="0"/>
      <w:bookmarkStart w:id="63" w:name="_Toc220842116"/>
      <w:bookmarkEnd w:id="62"/>
      <w:r>
        <w:rPr>
          <w:color w:val="000000"/>
        </w:rPr>
        <w:t>3.</w:t>
      </w:r>
      <w:r w:rsidR="00BA74BB">
        <w:rPr>
          <w:color w:val="000000"/>
        </w:rPr>
        <w:t>6</w:t>
      </w:r>
      <w:r>
        <w:rPr>
          <w:color w:val="000000"/>
        </w:rPr>
        <w:t xml:space="preserve"> Inclusion and Exclusion Criteria</w:t>
      </w:r>
      <w:bookmarkEnd w:id="63"/>
    </w:p>
    <w:tbl>
      <w:tblPr>
        <w:tblStyle w:val="a3"/>
        <w:tblW w:w="6697" w:type="dxa"/>
        <w:jc w:val="center"/>
        <w:tblBorders>
          <w:insideH w:val="nil"/>
          <w:insideV w:val="nil"/>
        </w:tblBorders>
        <w:tblLayout w:type="fixed"/>
        <w:tblLook w:val="0600" w:firstRow="0" w:lastRow="0" w:firstColumn="0" w:lastColumn="0" w:noHBand="1" w:noVBand="1"/>
      </w:tblPr>
      <w:tblGrid>
        <w:gridCol w:w="3666"/>
        <w:gridCol w:w="3031"/>
      </w:tblGrid>
      <w:tr w:rsidR="00C244A9" w14:paraId="5C5AC76B" w14:textId="77777777">
        <w:trPr>
          <w:trHeight w:val="870"/>
          <w:jc w:val="center"/>
        </w:trPr>
        <w:tc>
          <w:tcPr>
            <w:tcW w:w="366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C948D2A" w14:textId="7BAA847B" w:rsidR="00C244A9" w:rsidRDefault="00EF3F4D" w:rsidP="00BA74BB">
            <w:pPr>
              <w:tabs>
                <w:tab w:val="right" w:pos="3466"/>
              </w:tabs>
              <w:spacing w:line="360" w:lineRule="auto"/>
              <w:jc w:val="both"/>
              <w:rPr>
                <w:rFonts w:ascii="Arial" w:eastAsia="Arial" w:hAnsi="Arial" w:cs="Arial"/>
                <w:b/>
                <w:bCs/>
              </w:rPr>
            </w:pPr>
            <w:bookmarkStart w:id="64" w:name="_heading=h.69jbc5fpzcs" w:colFirst="0" w:colLast="0"/>
            <w:bookmarkEnd w:id="64"/>
            <w:r>
              <w:rPr>
                <w:rFonts w:ascii="Arial" w:eastAsia="Arial" w:hAnsi="Arial" w:cs="Arial"/>
                <w:b/>
                <w:bCs/>
              </w:rPr>
              <w:t>Inclusion criteria</w:t>
            </w:r>
            <w:r w:rsidR="00BA74BB">
              <w:rPr>
                <w:rFonts w:ascii="Arial" w:eastAsia="Arial" w:hAnsi="Arial" w:cs="Arial"/>
                <w:b/>
                <w:bCs/>
              </w:rPr>
              <w:tab/>
            </w:r>
          </w:p>
        </w:tc>
        <w:tc>
          <w:tcPr>
            <w:tcW w:w="303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9F87985" w14:textId="77777777" w:rsidR="00C244A9" w:rsidRDefault="00EF3F4D">
            <w:pPr>
              <w:spacing w:line="360" w:lineRule="auto"/>
              <w:jc w:val="both"/>
              <w:rPr>
                <w:rFonts w:ascii="Arial" w:eastAsia="Arial" w:hAnsi="Arial" w:cs="Arial"/>
                <w:b/>
                <w:bCs/>
              </w:rPr>
            </w:pPr>
            <w:r>
              <w:rPr>
                <w:rFonts w:ascii="Arial" w:eastAsia="Arial" w:hAnsi="Arial" w:cs="Arial"/>
                <w:b/>
                <w:bCs/>
              </w:rPr>
              <w:t>Exclusion criteria</w:t>
            </w:r>
          </w:p>
        </w:tc>
      </w:tr>
      <w:tr w:rsidR="00C244A9" w14:paraId="1389192A" w14:textId="77777777">
        <w:trPr>
          <w:trHeight w:val="1155"/>
          <w:jc w:val="center"/>
        </w:trPr>
        <w:tc>
          <w:tcPr>
            <w:tcW w:w="3666" w:type="dxa"/>
            <w:tcBorders>
              <w:top w:val="nil"/>
              <w:left w:val="nil"/>
              <w:bottom w:val="single" w:sz="6" w:space="0" w:color="000000"/>
              <w:right w:val="single" w:sz="6" w:space="0" w:color="000000"/>
            </w:tcBorders>
            <w:tcMar>
              <w:top w:w="0" w:type="dxa"/>
              <w:left w:w="100" w:type="dxa"/>
              <w:bottom w:w="0" w:type="dxa"/>
              <w:right w:w="100" w:type="dxa"/>
            </w:tcMar>
          </w:tcPr>
          <w:p w14:paraId="21A1477D" w14:textId="77777777" w:rsidR="00C244A9" w:rsidRDefault="00EF3F4D">
            <w:pPr>
              <w:spacing w:line="360" w:lineRule="auto"/>
              <w:jc w:val="both"/>
              <w:rPr>
                <w:rFonts w:ascii="Arial" w:eastAsia="Arial" w:hAnsi="Arial" w:cs="Arial"/>
              </w:rPr>
            </w:pPr>
            <w:r>
              <w:rPr>
                <w:rFonts w:ascii="Arial" w:eastAsia="Arial" w:hAnsi="Arial" w:cs="Arial"/>
              </w:rPr>
              <w:t>Articles published in English</w:t>
            </w:r>
          </w:p>
        </w:tc>
        <w:tc>
          <w:tcPr>
            <w:tcW w:w="3031" w:type="dxa"/>
            <w:tcBorders>
              <w:top w:val="nil"/>
              <w:left w:val="nil"/>
              <w:bottom w:val="single" w:sz="6" w:space="0" w:color="000000"/>
              <w:right w:val="single" w:sz="6" w:space="0" w:color="000000"/>
            </w:tcBorders>
            <w:tcMar>
              <w:top w:w="0" w:type="dxa"/>
              <w:left w:w="100" w:type="dxa"/>
              <w:bottom w:w="0" w:type="dxa"/>
              <w:right w:w="100" w:type="dxa"/>
            </w:tcMar>
          </w:tcPr>
          <w:p w14:paraId="4340444D" w14:textId="77777777" w:rsidR="00C244A9" w:rsidRDefault="00EF3F4D">
            <w:pPr>
              <w:spacing w:line="360" w:lineRule="auto"/>
              <w:jc w:val="both"/>
              <w:rPr>
                <w:rFonts w:ascii="Arial" w:eastAsia="Arial" w:hAnsi="Arial" w:cs="Arial"/>
              </w:rPr>
            </w:pPr>
            <w:r>
              <w:rPr>
                <w:rFonts w:ascii="Arial" w:eastAsia="Arial" w:hAnsi="Arial" w:cs="Arial"/>
              </w:rPr>
              <w:t>Non-English publications</w:t>
            </w:r>
          </w:p>
        </w:tc>
      </w:tr>
      <w:tr w:rsidR="00C244A9" w14:paraId="6E42D64F" w14:textId="77777777">
        <w:trPr>
          <w:trHeight w:val="870"/>
          <w:jc w:val="center"/>
        </w:trPr>
        <w:tc>
          <w:tcPr>
            <w:tcW w:w="3666" w:type="dxa"/>
            <w:tcBorders>
              <w:top w:val="nil"/>
              <w:left w:val="nil"/>
              <w:bottom w:val="single" w:sz="6" w:space="0" w:color="000000"/>
              <w:right w:val="single" w:sz="6" w:space="0" w:color="000000"/>
            </w:tcBorders>
            <w:tcMar>
              <w:top w:w="0" w:type="dxa"/>
              <w:left w:w="100" w:type="dxa"/>
              <w:bottom w:w="0" w:type="dxa"/>
              <w:right w:w="100" w:type="dxa"/>
            </w:tcMar>
          </w:tcPr>
          <w:p w14:paraId="0D9715E9" w14:textId="77777777" w:rsidR="00C244A9" w:rsidRDefault="00EF3F4D">
            <w:pPr>
              <w:spacing w:line="360" w:lineRule="auto"/>
              <w:jc w:val="both"/>
              <w:rPr>
                <w:rFonts w:ascii="Arial" w:eastAsia="Arial" w:hAnsi="Arial" w:cs="Arial"/>
              </w:rPr>
            </w:pPr>
            <w:r>
              <w:rPr>
                <w:rFonts w:ascii="Arial" w:eastAsia="Arial" w:hAnsi="Arial" w:cs="Arial"/>
              </w:rPr>
              <w:t>Human populations affected by cholera outbreaks</w:t>
            </w:r>
          </w:p>
        </w:tc>
        <w:tc>
          <w:tcPr>
            <w:tcW w:w="3031" w:type="dxa"/>
            <w:tcBorders>
              <w:top w:val="nil"/>
              <w:left w:val="nil"/>
              <w:bottom w:val="single" w:sz="6" w:space="0" w:color="000000"/>
              <w:right w:val="single" w:sz="6" w:space="0" w:color="000000"/>
            </w:tcBorders>
            <w:tcMar>
              <w:top w:w="0" w:type="dxa"/>
              <w:left w:w="100" w:type="dxa"/>
              <w:bottom w:w="0" w:type="dxa"/>
              <w:right w:w="100" w:type="dxa"/>
            </w:tcMar>
          </w:tcPr>
          <w:p w14:paraId="78304137" w14:textId="77777777" w:rsidR="00C244A9" w:rsidRDefault="00EF3F4D">
            <w:pPr>
              <w:spacing w:line="360" w:lineRule="auto"/>
              <w:jc w:val="both"/>
              <w:rPr>
                <w:rFonts w:ascii="Arial" w:eastAsia="Arial" w:hAnsi="Arial" w:cs="Arial"/>
              </w:rPr>
            </w:pPr>
            <w:r>
              <w:rPr>
                <w:rFonts w:ascii="Arial" w:eastAsia="Arial" w:hAnsi="Arial" w:cs="Arial"/>
              </w:rPr>
              <w:t>Non-cholera or animal-only studies</w:t>
            </w:r>
          </w:p>
        </w:tc>
      </w:tr>
      <w:tr w:rsidR="00C244A9" w14:paraId="1AA491FE" w14:textId="77777777">
        <w:trPr>
          <w:trHeight w:val="870"/>
          <w:jc w:val="center"/>
        </w:trPr>
        <w:tc>
          <w:tcPr>
            <w:tcW w:w="3666" w:type="dxa"/>
            <w:tcBorders>
              <w:top w:val="nil"/>
              <w:left w:val="nil"/>
              <w:bottom w:val="single" w:sz="6" w:space="0" w:color="000000"/>
              <w:right w:val="single" w:sz="6" w:space="0" w:color="000000"/>
            </w:tcBorders>
            <w:tcMar>
              <w:top w:w="0" w:type="dxa"/>
              <w:left w:w="100" w:type="dxa"/>
              <w:bottom w:w="0" w:type="dxa"/>
              <w:right w:w="100" w:type="dxa"/>
            </w:tcMar>
          </w:tcPr>
          <w:p w14:paraId="1524944E" w14:textId="77777777" w:rsidR="00C244A9" w:rsidRDefault="00EF3F4D">
            <w:pPr>
              <w:spacing w:line="360" w:lineRule="auto"/>
              <w:jc w:val="both"/>
              <w:rPr>
                <w:rFonts w:ascii="Arial" w:eastAsia="Arial" w:hAnsi="Arial" w:cs="Arial"/>
              </w:rPr>
            </w:pPr>
            <w:r>
              <w:rPr>
                <w:rFonts w:ascii="Arial" w:eastAsia="Arial" w:hAnsi="Arial" w:cs="Arial"/>
              </w:rPr>
              <w:t>Peer-reviewed, full-text studies</w:t>
            </w:r>
          </w:p>
        </w:tc>
        <w:tc>
          <w:tcPr>
            <w:tcW w:w="3031" w:type="dxa"/>
            <w:tcBorders>
              <w:top w:val="nil"/>
              <w:left w:val="nil"/>
              <w:bottom w:val="single" w:sz="6" w:space="0" w:color="000000"/>
              <w:right w:val="single" w:sz="6" w:space="0" w:color="000000"/>
            </w:tcBorders>
            <w:tcMar>
              <w:top w:w="0" w:type="dxa"/>
              <w:left w:w="100" w:type="dxa"/>
              <w:bottom w:w="0" w:type="dxa"/>
              <w:right w:w="100" w:type="dxa"/>
            </w:tcMar>
          </w:tcPr>
          <w:p w14:paraId="375A34B3" w14:textId="77777777" w:rsidR="00C244A9" w:rsidRDefault="00EF3F4D">
            <w:pPr>
              <w:spacing w:line="360" w:lineRule="auto"/>
              <w:jc w:val="both"/>
              <w:rPr>
                <w:rFonts w:ascii="Arial" w:eastAsia="Arial" w:hAnsi="Arial" w:cs="Arial"/>
              </w:rPr>
            </w:pPr>
            <w:r>
              <w:rPr>
                <w:rFonts w:ascii="Arial" w:eastAsia="Arial" w:hAnsi="Arial" w:cs="Arial"/>
              </w:rPr>
              <w:t>Abstracts, editorials, grey literature</w:t>
            </w:r>
          </w:p>
        </w:tc>
      </w:tr>
      <w:tr w:rsidR="00C244A9" w14:paraId="6D0432FA" w14:textId="77777777">
        <w:trPr>
          <w:trHeight w:val="585"/>
          <w:jc w:val="center"/>
        </w:trPr>
        <w:tc>
          <w:tcPr>
            <w:tcW w:w="3666" w:type="dxa"/>
            <w:tcBorders>
              <w:top w:val="nil"/>
              <w:left w:val="nil"/>
              <w:bottom w:val="single" w:sz="6" w:space="0" w:color="000000"/>
              <w:right w:val="single" w:sz="6" w:space="0" w:color="000000"/>
            </w:tcBorders>
            <w:tcMar>
              <w:top w:w="0" w:type="dxa"/>
              <w:left w:w="100" w:type="dxa"/>
              <w:bottom w:w="0" w:type="dxa"/>
              <w:right w:w="100" w:type="dxa"/>
            </w:tcMar>
          </w:tcPr>
          <w:p w14:paraId="36818462" w14:textId="77777777" w:rsidR="00C244A9" w:rsidRDefault="00EF3F4D">
            <w:pPr>
              <w:spacing w:line="360" w:lineRule="auto"/>
              <w:jc w:val="both"/>
              <w:rPr>
                <w:rFonts w:ascii="Arial" w:eastAsia="Arial" w:hAnsi="Arial" w:cs="Arial"/>
              </w:rPr>
            </w:pPr>
            <w:r>
              <w:rPr>
                <w:rFonts w:ascii="Arial" w:eastAsia="Arial" w:hAnsi="Arial" w:cs="Arial"/>
              </w:rPr>
              <w:t>Use of molecular epidemiology tools</w:t>
            </w:r>
          </w:p>
        </w:tc>
        <w:tc>
          <w:tcPr>
            <w:tcW w:w="3031" w:type="dxa"/>
            <w:tcBorders>
              <w:top w:val="nil"/>
              <w:left w:val="nil"/>
              <w:bottom w:val="single" w:sz="6" w:space="0" w:color="000000"/>
              <w:right w:val="single" w:sz="6" w:space="0" w:color="000000"/>
            </w:tcBorders>
            <w:tcMar>
              <w:top w:w="0" w:type="dxa"/>
              <w:left w:w="100" w:type="dxa"/>
              <w:bottom w:w="0" w:type="dxa"/>
              <w:right w:w="100" w:type="dxa"/>
            </w:tcMar>
          </w:tcPr>
          <w:p w14:paraId="21C0658A" w14:textId="77777777" w:rsidR="00C244A9" w:rsidRDefault="00EF3F4D">
            <w:pPr>
              <w:spacing w:line="360" w:lineRule="auto"/>
              <w:jc w:val="both"/>
              <w:rPr>
                <w:rFonts w:ascii="Arial" w:eastAsia="Arial" w:hAnsi="Arial" w:cs="Arial"/>
              </w:rPr>
            </w:pPr>
            <w:r>
              <w:rPr>
                <w:rFonts w:ascii="Arial" w:eastAsia="Arial" w:hAnsi="Arial" w:cs="Arial"/>
              </w:rPr>
              <w:t>No molecular or genomic analysis</w:t>
            </w:r>
          </w:p>
        </w:tc>
      </w:tr>
      <w:tr w:rsidR="00C244A9" w14:paraId="5D2C8FFB" w14:textId="77777777">
        <w:trPr>
          <w:trHeight w:val="870"/>
          <w:jc w:val="center"/>
        </w:trPr>
        <w:tc>
          <w:tcPr>
            <w:tcW w:w="3666" w:type="dxa"/>
            <w:tcBorders>
              <w:top w:val="nil"/>
              <w:left w:val="nil"/>
              <w:bottom w:val="single" w:sz="6" w:space="0" w:color="000000"/>
              <w:right w:val="single" w:sz="6" w:space="0" w:color="000000"/>
            </w:tcBorders>
            <w:tcMar>
              <w:top w:w="0" w:type="dxa"/>
              <w:left w:w="100" w:type="dxa"/>
              <w:bottom w:w="0" w:type="dxa"/>
              <w:right w:w="100" w:type="dxa"/>
            </w:tcMar>
          </w:tcPr>
          <w:p w14:paraId="55248479" w14:textId="77777777" w:rsidR="00C244A9" w:rsidRDefault="00EF3F4D">
            <w:pPr>
              <w:spacing w:line="360" w:lineRule="auto"/>
              <w:jc w:val="both"/>
              <w:rPr>
                <w:rFonts w:ascii="Arial" w:eastAsia="Arial" w:hAnsi="Arial" w:cs="Arial"/>
              </w:rPr>
            </w:pPr>
            <w:r>
              <w:rPr>
                <w:rFonts w:ascii="Arial" w:eastAsia="Arial" w:hAnsi="Arial" w:cs="Arial"/>
              </w:rPr>
              <w:t>Comparison with conventional epidemiology methods</w:t>
            </w:r>
          </w:p>
        </w:tc>
        <w:tc>
          <w:tcPr>
            <w:tcW w:w="3031" w:type="dxa"/>
            <w:tcBorders>
              <w:top w:val="nil"/>
              <w:left w:val="nil"/>
              <w:bottom w:val="single" w:sz="6" w:space="0" w:color="000000"/>
              <w:right w:val="single" w:sz="6" w:space="0" w:color="000000"/>
            </w:tcBorders>
            <w:tcMar>
              <w:top w:w="0" w:type="dxa"/>
              <w:left w:w="100" w:type="dxa"/>
              <w:bottom w:w="0" w:type="dxa"/>
              <w:right w:w="100" w:type="dxa"/>
            </w:tcMar>
          </w:tcPr>
          <w:p w14:paraId="74FB0646" w14:textId="77777777" w:rsidR="00C244A9" w:rsidRDefault="00EF3F4D">
            <w:pPr>
              <w:spacing w:line="360" w:lineRule="auto"/>
              <w:jc w:val="both"/>
              <w:rPr>
                <w:rFonts w:ascii="Arial" w:eastAsia="Arial" w:hAnsi="Arial" w:cs="Arial"/>
              </w:rPr>
            </w:pPr>
            <w:r>
              <w:rPr>
                <w:rFonts w:ascii="Arial" w:eastAsia="Arial" w:hAnsi="Arial" w:cs="Arial"/>
              </w:rPr>
              <w:t>No comparison or unclear methodology</w:t>
            </w:r>
          </w:p>
        </w:tc>
      </w:tr>
      <w:tr w:rsidR="00C244A9" w14:paraId="38365EBA" w14:textId="77777777">
        <w:trPr>
          <w:trHeight w:val="870"/>
          <w:jc w:val="center"/>
        </w:trPr>
        <w:tc>
          <w:tcPr>
            <w:tcW w:w="3666" w:type="dxa"/>
            <w:tcBorders>
              <w:top w:val="nil"/>
              <w:left w:val="nil"/>
              <w:bottom w:val="single" w:sz="6" w:space="0" w:color="000000"/>
              <w:right w:val="single" w:sz="6" w:space="0" w:color="000000"/>
            </w:tcBorders>
            <w:tcMar>
              <w:top w:w="0" w:type="dxa"/>
              <w:left w:w="100" w:type="dxa"/>
              <w:bottom w:w="0" w:type="dxa"/>
              <w:right w:w="100" w:type="dxa"/>
            </w:tcMar>
          </w:tcPr>
          <w:p w14:paraId="119C8766" w14:textId="77777777" w:rsidR="00C244A9" w:rsidRDefault="00EF3F4D">
            <w:pPr>
              <w:spacing w:line="360" w:lineRule="auto"/>
              <w:jc w:val="both"/>
              <w:rPr>
                <w:rFonts w:ascii="Arial" w:eastAsia="Arial" w:hAnsi="Arial" w:cs="Arial"/>
              </w:rPr>
            </w:pPr>
            <w:r>
              <w:rPr>
                <w:rFonts w:ascii="Arial" w:eastAsia="Arial" w:hAnsi="Arial" w:cs="Arial"/>
              </w:rPr>
              <w:t>Community, environmental, and public health settings</w:t>
            </w:r>
          </w:p>
        </w:tc>
        <w:tc>
          <w:tcPr>
            <w:tcW w:w="3031" w:type="dxa"/>
            <w:tcBorders>
              <w:top w:val="nil"/>
              <w:left w:val="nil"/>
              <w:bottom w:val="single" w:sz="6" w:space="0" w:color="000000"/>
              <w:right w:val="single" w:sz="6" w:space="0" w:color="000000"/>
            </w:tcBorders>
            <w:tcMar>
              <w:top w:w="0" w:type="dxa"/>
              <w:left w:w="100" w:type="dxa"/>
              <w:bottom w:w="0" w:type="dxa"/>
              <w:right w:w="100" w:type="dxa"/>
            </w:tcMar>
          </w:tcPr>
          <w:p w14:paraId="3D030728" w14:textId="77777777" w:rsidR="00C244A9" w:rsidRDefault="00EF3F4D">
            <w:pPr>
              <w:spacing w:line="360" w:lineRule="auto"/>
              <w:jc w:val="both"/>
              <w:rPr>
                <w:rFonts w:ascii="Arial" w:eastAsia="Arial" w:hAnsi="Arial" w:cs="Arial"/>
              </w:rPr>
            </w:pPr>
            <w:r>
              <w:rPr>
                <w:rFonts w:ascii="Arial" w:eastAsia="Arial" w:hAnsi="Arial" w:cs="Arial"/>
              </w:rPr>
              <w:t>Laboratory-only or unrelated settings</w:t>
            </w:r>
          </w:p>
        </w:tc>
      </w:tr>
      <w:tr w:rsidR="00C244A9" w14:paraId="7BB0F7E1" w14:textId="77777777">
        <w:trPr>
          <w:trHeight w:val="870"/>
          <w:jc w:val="center"/>
        </w:trPr>
        <w:tc>
          <w:tcPr>
            <w:tcW w:w="3666" w:type="dxa"/>
            <w:tcBorders>
              <w:top w:val="nil"/>
              <w:left w:val="nil"/>
              <w:bottom w:val="single" w:sz="6" w:space="0" w:color="000000"/>
              <w:right w:val="single" w:sz="6" w:space="0" w:color="000000"/>
            </w:tcBorders>
            <w:tcMar>
              <w:top w:w="0" w:type="dxa"/>
              <w:left w:w="100" w:type="dxa"/>
              <w:bottom w:w="0" w:type="dxa"/>
              <w:right w:w="100" w:type="dxa"/>
            </w:tcMar>
          </w:tcPr>
          <w:p w14:paraId="18DCCD34" w14:textId="77777777" w:rsidR="00C244A9" w:rsidRDefault="00EF3F4D">
            <w:pPr>
              <w:spacing w:line="360" w:lineRule="auto"/>
              <w:jc w:val="both"/>
              <w:rPr>
                <w:rFonts w:ascii="Arial" w:eastAsia="Arial" w:hAnsi="Arial" w:cs="Arial"/>
              </w:rPr>
            </w:pPr>
            <w:r>
              <w:rPr>
                <w:rFonts w:ascii="Arial" w:eastAsia="Arial" w:hAnsi="Arial" w:cs="Arial"/>
              </w:rPr>
              <w:t>Studies published between 2020–2025</w:t>
            </w:r>
          </w:p>
        </w:tc>
        <w:tc>
          <w:tcPr>
            <w:tcW w:w="3031" w:type="dxa"/>
            <w:tcBorders>
              <w:top w:val="nil"/>
              <w:left w:val="nil"/>
              <w:bottom w:val="single" w:sz="6" w:space="0" w:color="000000"/>
              <w:right w:val="single" w:sz="6" w:space="0" w:color="000000"/>
            </w:tcBorders>
            <w:tcMar>
              <w:top w:w="0" w:type="dxa"/>
              <w:left w:w="100" w:type="dxa"/>
              <w:bottom w:w="0" w:type="dxa"/>
              <w:right w:w="100" w:type="dxa"/>
            </w:tcMar>
          </w:tcPr>
          <w:p w14:paraId="69B9103E" w14:textId="77777777" w:rsidR="00C244A9" w:rsidRDefault="00EF3F4D">
            <w:pPr>
              <w:spacing w:line="360" w:lineRule="auto"/>
              <w:jc w:val="both"/>
              <w:rPr>
                <w:rFonts w:ascii="Arial" w:eastAsia="Arial" w:hAnsi="Arial" w:cs="Arial"/>
              </w:rPr>
            </w:pPr>
            <w:r>
              <w:rPr>
                <w:rFonts w:ascii="Arial" w:eastAsia="Arial" w:hAnsi="Arial" w:cs="Arial"/>
              </w:rPr>
              <w:t>Studies published before 2020</w:t>
            </w:r>
          </w:p>
        </w:tc>
      </w:tr>
    </w:tbl>
    <w:p w14:paraId="4F227F61" w14:textId="77777777" w:rsidR="00C244A9" w:rsidRDefault="00C244A9">
      <w:pPr>
        <w:pStyle w:val="Heading2"/>
        <w:ind w:left="0"/>
        <w:rPr>
          <w:color w:val="000000"/>
        </w:rPr>
      </w:pPr>
      <w:bookmarkStart w:id="65" w:name="_heading=h.7qr6aw566pas" w:colFirst="0" w:colLast="0"/>
      <w:bookmarkEnd w:id="65"/>
    </w:p>
    <w:p w14:paraId="797D83D4" w14:textId="098FCF84" w:rsidR="00C244A9" w:rsidRDefault="00EF3F4D">
      <w:pPr>
        <w:pStyle w:val="Heading2"/>
        <w:ind w:left="0"/>
        <w:rPr>
          <w:color w:val="000000"/>
        </w:rPr>
      </w:pPr>
      <w:bookmarkStart w:id="66" w:name="_Toc220842117"/>
      <w:r>
        <w:rPr>
          <w:color w:val="000000"/>
        </w:rPr>
        <w:t>3.</w:t>
      </w:r>
      <w:r w:rsidR="00BA74BB">
        <w:rPr>
          <w:color w:val="000000"/>
        </w:rPr>
        <w:t>7</w:t>
      </w:r>
      <w:r>
        <w:rPr>
          <w:color w:val="000000"/>
        </w:rPr>
        <w:t xml:space="preserve"> Data characteristics /extraction</w:t>
      </w:r>
      <w:bookmarkEnd w:id="66"/>
      <w:r>
        <w:rPr>
          <w:color w:val="000000"/>
        </w:rPr>
        <w:t xml:space="preserve"> </w:t>
      </w:r>
    </w:p>
    <w:p w14:paraId="5F3742D1" w14:textId="77777777" w:rsidR="00C244A9" w:rsidRDefault="00EF3F4D">
      <w:pPr>
        <w:spacing w:line="360" w:lineRule="auto"/>
        <w:jc w:val="both"/>
        <w:rPr>
          <w:rFonts w:ascii="Arial" w:eastAsia="Arial" w:hAnsi="Arial" w:cs="Arial"/>
        </w:rPr>
      </w:pPr>
      <w:r>
        <w:rPr>
          <w:rFonts w:ascii="Arial" w:eastAsia="Arial" w:hAnsi="Arial" w:cs="Arial"/>
        </w:rPr>
        <w:t xml:space="preserve">The systematic finding of document, and arrange pertinent material from included research, data extraction is a methodical process used for reviewing systematic and qualitative evidence synthesis. Data extraction improves transparency, reproducibility, and comparability across trials while lowering selective reporting bias thanks to PRISMA and the approved principles. The process of data analysis is necessary to organize the procedure of extracting the evidence in the chosen studies. Thematic analysis is used to determine the repetitive patterns regarding the </w:t>
      </w:r>
      <w:r>
        <w:rPr>
          <w:rFonts w:ascii="Arial" w:eastAsia="Arial" w:hAnsi="Arial" w:cs="Arial"/>
        </w:rPr>
        <w:lastRenderedPageBreak/>
        <w:t xml:space="preserve">evidence on molecular epidemiology instruments for cholera prevention and control interventions. The concept of thematic analysis is an adequate instrument to incorporate the molecular epidemiology evidence into the context of evaluations and drawing sound conclusions associated with public health (Zhong </w:t>
      </w:r>
      <w:r>
        <w:rPr>
          <w:rFonts w:ascii="Arial" w:eastAsia="Arial" w:hAnsi="Arial" w:cs="Arial"/>
          <w:i/>
          <w:iCs/>
        </w:rPr>
        <w:t>et al.</w:t>
      </w:r>
      <w:r>
        <w:rPr>
          <w:rFonts w:ascii="Arial" w:eastAsia="Arial" w:hAnsi="Arial" w:cs="Arial"/>
        </w:rPr>
        <w:t xml:space="preserve"> 2021). The thematic analysis approach enhances the integration of evidence and justifies the examination and application of relevant literature on molecular epidemiology in the prevention of cholera. Further analysis reveals that the retrieved variables include author, year, study location, research designs, and data gathering techniques. As a result, both the barriers and the facilitators can affect the results of chapter 4's efforts to mitigate adverse effect of cholera.</w:t>
      </w:r>
    </w:p>
    <w:p w14:paraId="660B2DDB" w14:textId="77777777" w:rsidR="00C244A9" w:rsidRDefault="00C244A9">
      <w:pPr>
        <w:pStyle w:val="Heading2"/>
        <w:ind w:firstLine="10"/>
        <w:rPr>
          <w:color w:val="000000"/>
        </w:rPr>
      </w:pPr>
      <w:bookmarkStart w:id="67" w:name="_heading=h.572cffjntjlz" w:colFirst="0" w:colLast="0"/>
      <w:bookmarkEnd w:id="67"/>
    </w:p>
    <w:p w14:paraId="55EB13E8" w14:textId="073FD804" w:rsidR="00C244A9" w:rsidRDefault="00EF3F4D">
      <w:pPr>
        <w:pStyle w:val="Heading2"/>
        <w:ind w:firstLine="10"/>
        <w:rPr>
          <w:color w:val="000000"/>
        </w:rPr>
      </w:pPr>
      <w:bookmarkStart w:id="68" w:name="_Toc220842118"/>
      <w:r>
        <w:rPr>
          <w:color w:val="000000"/>
        </w:rPr>
        <w:t>3.</w:t>
      </w:r>
      <w:r w:rsidR="00BA74BB">
        <w:rPr>
          <w:color w:val="000000"/>
        </w:rPr>
        <w:t>8</w:t>
      </w:r>
      <w:r>
        <w:rPr>
          <w:color w:val="000000"/>
        </w:rPr>
        <w:t xml:space="preserve"> Quality Assessment</w:t>
      </w:r>
      <w:bookmarkEnd w:id="68"/>
      <w:r>
        <w:rPr>
          <w:color w:val="000000"/>
        </w:rPr>
        <w:t xml:space="preserve"> </w:t>
      </w:r>
    </w:p>
    <w:p w14:paraId="366793F5" w14:textId="77777777" w:rsidR="00C244A9" w:rsidRDefault="00EF3F4D">
      <w:pPr>
        <w:spacing w:line="360" w:lineRule="auto"/>
        <w:jc w:val="both"/>
        <w:rPr>
          <w:rFonts w:ascii="Arial" w:eastAsia="Arial" w:hAnsi="Arial" w:cs="Arial"/>
          <w:color w:val="000000"/>
        </w:rPr>
      </w:pPr>
      <w:r>
        <w:rPr>
          <w:rFonts w:ascii="Arial" w:eastAsia="Arial" w:hAnsi="Arial" w:cs="Arial"/>
          <w:color w:val="000000"/>
        </w:rPr>
        <w:t xml:space="preserve">The most widely used tool of quality appraisal in qualitative evidence syntheses that are related to health is the Critical Appraisal Skills Programme (CASP) tool </w:t>
      </w:r>
      <w:r>
        <w:rPr>
          <w:rFonts w:ascii="Arial" w:eastAsia="Arial" w:hAnsi="Arial" w:cs="Arial"/>
          <w:i/>
          <w:iCs/>
          <w:color w:val="000000"/>
        </w:rPr>
        <w:t>CASP table (referred to the Appendix 1)</w:t>
      </w:r>
      <w:r>
        <w:rPr>
          <w:rFonts w:ascii="Arial" w:eastAsia="Arial" w:hAnsi="Arial" w:cs="Arial"/>
          <w:color w:val="000000"/>
        </w:rPr>
        <w:t xml:space="preserve">. Additionally, this tools focus on the service of a specific discipline or group, such as the Quality Assessment Tool for Studies With Diverse Designs (QATSDD) of a clinical study (Xin Tang </w:t>
      </w:r>
      <w:r>
        <w:rPr>
          <w:rFonts w:ascii="Arial" w:eastAsia="Arial" w:hAnsi="Arial" w:cs="Arial"/>
          <w:i/>
          <w:iCs/>
          <w:color w:val="000000"/>
        </w:rPr>
        <w:t>et al.</w:t>
      </w:r>
      <w:r>
        <w:rPr>
          <w:rFonts w:ascii="Arial" w:eastAsia="Arial" w:hAnsi="Arial" w:cs="Arial"/>
          <w:color w:val="000000"/>
        </w:rPr>
        <w:t xml:space="preserve"> 2025). The findings were systematically and transparently selected using the CASP table in order to find high-quality studies. Moreover, the specified parameters helped to critically evaluate methodological rigour, validity and relevance. Therefore, exposure measurement assessment, confounding control, outcomes, and statistical analysis enhanced the reliability of evidence synthesis.</w:t>
      </w:r>
    </w:p>
    <w:p w14:paraId="3EA3EE54" w14:textId="77777777" w:rsidR="00C244A9" w:rsidRDefault="00C244A9">
      <w:pPr>
        <w:pStyle w:val="Heading2"/>
        <w:ind w:left="0"/>
        <w:rPr>
          <w:color w:val="000000"/>
        </w:rPr>
      </w:pPr>
      <w:bookmarkStart w:id="69" w:name="_heading=h.rijenav9v17g" w:colFirst="0" w:colLast="0"/>
      <w:bookmarkEnd w:id="69"/>
    </w:p>
    <w:p w14:paraId="31FADB91" w14:textId="03F31F79" w:rsidR="00C244A9" w:rsidRDefault="00EF3F4D">
      <w:pPr>
        <w:pStyle w:val="Heading2"/>
        <w:ind w:left="0"/>
        <w:rPr>
          <w:color w:val="000000"/>
        </w:rPr>
      </w:pPr>
      <w:bookmarkStart w:id="70" w:name="_Toc220842119"/>
      <w:r>
        <w:rPr>
          <w:color w:val="000000"/>
        </w:rPr>
        <w:t>3.</w:t>
      </w:r>
      <w:r w:rsidR="00BA74BB">
        <w:rPr>
          <w:color w:val="000000"/>
        </w:rPr>
        <w:t>9</w:t>
      </w:r>
      <w:r>
        <w:rPr>
          <w:color w:val="000000"/>
        </w:rPr>
        <w:t xml:space="preserve"> Techniques for data-analysis</w:t>
      </w:r>
      <w:bookmarkEnd w:id="70"/>
      <w:r>
        <w:rPr>
          <w:color w:val="000000"/>
        </w:rPr>
        <w:t xml:space="preserve"> </w:t>
      </w:r>
    </w:p>
    <w:p w14:paraId="7FC6155A" w14:textId="77777777" w:rsidR="00C244A9" w:rsidRDefault="00EF3F4D">
      <w:pPr>
        <w:spacing w:line="360" w:lineRule="auto"/>
        <w:rPr>
          <w:rFonts w:ascii="Arial" w:eastAsia="Arial" w:hAnsi="Arial" w:cs="Arial"/>
        </w:rPr>
      </w:pPr>
      <w:r>
        <w:rPr>
          <w:rFonts w:ascii="Arial" w:eastAsia="Arial" w:hAnsi="Arial" w:cs="Arial"/>
        </w:rPr>
        <w:t>The process of data analysis is necessary to organize the procedure of extracting the evidence in the chosen studies. Thematic analysis is used to determine the repetitive patterns regarding the evidence on molecular epidemiology instruments for cholera prevention and control interventions. The concept of thematic analysis is an adequate instrument to incorporate the molecular epidemiology evidence into the context of evaluations and drawing sound conclusions associated with public health interventions  (Zhong et al. 2021). The thematic analysis approach enhances the integration of evidence and justifies the examination and application of relevant literature on molecular epidemiology in the prevention of cholera.</w:t>
      </w:r>
    </w:p>
    <w:p w14:paraId="6D2E0911" w14:textId="77777777" w:rsidR="00C244A9" w:rsidRDefault="00C244A9">
      <w:pPr>
        <w:pStyle w:val="Heading2"/>
        <w:ind w:firstLine="10"/>
        <w:rPr>
          <w:color w:val="000000"/>
        </w:rPr>
      </w:pPr>
      <w:bookmarkStart w:id="71" w:name="_heading=h.hk7bc7tfh828" w:colFirst="0" w:colLast="0"/>
      <w:bookmarkEnd w:id="71"/>
    </w:p>
    <w:p w14:paraId="1A1EB642" w14:textId="3F4847EE" w:rsidR="00C244A9" w:rsidRDefault="00EF3F4D">
      <w:pPr>
        <w:pStyle w:val="Heading2"/>
        <w:ind w:firstLine="10"/>
        <w:rPr>
          <w:color w:val="000000"/>
        </w:rPr>
      </w:pPr>
      <w:bookmarkStart w:id="72" w:name="_Toc220842120"/>
      <w:r>
        <w:rPr>
          <w:color w:val="000000"/>
        </w:rPr>
        <w:t>3.1</w:t>
      </w:r>
      <w:r w:rsidR="00BA74BB">
        <w:rPr>
          <w:color w:val="000000"/>
        </w:rPr>
        <w:t>0</w:t>
      </w:r>
      <w:r>
        <w:rPr>
          <w:color w:val="000000"/>
        </w:rPr>
        <w:t xml:space="preserve"> Ethical considerations</w:t>
      </w:r>
      <w:bookmarkEnd w:id="72"/>
      <w:r>
        <w:rPr>
          <w:color w:val="000000"/>
        </w:rPr>
        <w:t xml:space="preserve"> </w:t>
      </w:r>
    </w:p>
    <w:p w14:paraId="2742B6CE" w14:textId="77777777" w:rsidR="00C244A9" w:rsidRDefault="00EF3F4D">
      <w:pPr>
        <w:spacing w:line="360" w:lineRule="auto"/>
        <w:jc w:val="both"/>
        <w:rPr>
          <w:rFonts w:ascii="Arial" w:eastAsia="Arial" w:hAnsi="Arial" w:cs="Arial"/>
        </w:rPr>
      </w:pPr>
      <w:r>
        <w:rPr>
          <w:rFonts w:ascii="Arial" w:eastAsia="Arial" w:hAnsi="Arial" w:cs="Arial"/>
        </w:rPr>
        <w:t xml:space="preserve">The ethical issues were addressed independently using the secondary and peer-reviewed literature, and therefore, no participant was sought. It was also found to report ethically, as systematic reviews should do so, participant (Zhong </w:t>
      </w:r>
      <w:r>
        <w:rPr>
          <w:rFonts w:ascii="Arial" w:eastAsia="Arial" w:hAnsi="Arial" w:cs="Arial"/>
          <w:i/>
          <w:iCs/>
        </w:rPr>
        <w:t>et al.</w:t>
      </w:r>
      <w:r>
        <w:rPr>
          <w:rFonts w:ascii="Arial" w:eastAsia="Arial" w:hAnsi="Arial" w:cs="Arial"/>
        </w:rPr>
        <w:t xml:space="preserve"> 2021). Data processing occurred according to the provisions of the GDPR (2018). The research has taken measures to ensure that the overall ethical practice of the research is conducted in the context of rendering the thesis findings valuable. It is on this basis that the research has been keen to observe the university guidelines prior to the data collection methodology. As an example, the research has made sure to comply with the Copyright Act of 1988 in the UK on preventing the vice of plagiarism. The Copyright Act of 1988 in the UK does give exceptions in regard to use in education, wherein fair copying and use of copyright material in teaching, whether through display of web material or broadcast recordings, falls under fair dealing as well as certain conditions (Gov, 2025). The effect of this regulation has contributed to the prevention of the habit of copy-pasting in gathering information using the available sources. </w:t>
      </w:r>
    </w:p>
    <w:p w14:paraId="456BB27C" w14:textId="77777777" w:rsidR="00C244A9" w:rsidRDefault="00C244A9">
      <w:pPr>
        <w:pStyle w:val="Heading2"/>
        <w:ind w:firstLine="10"/>
        <w:rPr>
          <w:color w:val="000000"/>
        </w:rPr>
      </w:pPr>
      <w:bookmarkStart w:id="73" w:name="_heading=h.yui8yqnxn7v8" w:colFirst="0" w:colLast="0"/>
      <w:bookmarkEnd w:id="73"/>
    </w:p>
    <w:p w14:paraId="4FAB1AFC" w14:textId="3594C1F9" w:rsidR="00C244A9" w:rsidRDefault="00EF3F4D">
      <w:pPr>
        <w:pStyle w:val="Heading2"/>
        <w:ind w:firstLine="10"/>
        <w:rPr>
          <w:color w:val="000000"/>
        </w:rPr>
      </w:pPr>
      <w:bookmarkStart w:id="74" w:name="_Toc220842121"/>
      <w:r>
        <w:rPr>
          <w:color w:val="000000"/>
        </w:rPr>
        <w:t>3.1</w:t>
      </w:r>
      <w:r w:rsidR="00BA74BB">
        <w:rPr>
          <w:color w:val="000000"/>
        </w:rPr>
        <w:t>1</w:t>
      </w:r>
      <w:r>
        <w:rPr>
          <w:color w:val="000000"/>
        </w:rPr>
        <w:t xml:space="preserve"> Limitations of this study</w:t>
      </w:r>
      <w:bookmarkEnd w:id="74"/>
    </w:p>
    <w:p w14:paraId="72370A83" w14:textId="77777777" w:rsidR="00C244A9" w:rsidRDefault="00EF3F4D">
      <w:pPr>
        <w:spacing w:line="360" w:lineRule="auto"/>
        <w:jc w:val="both"/>
        <w:rPr>
          <w:rFonts w:ascii="Arial" w:eastAsia="Arial" w:hAnsi="Arial" w:cs="Arial"/>
        </w:rPr>
      </w:pPr>
      <w:r>
        <w:rPr>
          <w:rFonts w:ascii="Arial" w:eastAsia="Arial" w:hAnsi="Arial" w:cs="Arial"/>
        </w:rPr>
        <w:t xml:space="preserve">The study has weaknesses in using secondary data due to the possibility of publication bias and the lack of homogeneous methodologies. This is characteristic of the systematic reviews of the literature regarding the surveillance of infectious diseases (Wu </w:t>
      </w:r>
      <w:r>
        <w:rPr>
          <w:rFonts w:ascii="Arial" w:eastAsia="Arial" w:hAnsi="Arial" w:cs="Arial"/>
          <w:i/>
          <w:iCs/>
        </w:rPr>
        <w:t xml:space="preserve">et al. </w:t>
      </w:r>
      <w:r>
        <w:rPr>
          <w:rFonts w:ascii="Arial" w:eastAsia="Arial" w:hAnsi="Arial" w:cs="Arial"/>
        </w:rPr>
        <w:t>2023).  The differences in the outcomes of the comparisons of studies may be influenced by the differences in the molecular tools and standards of reporting. Nevertheless, the systematic synthesis will render the evidence credible and minimize bias. The findings of molecular epidemiology should be included to make a contribution to the knowledgeable decision-making on the problems concerning the health of the population.</w:t>
      </w:r>
    </w:p>
    <w:p w14:paraId="449B430B" w14:textId="77777777" w:rsidR="00C244A9" w:rsidRDefault="00C244A9">
      <w:pPr>
        <w:pStyle w:val="Heading2"/>
        <w:ind w:firstLine="10"/>
        <w:rPr>
          <w:color w:val="000000"/>
        </w:rPr>
      </w:pPr>
      <w:bookmarkStart w:id="75" w:name="_heading=h.o1bty0x7hkyz" w:colFirst="0" w:colLast="0"/>
      <w:bookmarkEnd w:id="75"/>
    </w:p>
    <w:p w14:paraId="1367D5CA" w14:textId="4EBCA3F9" w:rsidR="00C244A9" w:rsidRDefault="00EF3F4D">
      <w:pPr>
        <w:pStyle w:val="Heading2"/>
        <w:ind w:firstLine="10"/>
        <w:rPr>
          <w:color w:val="000000"/>
        </w:rPr>
      </w:pPr>
      <w:bookmarkStart w:id="76" w:name="_Toc220842122"/>
      <w:r>
        <w:rPr>
          <w:color w:val="000000"/>
        </w:rPr>
        <w:t>3.1</w:t>
      </w:r>
      <w:r w:rsidR="00BA74BB">
        <w:rPr>
          <w:color w:val="000000"/>
        </w:rPr>
        <w:t>2</w:t>
      </w:r>
      <w:r>
        <w:rPr>
          <w:color w:val="000000"/>
        </w:rPr>
        <w:t xml:space="preserve"> Summary of the Chapter</w:t>
      </w:r>
      <w:bookmarkEnd w:id="76"/>
    </w:p>
    <w:p w14:paraId="1181633A" w14:textId="77777777" w:rsidR="00C244A9" w:rsidRDefault="00EF3F4D">
      <w:pPr>
        <w:spacing w:after="14" w:line="360" w:lineRule="auto"/>
        <w:jc w:val="both"/>
      </w:pPr>
      <w:bookmarkStart w:id="77" w:name="_heading=h.oemvlegqjqom" w:colFirst="0" w:colLast="0"/>
      <w:bookmarkEnd w:id="77"/>
      <w:r>
        <w:rPr>
          <w:rFonts w:ascii="Arial" w:eastAsia="Arial" w:hAnsi="Arial" w:cs="Arial"/>
        </w:rPr>
        <w:t xml:space="preserve">The chapter described a qualitative methodology of reviewing the applications of molecular epidemiology in controlling cholera, which is systematic. The transparency, rigor, and relevance were ensured by the clear research design, data collection process, data analysis, and ethical </w:t>
      </w:r>
      <w:r>
        <w:rPr>
          <w:rFonts w:ascii="Arial" w:eastAsia="Arial" w:hAnsi="Arial" w:cs="Arial"/>
        </w:rPr>
        <w:lastRenderedPageBreak/>
        <w:t>procedures. The plan makes it possible to make sound synthesis yield effective interventions in the area of public health.</w:t>
      </w:r>
      <w:r>
        <w:rPr>
          <w:rFonts w:ascii="Arial" w:eastAsia="Arial" w:hAnsi="Arial" w:cs="Arial"/>
          <w:sz w:val="24"/>
          <w:szCs w:val="24"/>
        </w:rPr>
        <w:tab/>
      </w:r>
      <w:r>
        <w:rPr>
          <w:i/>
          <w:iCs/>
        </w:rPr>
        <w:t xml:space="preserve"> </w:t>
      </w:r>
    </w:p>
    <w:p w14:paraId="2BC86E6E" w14:textId="77777777" w:rsidR="00C244A9" w:rsidRDefault="00EF3F4D">
      <w:pPr>
        <w:rPr>
          <w:b/>
          <w:bCs/>
          <w:sz w:val="24"/>
          <w:szCs w:val="24"/>
        </w:rPr>
      </w:pPr>
      <w:r>
        <w:br w:type="page"/>
      </w:r>
    </w:p>
    <w:p w14:paraId="43413AF1" w14:textId="77777777" w:rsidR="00C244A9" w:rsidRDefault="00EF3F4D">
      <w:pPr>
        <w:pStyle w:val="Heading1"/>
        <w:ind w:left="12" w:right="1" w:firstLine="0"/>
      </w:pPr>
      <w:bookmarkStart w:id="78" w:name="_Toc220786088"/>
      <w:bookmarkStart w:id="79" w:name="_Toc220842123"/>
      <w:r>
        <w:lastRenderedPageBreak/>
        <w:t>Chapter 4: Results</w:t>
      </w:r>
      <w:bookmarkEnd w:id="78"/>
      <w:bookmarkEnd w:id="79"/>
      <w:r>
        <w:t xml:space="preserve"> </w:t>
      </w:r>
    </w:p>
    <w:p w14:paraId="387F063E" w14:textId="77777777" w:rsidR="00C244A9" w:rsidRDefault="00C244A9">
      <w:pPr>
        <w:pStyle w:val="Heading2"/>
        <w:ind w:firstLine="10"/>
        <w:rPr>
          <w:color w:val="000000"/>
        </w:rPr>
      </w:pPr>
      <w:bookmarkStart w:id="80" w:name="_heading=h.p1jg9osrhlyb" w:colFirst="0" w:colLast="0"/>
      <w:bookmarkEnd w:id="80"/>
    </w:p>
    <w:p w14:paraId="7C1F586E" w14:textId="77777777" w:rsidR="00C244A9" w:rsidRDefault="00EF3F4D">
      <w:pPr>
        <w:pStyle w:val="Heading2"/>
        <w:ind w:firstLine="10"/>
        <w:rPr>
          <w:color w:val="000000"/>
        </w:rPr>
      </w:pPr>
      <w:bookmarkStart w:id="81" w:name="_Toc220842124"/>
      <w:r>
        <w:rPr>
          <w:color w:val="000000"/>
        </w:rPr>
        <w:t>4.1 Introduction</w:t>
      </w:r>
      <w:bookmarkEnd w:id="81"/>
    </w:p>
    <w:p w14:paraId="599060FB"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This chapter will focus on interpreting the articles that have been chosen and included from the methodology section in an effective manner. This section will aim to generate meaningful information by analysing the selected articles in terms of meeting the specific objectives of this research accurately. This chapter will also serve the purpose of exploring the effectiveness of molecular techniques in the context of detecting and characterising Vibrio Cholera across populations. Additionally, this section will also stress the results from the PRISMA reporting, the characteristics table from selected articles and the discussion of the identified themes from investigating the molecular and environmental factors that are responsible for influencing the indirect transmission of Cholera. Apart from this, the results section will also emphasise identifying and providing effective recommended courses of action in terms of initiating public health interventions to improve outbreak detection, prevention and control of Cholera. On the other hand, this section will also focus on representing the specific themes that are likely to be framed in order to meet the research objectives positively. Thereby, the key outcomes generated in this section will be significant in linking the specific objectives of this research successfully.    </w:t>
      </w:r>
    </w:p>
    <w:p w14:paraId="12E5621D" w14:textId="77777777" w:rsidR="00C244A9" w:rsidRDefault="00C244A9">
      <w:pPr>
        <w:pStyle w:val="Heading2"/>
        <w:ind w:firstLine="10"/>
        <w:rPr>
          <w:color w:val="000000"/>
        </w:rPr>
      </w:pPr>
      <w:bookmarkStart w:id="82" w:name="_heading=h.acnxixcc6bh7" w:colFirst="0" w:colLast="0"/>
      <w:bookmarkEnd w:id="82"/>
    </w:p>
    <w:p w14:paraId="04F1BFB7" w14:textId="77777777" w:rsidR="00C244A9" w:rsidRDefault="00EF3F4D">
      <w:pPr>
        <w:pStyle w:val="Heading2"/>
        <w:ind w:firstLine="10"/>
        <w:rPr>
          <w:i/>
          <w:iCs/>
          <w:color w:val="000000"/>
        </w:rPr>
      </w:pPr>
      <w:bookmarkStart w:id="83" w:name="_Toc220842125"/>
      <w:r>
        <w:rPr>
          <w:color w:val="000000"/>
        </w:rPr>
        <w:t>4.2 PRISMA</w:t>
      </w:r>
      <w:bookmarkEnd w:id="83"/>
      <w:r>
        <w:rPr>
          <w:i/>
          <w:iCs/>
          <w:color w:val="000000"/>
        </w:rPr>
        <w:t xml:space="preserve"> </w:t>
      </w:r>
    </w:p>
    <w:p w14:paraId="49548667" w14:textId="77777777" w:rsidR="00C244A9" w:rsidRDefault="00EF3F4D">
      <w:pPr>
        <w:spacing w:line="360" w:lineRule="auto"/>
        <w:jc w:val="both"/>
        <w:rPr>
          <w:rFonts w:ascii="Arial" w:eastAsia="Arial" w:hAnsi="Arial" w:cs="Arial"/>
        </w:rPr>
      </w:pPr>
      <w:r>
        <w:rPr>
          <w:rFonts w:ascii="Arial" w:eastAsia="Arial" w:hAnsi="Arial" w:cs="Arial"/>
        </w:rPr>
        <w:t xml:space="preserve">The PRISMA Table (see 4.1) proved valuable in highlighting the overall process of identifying, screening and selecting appropriate articles in terms of obtaining the required Secondary Data in an effective manner. It also shows the key databases that have been accessed to collect relevant articles to gather data and interpret the core objectives of this research significantly. It also highlights the number of articles that have been excluded due to inappropriate eligibility. </w:t>
      </w:r>
    </w:p>
    <w:p w14:paraId="4AB4FCBA" w14:textId="77777777" w:rsidR="00C244A9" w:rsidRDefault="00EF3F4D">
      <w:pPr>
        <w:pBdr>
          <w:top w:val="nil"/>
          <w:left w:val="nil"/>
          <w:bottom w:val="nil"/>
          <w:right w:val="nil"/>
          <w:between w:val="nil"/>
        </w:pBdr>
        <w:spacing w:line="360" w:lineRule="auto"/>
        <w:jc w:val="center"/>
        <w:rPr>
          <w:rFonts w:ascii="Arial" w:eastAsia="Arial" w:hAnsi="Arial" w:cs="Arial"/>
          <w:b/>
          <w:bCs/>
          <w:i/>
          <w:iCs/>
        </w:rPr>
      </w:pPr>
      <w:r>
        <w:rPr>
          <w:rFonts w:ascii="Arial" w:eastAsia="Arial" w:hAnsi="Arial" w:cs="Arial"/>
          <w:b/>
          <w:bCs/>
          <w:i/>
          <w:iCs/>
          <w:noProof/>
        </w:rPr>
        <w:lastRenderedPageBreak/>
        <w:drawing>
          <wp:inline distT="114300" distB="114300" distL="114300" distR="114300" wp14:anchorId="7AA926B3" wp14:editId="463E97F0">
            <wp:extent cx="4486275" cy="4905375"/>
            <wp:effectExtent l="0" t="0" r="0" b="0"/>
            <wp:docPr id="2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486275" cy="4905375"/>
                    </a:xfrm>
                    <a:prstGeom prst="rect">
                      <a:avLst/>
                    </a:prstGeom>
                    <a:ln/>
                  </pic:spPr>
                </pic:pic>
              </a:graphicData>
            </a:graphic>
          </wp:inline>
        </w:drawing>
      </w:r>
    </w:p>
    <w:p w14:paraId="1C504736" w14:textId="77777777" w:rsidR="00C244A9" w:rsidRDefault="00EF3F4D" w:rsidP="004E7C87">
      <w:pPr>
        <w:pStyle w:val="Heading4"/>
      </w:pPr>
      <w:bookmarkStart w:id="84" w:name="_Toc220786494"/>
      <w:r>
        <w:t>Figure 4.1: PRISMA Table</w:t>
      </w:r>
      <w:bookmarkEnd w:id="84"/>
    </w:p>
    <w:p w14:paraId="4EC89BB6" w14:textId="77777777" w:rsidR="00C244A9" w:rsidRDefault="00C244A9">
      <w:pPr>
        <w:pStyle w:val="Heading2"/>
        <w:ind w:firstLine="10"/>
        <w:rPr>
          <w:color w:val="000000"/>
        </w:rPr>
      </w:pPr>
      <w:bookmarkStart w:id="85" w:name="_heading=h.xs017gs421bv" w:colFirst="0" w:colLast="0"/>
      <w:bookmarkEnd w:id="85"/>
    </w:p>
    <w:p w14:paraId="010A7EB2" w14:textId="77777777" w:rsidR="00C244A9" w:rsidRDefault="00EF3F4D">
      <w:pPr>
        <w:pStyle w:val="Heading2"/>
        <w:ind w:firstLine="10"/>
        <w:rPr>
          <w:color w:val="000000"/>
        </w:rPr>
      </w:pPr>
      <w:bookmarkStart w:id="86" w:name="_Toc220842126"/>
      <w:r>
        <w:rPr>
          <w:color w:val="000000"/>
        </w:rPr>
        <w:t>4.3 Characteristics Table</w:t>
      </w:r>
      <w:bookmarkEnd w:id="86"/>
    </w:p>
    <w:p w14:paraId="0AAB2385" w14:textId="77777777" w:rsidR="00C244A9" w:rsidRDefault="00EF3F4D">
      <w:pPr>
        <w:spacing w:line="360" w:lineRule="auto"/>
        <w:jc w:val="both"/>
        <w:rPr>
          <w:rFonts w:ascii="Arial" w:eastAsia="Arial" w:hAnsi="Arial" w:cs="Arial"/>
          <w:b/>
          <w:bCs/>
          <w:color w:val="FF0000"/>
        </w:rPr>
        <w:sectPr w:rsidR="00C244A9">
          <w:footerReference w:type="default" r:id="rId16"/>
          <w:pgSz w:w="12240" w:h="15840"/>
          <w:pgMar w:top="1440" w:right="1440" w:bottom="1440" w:left="1440" w:header="720" w:footer="720" w:gutter="0"/>
          <w:pgNumType w:start="0"/>
          <w:cols w:space="720"/>
          <w:titlePg/>
        </w:sectPr>
      </w:pPr>
      <w:r>
        <w:rPr>
          <w:rFonts w:ascii="Arial" w:eastAsia="Arial" w:hAnsi="Arial" w:cs="Arial"/>
        </w:rPr>
        <w:t xml:space="preserve">This table has been effective in demonstrating the specific articles that have been selected and included in this research to successfully obtain the data and conveniently accomplish the research objectives. </w:t>
      </w:r>
      <w:r>
        <w:rPr>
          <w:rFonts w:ascii="Arial" w:eastAsia="Arial" w:hAnsi="Arial" w:cs="Arial"/>
          <w:color w:val="000000"/>
        </w:rPr>
        <w:t>The table also provides a detailed insight into each of the selected articles to demonstrate the relevance of the articles with the research objectives. Additionally, this table also shows the methods, strengths, limitations and conclusions of the individual articles in an effective manner</w:t>
      </w:r>
      <w:r>
        <w:rPr>
          <w:rFonts w:ascii="Arial" w:eastAsia="Arial" w:hAnsi="Arial" w:cs="Arial"/>
          <w:color w:val="FF0000"/>
        </w:rPr>
        <w:t>.</w:t>
      </w:r>
    </w:p>
    <w:p w14:paraId="627E6947" w14:textId="77777777" w:rsidR="00C244A9" w:rsidRDefault="00C244A9">
      <w:pPr>
        <w:widowControl w:val="0"/>
        <w:pBdr>
          <w:top w:val="nil"/>
          <w:left w:val="nil"/>
          <w:bottom w:val="nil"/>
          <w:right w:val="nil"/>
          <w:between w:val="nil"/>
        </w:pBdr>
        <w:spacing w:line="360" w:lineRule="auto"/>
        <w:jc w:val="both"/>
        <w:rPr>
          <w:rFonts w:ascii="Arial" w:eastAsia="Arial" w:hAnsi="Arial" w:cs="Arial"/>
          <w:b/>
          <w:bCs/>
        </w:rPr>
      </w:pPr>
    </w:p>
    <w:tbl>
      <w:tblPr>
        <w:tblStyle w:val="a4"/>
        <w:tblW w:w="140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70"/>
        <w:gridCol w:w="1843"/>
        <w:gridCol w:w="1559"/>
        <w:gridCol w:w="1418"/>
        <w:gridCol w:w="1417"/>
        <w:gridCol w:w="2126"/>
        <w:gridCol w:w="2127"/>
        <w:gridCol w:w="2268"/>
      </w:tblGrid>
      <w:tr w:rsidR="00C244A9" w14:paraId="35F726CD" w14:textId="77777777">
        <w:tc>
          <w:tcPr>
            <w:tcW w:w="1270" w:type="dxa"/>
          </w:tcPr>
          <w:p w14:paraId="2699A478"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sz w:val="16"/>
                <w:szCs w:val="16"/>
              </w:rPr>
            </w:pPr>
            <w:r>
              <w:rPr>
                <w:rFonts w:ascii="Arial" w:eastAsia="Arial" w:hAnsi="Arial" w:cs="Arial"/>
                <w:b/>
                <w:bCs/>
                <w:sz w:val="16"/>
                <w:szCs w:val="16"/>
              </w:rPr>
              <w:t>Study Author’s name</w:t>
            </w:r>
          </w:p>
        </w:tc>
        <w:tc>
          <w:tcPr>
            <w:tcW w:w="1843" w:type="dxa"/>
          </w:tcPr>
          <w:p w14:paraId="6F475F51"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sz w:val="16"/>
                <w:szCs w:val="16"/>
              </w:rPr>
            </w:pPr>
            <w:r>
              <w:rPr>
                <w:rFonts w:ascii="Arial" w:eastAsia="Arial" w:hAnsi="Arial" w:cs="Arial"/>
                <w:b/>
                <w:bCs/>
                <w:sz w:val="16"/>
                <w:szCs w:val="16"/>
              </w:rPr>
              <w:t>Objective</w:t>
            </w:r>
          </w:p>
        </w:tc>
        <w:tc>
          <w:tcPr>
            <w:tcW w:w="1559" w:type="dxa"/>
          </w:tcPr>
          <w:p w14:paraId="20208A75"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color w:val="000000"/>
                <w:sz w:val="16"/>
                <w:szCs w:val="16"/>
              </w:rPr>
            </w:pPr>
            <w:r>
              <w:rPr>
                <w:rFonts w:ascii="Arial" w:eastAsia="Arial" w:hAnsi="Arial" w:cs="Arial"/>
                <w:b/>
                <w:bCs/>
                <w:color w:val="000000"/>
                <w:sz w:val="16"/>
                <w:szCs w:val="16"/>
              </w:rPr>
              <w:t>Setting/ Location</w:t>
            </w:r>
          </w:p>
        </w:tc>
        <w:tc>
          <w:tcPr>
            <w:tcW w:w="1418" w:type="dxa"/>
          </w:tcPr>
          <w:p w14:paraId="1B6C70DD"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sz w:val="16"/>
                <w:szCs w:val="16"/>
              </w:rPr>
            </w:pPr>
            <w:r>
              <w:rPr>
                <w:rFonts w:ascii="Arial" w:eastAsia="Arial" w:hAnsi="Arial" w:cs="Arial"/>
                <w:b/>
                <w:bCs/>
                <w:sz w:val="16"/>
                <w:szCs w:val="16"/>
              </w:rPr>
              <w:t>Methodology</w:t>
            </w:r>
          </w:p>
        </w:tc>
        <w:tc>
          <w:tcPr>
            <w:tcW w:w="1417" w:type="dxa"/>
          </w:tcPr>
          <w:p w14:paraId="2A329744"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sz w:val="16"/>
                <w:szCs w:val="16"/>
              </w:rPr>
            </w:pPr>
            <w:r>
              <w:rPr>
                <w:rFonts w:ascii="Arial" w:eastAsia="Arial" w:hAnsi="Arial" w:cs="Arial"/>
                <w:b/>
                <w:bCs/>
                <w:sz w:val="16"/>
                <w:szCs w:val="16"/>
              </w:rPr>
              <w:t>Strengths</w:t>
            </w:r>
          </w:p>
        </w:tc>
        <w:tc>
          <w:tcPr>
            <w:tcW w:w="2126" w:type="dxa"/>
          </w:tcPr>
          <w:p w14:paraId="71E1E264"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sz w:val="16"/>
                <w:szCs w:val="16"/>
              </w:rPr>
            </w:pPr>
            <w:r>
              <w:rPr>
                <w:rFonts w:ascii="Arial" w:eastAsia="Arial" w:hAnsi="Arial" w:cs="Arial"/>
                <w:b/>
                <w:bCs/>
                <w:sz w:val="16"/>
                <w:szCs w:val="16"/>
              </w:rPr>
              <w:t>Weaknesses</w:t>
            </w:r>
          </w:p>
        </w:tc>
        <w:tc>
          <w:tcPr>
            <w:tcW w:w="2127" w:type="dxa"/>
          </w:tcPr>
          <w:p w14:paraId="01B71C9B"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sz w:val="16"/>
                <w:szCs w:val="16"/>
              </w:rPr>
            </w:pPr>
            <w:r>
              <w:rPr>
                <w:rFonts w:ascii="Arial" w:eastAsia="Arial" w:hAnsi="Arial" w:cs="Arial"/>
                <w:b/>
                <w:bCs/>
                <w:sz w:val="16"/>
                <w:szCs w:val="16"/>
              </w:rPr>
              <w:t>Results</w:t>
            </w:r>
          </w:p>
        </w:tc>
        <w:tc>
          <w:tcPr>
            <w:tcW w:w="2268" w:type="dxa"/>
          </w:tcPr>
          <w:p w14:paraId="68D1069A"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b/>
                <w:bCs/>
                <w:sz w:val="16"/>
                <w:szCs w:val="16"/>
              </w:rPr>
            </w:pPr>
            <w:r>
              <w:rPr>
                <w:rFonts w:ascii="Arial" w:eastAsia="Arial" w:hAnsi="Arial" w:cs="Arial"/>
                <w:b/>
                <w:bCs/>
                <w:sz w:val="16"/>
                <w:szCs w:val="16"/>
              </w:rPr>
              <w:t>Conclusion</w:t>
            </w:r>
          </w:p>
        </w:tc>
      </w:tr>
      <w:tr w:rsidR="00C244A9" w14:paraId="53D0CF50" w14:textId="77777777">
        <w:trPr>
          <w:trHeight w:val="440"/>
        </w:trPr>
        <w:tc>
          <w:tcPr>
            <w:tcW w:w="1270" w:type="dxa"/>
          </w:tcPr>
          <w:p w14:paraId="659863AE"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Brumfield </w:t>
            </w:r>
            <w:r>
              <w:rPr>
                <w:rFonts w:ascii="Arial" w:eastAsia="Arial" w:hAnsi="Arial" w:cs="Arial"/>
                <w:i/>
                <w:iCs/>
                <w:sz w:val="16"/>
                <w:szCs w:val="16"/>
              </w:rPr>
              <w:t xml:space="preserve">et al. </w:t>
            </w:r>
            <w:r>
              <w:rPr>
                <w:rFonts w:ascii="Arial" w:eastAsia="Arial" w:hAnsi="Arial" w:cs="Arial"/>
                <w:sz w:val="16"/>
                <w:szCs w:val="16"/>
              </w:rPr>
              <w:t>(2021)</w:t>
            </w:r>
          </w:p>
          <w:p w14:paraId="223508EB"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Environmental parameters associated with incidence and transmission of pathogenic</w:t>
            </w:r>
          </w:p>
          <w:p w14:paraId="67A3D8C4"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Vibrio sp</w:t>
            </w:r>
          </w:p>
          <w:p w14:paraId="13BFB64A"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1843" w:type="dxa"/>
          </w:tcPr>
          <w:p w14:paraId="3CC0FB9E"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‘Investigate environmental factors related to clinically relevant Vibrio spp.,their interaction with the environment, and disease transmission.’</w:t>
            </w:r>
          </w:p>
        </w:tc>
        <w:tc>
          <w:tcPr>
            <w:tcW w:w="1559" w:type="dxa"/>
          </w:tcPr>
          <w:p w14:paraId="5281A1DB"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color w:val="000000"/>
                <w:sz w:val="16"/>
                <w:szCs w:val="16"/>
              </w:rPr>
            </w:pPr>
            <w:r>
              <w:rPr>
                <w:rFonts w:ascii="Arial" w:eastAsia="Arial" w:hAnsi="Arial" w:cs="Arial"/>
                <w:color w:val="000000"/>
                <w:sz w:val="16"/>
                <w:szCs w:val="16"/>
              </w:rPr>
              <w:t>Random environmental samples</w:t>
            </w:r>
          </w:p>
          <w:p w14:paraId="522B3702"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color w:val="000000"/>
                <w:sz w:val="16"/>
                <w:szCs w:val="16"/>
              </w:rPr>
            </w:pPr>
            <w:r>
              <w:rPr>
                <w:rFonts w:ascii="Arial" w:eastAsia="Arial" w:hAnsi="Arial" w:cs="Arial"/>
                <w:color w:val="000000"/>
                <w:sz w:val="16"/>
                <w:szCs w:val="16"/>
              </w:rPr>
              <w:t>US- based</w:t>
            </w:r>
          </w:p>
          <w:p w14:paraId="5EEA2982"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color w:val="000000"/>
                <w:sz w:val="16"/>
                <w:szCs w:val="16"/>
              </w:rPr>
            </w:pPr>
            <w:r>
              <w:rPr>
                <w:rFonts w:ascii="Arial" w:eastAsia="Arial" w:hAnsi="Arial" w:cs="Arial"/>
                <w:color w:val="000000"/>
                <w:sz w:val="16"/>
                <w:szCs w:val="16"/>
              </w:rPr>
              <w:t>UK- based</w:t>
            </w:r>
          </w:p>
          <w:p w14:paraId="58473BA3"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color w:val="000000"/>
                <w:sz w:val="16"/>
                <w:szCs w:val="16"/>
              </w:rPr>
            </w:pPr>
            <w:r>
              <w:rPr>
                <w:rFonts w:ascii="Arial" w:eastAsia="Arial" w:hAnsi="Arial" w:cs="Arial"/>
                <w:color w:val="000000"/>
                <w:sz w:val="16"/>
                <w:szCs w:val="16"/>
              </w:rPr>
              <w:t>South-Asia – based</w:t>
            </w:r>
          </w:p>
          <w:p w14:paraId="3FC7CD22" w14:textId="77777777" w:rsidR="00C244A9" w:rsidRDefault="00C244A9">
            <w:pPr>
              <w:widowControl w:val="0"/>
              <w:pBdr>
                <w:top w:val="nil"/>
                <w:left w:val="nil"/>
                <w:bottom w:val="nil"/>
                <w:right w:val="nil"/>
                <w:between w:val="nil"/>
              </w:pBdr>
              <w:spacing w:after="0" w:line="240" w:lineRule="auto"/>
              <w:jc w:val="both"/>
              <w:rPr>
                <w:rFonts w:ascii="Arial" w:eastAsia="Arial" w:hAnsi="Arial" w:cs="Arial"/>
                <w:color w:val="000000"/>
                <w:sz w:val="16"/>
                <w:szCs w:val="16"/>
              </w:rPr>
            </w:pPr>
          </w:p>
          <w:p w14:paraId="6F1560EC"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color w:val="000000"/>
                <w:sz w:val="16"/>
                <w:szCs w:val="16"/>
              </w:rPr>
            </w:pPr>
            <w:r>
              <w:rPr>
                <w:rFonts w:ascii="Arial" w:eastAsia="Arial" w:hAnsi="Arial" w:cs="Arial"/>
                <w:color w:val="000000"/>
                <w:sz w:val="16"/>
                <w:szCs w:val="16"/>
              </w:rPr>
              <w:t>China- bases</w:t>
            </w:r>
          </w:p>
        </w:tc>
        <w:tc>
          <w:tcPr>
            <w:tcW w:w="1418" w:type="dxa"/>
          </w:tcPr>
          <w:p w14:paraId="22343A31"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Secondary Method</w:t>
            </w:r>
          </w:p>
        </w:tc>
        <w:tc>
          <w:tcPr>
            <w:tcW w:w="1417" w:type="dxa"/>
          </w:tcPr>
          <w:p w14:paraId="48A93866"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Included real-life samples</w:t>
            </w:r>
          </w:p>
        </w:tc>
        <w:tc>
          <w:tcPr>
            <w:tcW w:w="2126" w:type="dxa"/>
          </w:tcPr>
          <w:p w14:paraId="1EE58FA7"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No specific sample size</w:t>
            </w:r>
          </w:p>
        </w:tc>
        <w:tc>
          <w:tcPr>
            <w:tcW w:w="2127" w:type="dxa"/>
          </w:tcPr>
          <w:p w14:paraId="67C4B10A"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‘Molecular methods designed for detection and</w:t>
            </w:r>
          </w:p>
          <w:p w14:paraId="7FC8AF62"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enumeration proved useful for predictive modelling</w:t>
            </w:r>
          </w:p>
          <w:p w14:paraId="50FD523D"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and are described, namely in the context of prediction of environmental conditions favourable to Vibrio</w:t>
            </w:r>
          </w:p>
          <w:p w14:paraId="2148CFF2"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spp. showing human health risk’</w:t>
            </w:r>
          </w:p>
          <w:p w14:paraId="015E2BF8" w14:textId="77777777" w:rsidR="00C244A9" w:rsidRDefault="00C244A9">
            <w:pPr>
              <w:widowControl w:val="0"/>
              <w:pBdr>
                <w:top w:val="nil"/>
                <w:left w:val="nil"/>
                <w:bottom w:val="nil"/>
                <w:right w:val="nil"/>
                <w:between w:val="nil"/>
              </w:pBdr>
              <w:spacing w:after="0" w:line="240" w:lineRule="auto"/>
              <w:jc w:val="both"/>
              <w:rPr>
                <w:rFonts w:ascii="Arial" w:eastAsia="Arial" w:hAnsi="Arial" w:cs="Arial"/>
                <w:sz w:val="16"/>
                <w:szCs w:val="16"/>
              </w:rPr>
            </w:pPr>
          </w:p>
        </w:tc>
        <w:tc>
          <w:tcPr>
            <w:tcW w:w="2268" w:type="dxa"/>
          </w:tcPr>
          <w:p w14:paraId="14C96D49"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‘Early warning systems are essential to public</w:t>
            </w:r>
          </w:p>
          <w:p w14:paraId="0E725919"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health and for informing decision makers and those individuals whose risk of infection is high’</w:t>
            </w:r>
          </w:p>
        </w:tc>
      </w:tr>
      <w:tr w:rsidR="00C244A9" w14:paraId="4B5714EB" w14:textId="77777777">
        <w:trPr>
          <w:trHeight w:val="440"/>
        </w:trPr>
        <w:tc>
          <w:tcPr>
            <w:tcW w:w="1270" w:type="dxa"/>
          </w:tcPr>
          <w:p w14:paraId="0CAE0D3D"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Chowdhury </w:t>
            </w:r>
            <w:r>
              <w:rPr>
                <w:rFonts w:ascii="Arial" w:eastAsia="Arial" w:hAnsi="Arial" w:cs="Arial"/>
                <w:i/>
                <w:iCs/>
                <w:sz w:val="16"/>
                <w:szCs w:val="16"/>
              </w:rPr>
              <w:t xml:space="preserve">et al. </w:t>
            </w:r>
            <w:r>
              <w:rPr>
                <w:rFonts w:ascii="Arial" w:eastAsia="Arial" w:hAnsi="Arial" w:cs="Arial"/>
                <w:sz w:val="16"/>
                <w:szCs w:val="16"/>
              </w:rPr>
              <w:t>(2022)</w:t>
            </w:r>
          </w:p>
          <w:p w14:paraId="0C3E9ECD"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Diagnosis,</w:t>
            </w:r>
          </w:p>
          <w:p w14:paraId="595ED671"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Management, and future control of cholera.</w:t>
            </w:r>
          </w:p>
          <w:p w14:paraId="2655A131"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1843" w:type="dxa"/>
          </w:tcPr>
          <w:p w14:paraId="3E159D1B"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The aim is to identify the cholera diagnosis management and future direction using random samples.</w:t>
            </w:r>
          </w:p>
        </w:tc>
        <w:tc>
          <w:tcPr>
            <w:tcW w:w="1559" w:type="dxa"/>
          </w:tcPr>
          <w:p w14:paraId="5E38F983"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Random stool samples</w:t>
            </w:r>
          </w:p>
        </w:tc>
        <w:tc>
          <w:tcPr>
            <w:tcW w:w="1418" w:type="dxa"/>
          </w:tcPr>
          <w:p w14:paraId="4AC8F539"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Secondary Method</w:t>
            </w:r>
          </w:p>
        </w:tc>
        <w:tc>
          <w:tcPr>
            <w:tcW w:w="1417" w:type="dxa"/>
          </w:tcPr>
          <w:p w14:paraId="1A74755C"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Stool interpretation to detect Cholera</w:t>
            </w:r>
          </w:p>
        </w:tc>
        <w:tc>
          <w:tcPr>
            <w:tcW w:w="2126" w:type="dxa"/>
          </w:tcPr>
          <w:p w14:paraId="00C7023F"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No specific sample size</w:t>
            </w:r>
          </w:p>
        </w:tc>
        <w:tc>
          <w:tcPr>
            <w:tcW w:w="2127" w:type="dxa"/>
          </w:tcPr>
          <w:p w14:paraId="6DADEAB9"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With the development of i.v. fluids, ORS, and Zn therapy, progression to severe dehydration and mortality has been remarkably reduced. Antibiotics,</w:t>
            </w:r>
          </w:p>
          <w:p w14:paraId="4412B21F"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Micronutrients in the developing world, treatment challenges are primarily due to delays in receiving prompt medical attention by</w:t>
            </w:r>
          </w:p>
          <w:p w14:paraId="1C481878"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Health care professionals. The use of cholera RDTs as a point-of-care diagnostic during an</w:t>
            </w:r>
          </w:p>
          <w:p w14:paraId="14DF78D5"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Outbreak along with PCR requires significant laboratory investment and skilled personnel.’</w:t>
            </w:r>
          </w:p>
        </w:tc>
        <w:tc>
          <w:tcPr>
            <w:tcW w:w="2268" w:type="dxa"/>
          </w:tcPr>
          <w:p w14:paraId="5C2B308F"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‘The</w:t>
            </w:r>
          </w:p>
          <w:p w14:paraId="7FF2CC17"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disease requires immediate treatment as it can cause death within hours in patients with</w:t>
            </w:r>
          </w:p>
          <w:p w14:paraId="208C8F02"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Moderate to severe cholera.’</w:t>
            </w:r>
          </w:p>
        </w:tc>
      </w:tr>
      <w:tr w:rsidR="00C244A9" w14:paraId="59FAC764" w14:textId="77777777">
        <w:trPr>
          <w:trHeight w:val="440"/>
        </w:trPr>
        <w:tc>
          <w:tcPr>
            <w:tcW w:w="1270" w:type="dxa"/>
          </w:tcPr>
          <w:p w14:paraId="66CA695D"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Ebenezer </w:t>
            </w:r>
            <w:r>
              <w:rPr>
                <w:rFonts w:ascii="Arial" w:eastAsia="Arial" w:hAnsi="Arial" w:cs="Arial"/>
                <w:i/>
                <w:iCs/>
                <w:sz w:val="16"/>
                <w:szCs w:val="16"/>
              </w:rPr>
              <w:t xml:space="preserve">et al. </w:t>
            </w:r>
            <w:r>
              <w:rPr>
                <w:rFonts w:ascii="Arial" w:eastAsia="Arial" w:hAnsi="Arial" w:cs="Arial"/>
                <w:sz w:val="16"/>
                <w:szCs w:val="16"/>
              </w:rPr>
              <w:t xml:space="preserve">(2025) </w:t>
            </w:r>
          </w:p>
          <w:p w14:paraId="7E39077F"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Understanding cholera dynamics in</w:t>
            </w:r>
          </w:p>
          <w:p w14:paraId="6CE196DC"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 xml:space="preserve">African countries with persistent outbreaks: a mathematical </w:t>
            </w:r>
            <w:r>
              <w:rPr>
                <w:rFonts w:ascii="Arial" w:eastAsia="Arial" w:hAnsi="Arial" w:cs="Arial"/>
                <w:sz w:val="16"/>
                <w:szCs w:val="16"/>
              </w:rPr>
              <w:lastRenderedPageBreak/>
              <w:t>modelling approach.</w:t>
            </w:r>
          </w:p>
          <w:p w14:paraId="25655C5A"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1843" w:type="dxa"/>
          </w:tcPr>
          <w:p w14:paraId="3C94A7DC"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lastRenderedPageBreak/>
              <w:t>‘This study aims to investigate the dynamics of cholera outbreaks in eight African countries using</w:t>
            </w:r>
          </w:p>
          <w:p w14:paraId="2DF8817C"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mathematical modelling and machine learning and to provide information for public health decision making’</w:t>
            </w:r>
          </w:p>
        </w:tc>
        <w:tc>
          <w:tcPr>
            <w:tcW w:w="1559" w:type="dxa"/>
          </w:tcPr>
          <w:p w14:paraId="318C2E5E"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10,000</w:t>
            </w:r>
          </w:p>
        </w:tc>
        <w:tc>
          <w:tcPr>
            <w:tcW w:w="1418" w:type="dxa"/>
          </w:tcPr>
          <w:p w14:paraId="69DB8817"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Mathematical modelling analysis with Bayesian framework</w:t>
            </w:r>
          </w:p>
        </w:tc>
        <w:tc>
          <w:tcPr>
            <w:tcW w:w="1417" w:type="dxa"/>
          </w:tcPr>
          <w:p w14:paraId="2600C02F"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Large Sample Size</w:t>
            </w:r>
          </w:p>
        </w:tc>
        <w:tc>
          <w:tcPr>
            <w:tcW w:w="2126" w:type="dxa"/>
          </w:tcPr>
          <w:p w14:paraId="05D99F26"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‘Reliance on</w:t>
            </w:r>
          </w:p>
          <w:p w14:paraId="08BB20A4"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data from only eight African countries’</w:t>
            </w:r>
          </w:p>
        </w:tc>
        <w:tc>
          <w:tcPr>
            <w:tcW w:w="2127" w:type="dxa"/>
          </w:tcPr>
          <w:p w14:paraId="0DDFF106"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 xml:space="preserve">‘The study uncovered variation in cholera outbreak dynamics across the considered countries. Based on our model results, the median basic reproduction number (R0) across the endemic countries was 2.0 (SD: 0.454), which ranges from 1.41 in Zimbabwe to 2.80 </w:t>
            </w:r>
            <w:r>
              <w:rPr>
                <w:rFonts w:ascii="Arial" w:eastAsia="Arial" w:hAnsi="Arial" w:cs="Arial"/>
                <w:sz w:val="16"/>
                <w:szCs w:val="16"/>
              </w:rPr>
              <w:lastRenderedPageBreak/>
              <w:t>in Mozambique. Furthermore, the results of the sensitivity analysis emphasized</w:t>
            </w:r>
          </w:p>
          <w:p w14:paraId="632E248E"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the significance of the maximum infection rate and the bacteria shedding rate in driving cholera outbreaks across</w:t>
            </w:r>
          </w:p>
          <w:p w14:paraId="7C3D5052"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Hierarchical clustering revealed three distinct groups of countries based on outbreak</w:t>
            </w:r>
          </w:p>
          <w:p w14:paraId="573F59D7" w14:textId="77777777" w:rsidR="00C244A9" w:rsidRDefault="00EF3F4D">
            <w:pPr>
              <w:widowControl w:val="0"/>
              <w:pBdr>
                <w:top w:val="nil"/>
                <w:left w:val="nil"/>
                <w:bottom w:val="nil"/>
                <w:right w:val="nil"/>
                <w:between w:val="nil"/>
              </w:pBdr>
              <w:spacing w:after="0" w:line="240" w:lineRule="auto"/>
              <w:rPr>
                <w:rFonts w:ascii="Arial" w:eastAsia="Arial" w:hAnsi="Arial" w:cs="Arial"/>
                <w:sz w:val="16"/>
                <w:szCs w:val="16"/>
              </w:rPr>
            </w:pPr>
            <w:r>
              <w:rPr>
                <w:rFonts w:ascii="Arial" w:eastAsia="Arial" w:hAnsi="Arial" w:cs="Arial"/>
                <w:sz w:val="16"/>
                <w:szCs w:val="16"/>
              </w:rPr>
              <w:t>dynamics and socioeconomic indicators: the chronic sanitation issues cluster (Somalia, Cameroon, and Comoros)’</w:t>
            </w:r>
          </w:p>
        </w:tc>
        <w:tc>
          <w:tcPr>
            <w:tcW w:w="2268" w:type="dxa"/>
          </w:tcPr>
          <w:p w14:paraId="34667748"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lastRenderedPageBreak/>
              <w:t>‘Illustrates the factors of cholera outbreaks throughout African countries’</w:t>
            </w:r>
          </w:p>
        </w:tc>
      </w:tr>
      <w:tr w:rsidR="00C244A9" w14:paraId="54063C44" w14:textId="77777777">
        <w:trPr>
          <w:trHeight w:val="440"/>
        </w:trPr>
        <w:tc>
          <w:tcPr>
            <w:tcW w:w="1270" w:type="dxa"/>
          </w:tcPr>
          <w:p w14:paraId="04C0370D"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Jin </w:t>
            </w:r>
            <w:r>
              <w:rPr>
                <w:rFonts w:ascii="Arial" w:eastAsia="Arial" w:hAnsi="Arial" w:cs="Arial"/>
                <w:i/>
                <w:iCs/>
                <w:sz w:val="16"/>
                <w:szCs w:val="16"/>
              </w:rPr>
              <w:t>et al.</w:t>
            </w:r>
            <w:r>
              <w:rPr>
                <w:rFonts w:ascii="Arial" w:eastAsia="Arial" w:hAnsi="Arial" w:cs="Arial"/>
                <w:sz w:val="16"/>
                <w:szCs w:val="16"/>
              </w:rPr>
              <w:t xml:space="preserve"> (2025)</w:t>
            </w:r>
          </w:p>
          <w:p w14:paraId="5D0C9A87"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Impact of El Niño–Southern Oscillation on</w:t>
            </w:r>
          </w:p>
          <w:p w14:paraId="47911EB6"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Global Vegetation.</w:t>
            </w:r>
          </w:p>
        </w:tc>
        <w:tc>
          <w:tcPr>
            <w:tcW w:w="1843" w:type="dxa"/>
          </w:tcPr>
          <w:p w14:paraId="2553F4A6"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Explore the interaction between response from vegetation and climate types </w:t>
            </w:r>
          </w:p>
        </w:tc>
        <w:tc>
          <w:tcPr>
            <w:tcW w:w="1559" w:type="dxa"/>
          </w:tcPr>
          <w:p w14:paraId="20DD578D"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ENSO global impacts on vegetation</w:t>
            </w:r>
          </w:p>
        </w:tc>
        <w:tc>
          <w:tcPr>
            <w:tcW w:w="1418" w:type="dxa"/>
          </w:tcPr>
          <w:p w14:paraId="66748E7E"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Secondary qualitative </w:t>
            </w:r>
          </w:p>
        </w:tc>
        <w:tc>
          <w:tcPr>
            <w:tcW w:w="1417" w:type="dxa"/>
          </w:tcPr>
          <w:p w14:paraId="208B628C"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Diverse information source</w:t>
            </w:r>
          </w:p>
        </w:tc>
        <w:tc>
          <w:tcPr>
            <w:tcW w:w="2126" w:type="dxa"/>
          </w:tcPr>
          <w:p w14:paraId="1E50687B"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Limited information to Cholera</w:t>
            </w:r>
          </w:p>
        </w:tc>
        <w:tc>
          <w:tcPr>
            <w:tcW w:w="2127" w:type="dxa"/>
          </w:tcPr>
          <w:p w14:paraId="0DC50570"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Highlighting a critical gap for future research</w:t>
            </w:r>
          </w:p>
        </w:tc>
        <w:tc>
          <w:tcPr>
            <w:tcW w:w="2268" w:type="dxa"/>
          </w:tcPr>
          <w:p w14:paraId="5A6E497E"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Involve ENSO-driven changes in precipitation and temperature</w:t>
            </w:r>
          </w:p>
        </w:tc>
      </w:tr>
      <w:tr w:rsidR="00C244A9" w14:paraId="539D07BC" w14:textId="77777777">
        <w:trPr>
          <w:trHeight w:val="440"/>
        </w:trPr>
        <w:tc>
          <w:tcPr>
            <w:tcW w:w="1270" w:type="dxa"/>
          </w:tcPr>
          <w:p w14:paraId="0E42E036"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Lotoux </w:t>
            </w:r>
            <w:r>
              <w:rPr>
                <w:rFonts w:ascii="Arial" w:eastAsia="Arial" w:hAnsi="Arial" w:cs="Arial"/>
                <w:i/>
                <w:iCs/>
                <w:sz w:val="16"/>
                <w:szCs w:val="16"/>
              </w:rPr>
              <w:t>et al.</w:t>
            </w:r>
            <w:r>
              <w:rPr>
                <w:rFonts w:ascii="Arial" w:eastAsia="Arial" w:hAnsi="Arial" w:cs="Arial"/>
                <w:sz w:val="16"/>
                <w:szCs w:val="16"/>
              </w:rPr>
              <w:t xml:space="preserve"> (2022)</w:t>
            </w:r>
          </w:p>
          <w:p w14:paraId="36A0337C"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The viable but non-culturable state of listeria</w:t>
            </w:r>
          </w:p>
          <w:p w14:paraId="3AE3FAE8"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monocytogenes in the one-health continuum.</w:t>
            </w:r>
          </w:p>
        </w:tc>
        <w:tc>
          <w:tcPr>
            <w:tcW w:w="1843" w:type="dxa"/>
          </w:tcPr>
          <w:p w14:paraId="571D6E79"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Suggest alternative techniques to culture-based enrichment methods for better</w:t>
            </w:r>
          </w:p>
          <w:p w14:paraId="1F23E9C8"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prevent listeriosis risks</w:t>
            </w:r>
          </w:p>
        </w:tc>
        <w:tc>
          <w:tcPr>
            <w:tcW w:w="1559" w:type="dxa"/>
          </w:tcPr>
          <w:p w14:paraId="3FCC5E9F"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Agricultural and</w:t>
            </w:r>
          </w:p>
          <w:p w14:paraId="1E56BFBF"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food industry settings</w:t>
            </w:r>
          </w:p>
        </w:tc>
        <w:tc>
          <w:tcPr>
            <w:tcW w:w="1418" w:type="dxa"/>
          </w:tcPr>
          <w:p w14:paraId="0106CEE5"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Secondary qualitative</w:t>
            </w:r>
          </w:p>
        </w:tc>
        <w:tc>
          <w:tcPr>
            <w:tcW w:w="1417" w:type="dxa"/>
          </w:tcPr>
          <w:p w14:paraId="7D3BC5C2"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Discussion on bacterial species</w:t>
            </w:r>
          </w:p>
        </w:tc>
        <w:tc>
          <w:tcPr>
            <w:tcW w:w="2126" w:type="dxa"/>
          </w:tcPr>
          <w:p w14:paraId="791EA7DF"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Limited record related to cholera</w:t>
            </w:r>
          </w:p>
        </w:tc>
        <w:tc>
          <w:tcPr>
            <w:tcW w:w="2127" w:type="dxa"/>
          </w:tcPr>
          <w:p w14:paraId="281B2042"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Consider the resuscitation</w:t>
            </w:r>
          </w:p>
          <w:p w14:paraId="33B13C66"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and virulence potential of VBNC Lm</w:t>
            </w:r>
          </w:p>
        </w:tc>
        <w:tc>
          <w:tcPr>
            <w:tcW w:w="2268" w:type="dxa"/>
          </w:tcPr>
          <w:p w14:paraId="3166E647"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Culture-based enrichment methods</w:t>
            </w:r>
          </w:p>
        </w:tc>
      </w:tr>
      <w:tr w:rsidR="00C244A9" w14:paraId="22CE821D" w14:textId="77777777">
        <w:trPr>
          <w:trHeight w:val="440"/>
        </w:trPr>
        <w:tc>
          <w:tcPr>
            <w:tcW w:w="1270" w:type="dxa"/>
          </w:tcPr>
          <w:p w14:paraId="4A3E9E40"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Mageto </w:t>
            </w:r>
            <w:r>
              <w:rPr>
                <w:rFonts w:ascii="Arial" w:eastAsia="Arial" w:hAnsi="Arial" w:cs="Arial"/>
                <w:i/>
                <w:iCs/>
                <w:sz w:val="16"/>
                <w:szCs w:val="16"/>
              </w:rPr>
              <w:t>et al.</w:t>
            </w:r>
            <w:r>
              <w:rPr>
                <w:rFonts w:ascii="Arial" w:eastAsia="Arial" w:hAnsi="Arial" w:cs="Arial"/>
                <w:sz w:val="16"/>
                <w:szCs w:val="16"/>
              </w:rPr>
              <w:t xml:space="preserve"> (2025)</w:t>
            </w:r>
          </w:p>
          <w:p w14:paraId="5F49C6C1"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Genomic</w:t>
            </w:r>
          </w:p>
          <w:p w14:paraId="2C5ABB39"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characterization of Vibrio cholerae isolated from clinical and environmental sources during the</w:t>
            </w:r>
          </w:p>
          <w:p w14:paraId="2FCD3CC5"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2022–2023 cholera outbreak in Kenya.</w:t>
            </w:r>
          </w:p>
          <w:p w14:paraId="6FA11AD8"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1843" w:type="dxa"/>
          </w:tcPr>
          <w:p w14:paraId="128FC30A"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lastRenderedPageBreak/>
              <w:t>Identification of genomic characterization of Vibrio cholerae isolated</w:t>
            </w:r>
          </w:p>
        </w:tc>
        <w:tc>
          <w:tcPr>
            <w:tcW w:w="1559" w:type="dxa"/>
          </w:tcPr>
          <w:p w14:paraId="3039FFC5"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Nairobi county</w:t>
            </w:r>
          </w:p>
        </w:tc>
        <w:tc>
          <w:tcPr>
            <w:tcW w:w="1418" w:type="dxa"/>
          </w:tcPr>
          <w:p w14:paraId="3C15F7B1"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Clinical (stool) and environmental (wastewater, drinking water, and</w:t>
            </w:r>
          </w:p>
          <w:p w14:paraId="31CC13F3"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household effluent) samples</w:t>
            </w:r>
          </w:p>
        </w:tc>
        <w:tc>
          <w:tcPr>
            <w:tcW w:w="1417" w:type="dxa"/>
          </w:tcPr>
          <w:p w14:paraId="7D261229"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Phylogenetic analysis</w:t>
            </w:r>
          </w:p>
          <w:p w14:paraId="3893BAA3"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revealed high genetic diversity</w:t>
            </w:r>
          </w:p>
        </w:tc>
        <w:tc>
          <w:tcPr>
            <w:tcW w:w="2126" w:type="dxa"/>
          </w:tcPr>
          <w:p w14:paraId="166BCFEA"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Limited secondary data</w:t>
            </w:r>
          </w:p>
        </w:tc>
        <w:tc>
          <w:tcPr>
            <w:tcW w:w="2127" w:type="dxa"/>
          </w:tcPr>
          <w:p w14:paraId="41140F89"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Clinical isolates carried key virulence genes</w:t>
            </w:r>
          </w:p>
        </w:tc>
        <w:tc>
          <w:tcPr>
            <w:tcW w:w="2268" w:type="dxa"/>
          </w:tcPr>
          <w:p w14:paraId="39A4D835"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Assess the genetic relationship and</w:t>
            </w:r>
          </w:p>
          <w:p w14:paraId="04073024"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diversity of isolates from 2022 to 2023 outbreak</w:t>
            </w:r>
          </w:p>
        </w:tc>
      </w:tr>
      <w:tr w:rsidR="00C244A9" w14:paraId="33BFABD8" w14:textId="77777777">
        <w:trPr>
          <w:trHeight w:val="440"/>
        </w:trPr>
        <w:tc>
          <w:tcPr>
            <w:tcW w:w="1270" w:type="dxa"/>
          </w:tcPr>
          <w:p w14:paraId="67624C61"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Mohamed </w:t>
            </w:r>
            <w:r>
              <w:rPr>
                <w:rFonts w:ascii="Arial" w:eastAsia="Arial" w:hAnsi="Arial" w:cs="Arial"/>
                <w:i/>
                <w:iCs/>
                <w:sz w:val="16"/>
                <w:szCs w:val="16"/>
              </w:rPr>
              <w:t>et al.</w:t>
            </w:r>
            <w:r>
              <w:rPr>
                <w:rFonts w:ascii="Arial" w:eastAsia="Arial" w:hAnsi="Arial" w:cs="Arial"/>
                <w:sz w:val="16"/>
                <w:szCs w:val="16"/>
              </w:rPr>
              <w:t xml:space="preserve"> (2025)</w:t>
            </w:r>
          </w:p>
          <w:p w14:paraId="411907C5"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Cholera outbreaks:</w:t>
            </w:r>
          </w:p>
          <w:p w14:paraId="784BE4EF"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Public health implications, economic burden, and preventive strategies.</w:t>
            </w:r>
          </w:p>
          <w:p w14:paraId="129A92E6"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1843" w:type="dxa"/>
          </w:tcPr>
          <w:p w14:paraId="4F022E96"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to examine the evolving economic burden, public health implications, to adapt preventive strategies for cholera outbreaks globally.</w:t>
            </w:r>
          </w:p>
        </w:tc>
        <w:tc>
          <w:tcPr>
            <w:tcW w:w="1559" w:type="dxa"/>
          </w:tcPr>
          <w:p w14:paraId="21C210B4"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50 Articles reviewed</w:t>
            </w:r>
          </w:p>
        </w:tc>
        <w:tc>
          <w:tcPr>
            <w:tcW w:w="1418" w:type="dxa"/>
          </w:tcPr>
          <w:p w14:paraId="2D07858F"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Secondary Method</w:t>
            </w:r>
          </w:p>
        </w:tc>
        <w:tc>
          <w:tcPr>
            <w:tcW w:w="1417" w:type="dxa"/>
          </w:tcPr>
          <w:p w14:paraId="149B9352"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This article is a survey of global demography</w:t>
            </w:r>
          </w:p>
        </w:tc>
        <w:tc>
          <w:tcPr>
            <w:tcW w:w="2126" w:type="dxa"/>
          </w:tcPr>
          <w:p w14:paraId="2F6F787F"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The heterogeneity of data points out diverse effects, but not specific to a particular demography</w:t>
            </w:r>
          </w:p>
        </w:tc>
        <w:tc>
          <w:tcPr>
            <w:tcW w:w="2127" w:type="dxa"/>
          </w:tcPr>
          <w:p w14:paraId="626E7375"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An integrative viewpoint on</w:t>
            </w:r>
          </w:p>
          <w:p w14:paraId="425028BE"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Cholera by examining the convergence of epidemiological patterns </w:t>
            </w:r>
          </w:p>
        </w:tc>
        <w:tc>
          <w:tcPr>
            <w:tcW w:w="2268" w:type="dxa"/>
          </w:tcPr>
          <w:p w14:paraId="1837E7AE"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Emphasises how urgent it is to implement a multi-sectoral, systems-based strategy for cholera prevention.</w:t>
            </w:r>
          </w:p>
        </w:tc>
      </w:tr>
      <w:tr w:rsidR="00C244A9" w14:paraId="54B1FC92" w14:textId="77777777">
        <w:trPr>
          <w:trHeight w:val="440"/>
        </w:trPr>
        <w:tc>
          <w:tcPr>
            <w:tcW w:w="1270" w:type="dxa"/>
          </w:tcPr>
          <w:p w14:paraId="5B3048B2"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Islam </w:t>
            </w:r>
            <w:r>
              <w:rPr>
                <w:rFonts w:ascii="Arial" w:eastAsia="Arial" w:hAnsi="Arial" w:cs="Arial"/>
                <w:i/>
                <w:iCs/>
                <w:sz w:val="16"/>
                <w:szCs w:val="16"/>
              </w:rPr>
              <w:t>et al.</w:t>
            </w:r>
            <w:r>
              <w:rPr>
                <w:rFonts w:ascii="Arial" w:eastAsia="Arial" w:hAnsi="Arial" w:cs="Arial"/>
                <w:sz w:val="16"/>
                <w:szCs w:val="16"/>
              </w:rPr>
              <w:t xml:space="preserve"> (2021)</w:t>
            </w:r>
          </w:p>
          <w:p w14:paraId="6661BC96"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Population Analysis of Vibrio</w:t>
            </w:r>
          </w:p>
          <w:p w14:paraId="4E8CC439"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cholerae in Aquatic Reservoirs Reveals a Novel Sister Species ( Vibrioparacholerae sp. nov.)</w:t>
            </w:r>
          </w:p>
          <w:p w14:paraId="0950909B"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With a History of Association with Humans.</w:t>
            </w:r>
          </w:p>
          <w:p w14:paraId="72C8523D"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1843" w:type="dxa"/>
          </w:tcPr>
          <w:p w14:paraId="0A07D664"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A comparative analysis of population composition was carried out in order to comprehend the variations between the V. cholerae populations living in areas with a history of cholera cases and those without.</w:t>
            </w:r>
          </w:p>
        </w:tc>
        <w:tc>
          <w:tcPr>
            <w:tcW w:w="1559" w:type="dxa"/>
          </w:tcPr>
          <w:p w14:paraId="69B860EA"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every 2 weeks</w:t>
            </w:r>
          </w:p>
          <w:p w14:paraId="616ADFC0"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between June 2015 and March 2016 from seven points along the water bodies</w:t>
            </w:r>
          </w:p>
        </w:tc>
        <w:tc>
          <w:tcPr>
            <w:tcW w:w="1418" w:type="dxa"/>
          </w:tcPr>
          <w:p w14:paraId="5C16B46C"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Primary analysis</w:t>
            </w:r>
          </w:p>
        </w:tc>
        <w:tc>
          <w:tcPr>
            <w:tcW w:w="1417" w:type="dxa"/>
          </w:tcPr>
          <w:p w14:paraId="6E146DBF"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 xml:space="preserve"> This article is a survey of cholera outbreak in Dhaka</w:t>
            </w:r>
          </w:p>
        </w:tc>
        <w:tc>
          <w:tcPr>
            <w:tcW w:w="2126" w:type="dxa"/>
          </w:tcPr>
          <w:p w14:paraId="20C3226A"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This article is based on a specific climate and a specific demography, not suitable for a global perspective</w:t>
            </w:r>
          </w:p>
        </w:tc>
        <w:tc>
          <w:tcPr>
            <w:tcW w:w="2127" w:type="dxa"/>
          </w:tcPr>
          <w:p w14:paraId="790BF0E1"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 xml:space="preserve">A new </w:t>
            </w:r>
            <w:r>
              <w:rPr>
                <w:rFonts w:ascii="Arial" w:eastAsia="Arial" w:hAnsi="Arial" w:cs="Arial"/>
                <w:i/>
                <w:iCs/>
                <w:sz w:val="16"/>
                <w:szCs w:val="16"/>
                <w:u w:val="single"/>
              </w:rPr>
              <w:t>V.</w:t>
            </w:r>
            <w:r>
              <w:rPr>
                <w:rFonts w:ascii="Arial" w:eastAsia="Arial" w:hAnsi="Arial" w:cs="Arial"/>
                <w:sz w:val="16"/>
                <w:szCs w:val="16"/>
              </w:rPr>
              <w:t xml:space="preserve"> </w:t>
            </w:r>
            <w:r>
              <w:rPr>
                <w:rFonts w:ascii="Arial" w:eastAsia="Arial" w:hAnsi="Arial" w:cs="Arial"/>
                <w:i/>
                <w:iCs/>
                <w:sz w:val="16"/>
                <w:szCs w:val="16"/>
                <w:u w:val="single"/>
              </w:rPr>
              <w:t>paracholerae</w:t>
            </w:r>
            <w:r>
              <w:rPr>
                <w:rFonts w:ascii="Arial" w:eastAsia="Arial" w:hAnsi="Arial" w:cs="Arial"/>
                <w:sz w:val="16"/>
                <w:szCs w:val="16"/>
              </w:rPr>
              <w:t xml:space="preserve"> species was found</w:t>
            </w:r>
          </w:p>
        </w:tc>
        <w:tc>
          <w:tcPr>
            <w:tcW w:w="2268" w:type="dxa"/>
          </w:tcPr>
          <w:p w14:paraId="5A24E6AA"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Human influences are a major factor shaping the communities of that species in areas of cholera outbreaks</w:t>
            </w:r>
          </w:p>
        </w:tc>
      </w:tr>
      <w:tr w:rsidR="00C244A9" w14:paraId="09A003B4" w14:textId="77777777">
        <w:trPr>
          <w:trHeight w:val="440"/>
        </w:trPr>
        <w:tc>
          <w:tcPr>
            <w:tcW w:w="1270" w:type="dxa"/>
          </w:tcPr>
          <w:p w14:paraId="4B334DB2"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Vishal Mevada</w:t>
            </w:r>
            <w:r>
              <w:rPr>
                <w:rFonts w:ascii="Arial" w:eastAsia="Arial" w:hAnsi="Arial" w:cs="Arial"/>
                <w:i/>
                <w:iCs/>
                <w:sz w:val="16"/>
                <w:szCs w:val="16"/>
              </w:rPr>
              <w:t>et al.</w:t>
            </w:r>
            <w:r>
              <w:rPr>
                <w:rFonts w:ascii="Arial" w:eastAsia="Arial" w:hAnsi="Arial" w:cs="Arial"/>
                <w:sz w:val="16"/>
                <w:szCs w:val="16"/>
              </w:rPr>
              <w:t xml:space="preserve"> (2023)</w:t>
            </w:r>
          </w:p>
          <w:p w14:paraId="0A388BA5"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Whole Genome Sequencing and Pan-Genomic Analysis of</w:t>
            </w:r>
          </w:p>
          <w:p w14:paraId="3651F496"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Multidrug-Resistant Vibrio cholerae VC01 Isolated from a Clinical Sample.</w:t>
            </w:r>
          </w:p>
          <w:p w14:paraId="0120E873"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1843" w:type="dxa"/>
          </w:tcPr>
          <w:p w14:paraId="668241F7"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To elucidate the heterogeneity of the sporadic clinical</w:t>
            </w:r>
          </w:p>
          <w:p w14:paraId="2E2997CB"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strain of V. cholerae VC01 among patients residing in Silvasa</w:t>
            </w:r>
          </w:p>
        </w:tc>
        <w:tc>
          <w:tcPr>
            <w:tcW w:w="1559" w:type="dxa"/>
          </w:tcPr>
          <w:p w14:paraId="0CB11DBE"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Random sampling</w:t>
            </w:r>
          </w:p>
        </w:tc>
        <w:tc>
          <w:tcPr>
            <w:tcW w:w="1418" w:type="dxa"/>
          </w:tcPr>
          <w:p w14:paraId="01CEB115"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Primary analysis</w:t>
            </w:r>
          </w:p>
        </w:tc>
        <w:tc>
          <w:tcPr>
            <w:tcW w:w="1417" w:type="dxa"/>
          </w:tcPr>
          <w:p w14:paraId="716C28CD"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The study was done in Bangladesh, Haiti, and India</w:t>
            </w:r>
          </w:p>
          <w:p w14:paraId="5D6626D3" w14:textId="77777777" w:rsidR="00C244A9" w:rsidRDefault="00C244A9">
            <w:pPr>
              <w:spacing w:after="0" w:line="240" w:lineRule="auto"/>
              <w:jc w:val="both"/>
              <w:rPr>
                <w:rFonts w:ascii="Arial" w:eastAsia="Arial" w:hAnsi="Arial" w:cs="Arial"/>
                <w:sz w:val="16"/>
                <w:szCs w:val="16"/>
              </w:rPr>
            </w:pPr>
          </w:p>
          <w:p w14:paraId="32EC6237" w14:textId="77777777" w:rsidR="00C244A9" w:rsidRDefault="00C244A9">
            <w:pPr>
              <w:pBdr>
                <w:top w:val="nil"/>
                <w:left w:val="nil"/>
                <w:bottom w:val="nil"/>
                <w:right w:val="nil"/>
                <w:between w:val="nil"/>
              </w:pBdr>
              <w:spacing w:after="0" w:line="240" w:lineRule="auto"/>
              <w:jc w:val="both"/>
              <w:rPr>
                <w:rFonts w:ascii="Arial" w:eastAsia="Arial" w:hAnsi="Arial" w:cs="Arial"/>
                <w:sz w:val="16"/>
                <w:szCs w:val="16"/>
              </w:rPr>
            </w:pPr>
          </w:p>
        </w:tc>
        <w:tc>
          <w:tcPr>
            <w:tcW w:w="2126" w:type="dxa"/>
          </w:tcPr>
          <w:p w14:paraId="3180B199" w14:textId="77777777" w:rsidR="00C244A9" w:rsidRDefault="00EF3F4D">
            <w:pPr>
              <w:widowControl w:val="0"/>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Not peer-reviewed based on primary analysis only</w:t>
            </w:r>
          </w:p>
        </w:tc>
        <w:tc>
          <w:tcPr>
            <w:tcW w:w="2127" w:type="dxa"/>
          </w:tcPr>
          <w:p w14:paraId="3129F75A"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The preliminary test results based on agglutination show similarity</w:t>
            </w:r>
          </w:p>
          <w:p w14:paraId="3202F716"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to the V. cholerae O1 biotype.</w:t>
            </w:r>
          </w:p>
        </w:tc>
        <w:tc>
          <w:tcPr>
            <w:tcW w:w="2268" w:type="dxa"/>
          </w:tcPr>
          <w:p w14:paraId="36CDD418"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The presence of antibiotic resistance genes in the whole</w:t>
            </w:r>
          </w:p>
          <w:p w14:paraId="114E730A"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t>genome and in vitro study of susceptibility towards similar antibiotics provide a correlation of gene expression</w:t>
            </w:r>
          </w:p>
        </w:tc>
      </w:tr>
      <w:tr w:rsidR="00C244A9" w14:paraId="6A7257B2" w14:textId="77777777">
        <w:trPr>
          <w:trHeight w:val="440"/>
        </w:trPr>
        <w:tc>
          <w:tcPr>
            <w:tcW w:w="1270" w:type="dxa"/>
          </w:tcPr>
          <w:p w14:paraId="5ABAC54A"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 xml:space="preserve">Pal </w:t>
            </w:r>
            <w:r>
              <w:rPr>
                <w:rFonts w:ascii="Arial" w:eastAsia="Arial" w:hAnsi="Arial" w:cs="Arial"/>
                <w:i/>
                <w:iCs/>
                <w:sz w:val="16"/>
                <w:szCs w:val="16"/>
              </w:rPr>
              <w:t>et al.</w:t>
            </w:r>
            <w:r>
              <w:rPr>
                <w:rFonts w:ascii="Arial" w:eastAsia="Arial" w:hAnsi="Arial" w:cs="Arial"/>
                <w:sz w:val="16"/>
                <w:szCs w:val="16"/>
              </w:rPr>
              <w:t xml:space="preserve"> (2023)</w:t>
            </w:r>
          </w:p>
          <w:p w14:paraId="4A2F8ADD"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Spectrum of ctx B genotypes,</w:t>
            </w:r>
          </w:p>
          <w:p w14:paraId="1CEF181B"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antibiogram profiles and virulence genes of Vibrio cholerae serogroups isolated from</w:t>
            </w:r>
          </w:p>
          <w:p w14:paraId="1B7C72CB"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Environmental water sources from Odisha, India.</w:t>
            </w:r>
          </w:p>
          <w:p w14:paraId="104C84F4" w14:textId="77777777" w:rsidR="00C244A9" w:rsidRDefault="00C244A9">
            <w:pPr>
              <w:spacing w:after="0" w:line="240" w:lineRule="auto"/>
              <w:jc w:val="both"/>
              <w:rPr>
                <w:rFonts w:ascii="Arial" w:eastAsia="Arial" w:hAnsi="Arial" w:cs="Arial"/>
                <w:sz w:val="16"/>
                <w:szCs w:val="16"/>
              </w:rPr>
            </w:pPr>
          </w:p>
          <w:p w14:paraId="629548C0" w14:textId="77777777" w:rsidR="00C244A9" w:rsidRDefault="00C244A9">
            <w:pPr>
              <w:spacing w:after="0" w:line="240" w:lineRule="auto"/>
              <w:jc w:val="both"/>
              <w:rPr>
                <w:rFonts w:ascii="Arial" w:eastAsia="Arial" w:hAnsi="Arial" w:cs="Arial"/>
                <w:sz w:val="16"/>
                <w:szCs w:val="16"/>
              </w:rPr>
            </w:pPr>
          </w:p>
        </w:tc>
        <w:tc>
          <w:tcPr>
            <w:tcW w:w="1843" w:type="dxa"/>
          </w:tcPr>
          <w:p w14:paraId="1414CBDD"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 xml:space="preserve">To find out the parameter and relevance of the </w:t>
            </w:r>
            <w:r>
              <w:rPr>
                <w:rFonts w:ascii="Arial" w:eastAsia="Arial" w:hAnsi="Arial" w:cs="Arial"/>
                <w:sz w:val="16"/>
                <w:szCs w:val="16"/>
              </w:rPr>
              <w:lastRenderedPageBreak/>
              <w:t>isolated Colera strain between 2007</w:t>
            </w:r>
          </w:p>
          <w:p w14:paraId="7CDD9627"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and 2019 from the coastal and tribal areas</w:t>
            </w:r>
          </w:p>
          <w:p w14:paraId="5BD65133"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 xml:space="preserve"> </w:t>
            </w:r>
          </w:p>
        </w:tc>
        <w:tc>
          <w:tcPr>
            <w:tcW w:w="1559" w:type="dxa"/>
          </w:tcPr>
          <w:p w14:paraId="47F5F542"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 xml:space="preserve">85 stocked cultures of V. cholerae O1 and </w:t>
            </w:r>
            <w:r>
              <w:rPr>
                <w:rFonts w:ascii="Arial" w:eastAsia="Arial" w:hAnsi="Arial" w:cs="Arial"/>
                <w:sz w:val="16"/>
                <w:szCs w:val="16"/>
              </w:rPr>
              <w:lastRenderedPageBreak/>
              <w:t>non-O1/non-O139 strains were analysed</w:t>
            </w:r>
          </w:p>
        </w:tc>
        <w:tc>
          <w:tcPr>
            <w:tcW w:w="1418" w:type="dxa"/>
          </w:tcPr>
          <w:p w14:paraId="41CEB5C0" w14:textId="77777777" w:rsidR="00C244A9" w:rsidRDefault="00EF3F4D">
            <w:pPr>
              <w:pBdr>
                <w:top w:val="nil"/>
                <w:left w:val="nil"/>
                <w:bottom w:val="nil"/>
                <w:right w:val="nil"/>
                <w:between w:val="nil"/>
              </w:pBdr>
              <w:spacing w:after="0" w:line="240" w:lineRule="auto"/>
              <w:jc w:val="both"/>
              <w:rPr>
                <w:rFonts w:ascii="Arial" w:eastAsia="Arial" w:hAnsi="Arial" w:cs="Arial"/>
                <w:sz w:val="16"/>
                <w:szCs w:val="16"/>
              </w:rPr>
            </w:pPr>
            <w:r>
              <w:rPr>
                <w:rFonts w:ascii="Arial" w:eastAsia="Arial" w:hAnsi="Arial" w:cs="Arial"/>
                <w:sz w:val="16"/>
                <w:szCs w:val="16"/>
              </w:rPr>
              <w:lastRenderedPageBreak/>
              <w:t>Primary analysis</w:t>
            </w:r>
          </w:p>
        </w:tc>
        <w:tc>
          <w:tcPr>
            <w:tcW w:w="1417" w:type="dxa"/>
          </w:tcPr>
          <w:p w14:paraId="321F593F"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 xml:space="preserve">The study was detailed and based on the </w:t>
            </w:r>
            <w:r>
              <w:rPr>
                <w:rFonts w:ascii="Arial" w:eastAsia="Arial" w:hAnsi="Arial" w:cs="Arial"/>
                <w:sz w:val="16"/>
                <w:szCs w:val="16"/>
              </w:rPr>
              <w:lastRenderedPageBreak/>
              <w:t>diverse demography of Odisha is an eastern state of India located along the</w:t>
            </w:r>
          </w:p>
          <w:p w14:paraId="77AF9F33"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t>Bay of Benga</w:t>
            </w:r>
          </w:p>
        </w:tc>
        <w:tc>
          <w:tcPr>
            <w:tcW w:w="2126" w:type="dxa"/>
          </w:tcPr>
          <w:p w14:paraId="277B5526"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These strains were isolated between 2007</w:t>
            </w:r>
          </w:p>
          <w:p w14:paraId="417E62C1"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And 2019 from the coastal and tribal areas, so the data is not fully relevant for recent studies from the perspective of mutation.to reach an epidemic form is still not clearly understood.</w:t>
            </w:r>
          </w:p>
        </w:tc>
        <w:tc>
          <w:tcPr>
            <w:tcW w:w="2127" w:type="dxa"/>
          </w:tcPr>
          <w:p w14:paraId="289F58B0"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The V. cholerae isolates possessed a variety of</w:t>
            </w:r>
          </w:p>
          <w:p w14:paraId="041A11DC"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Virulence genes, including ace, ctxAB, toxR, zot, and hlyA, which were in higher percentages in the case of V. cholerae O1.</w:t>
            </w:r>
          </w:p>
        </w:tc>
        <w:tc>
          <w:tcPr>
            <w:tcW w:w="2268" w:type="dxa"/>
          </w:tcPr>
          <w:p w14:paraId="772BE80E" w14:textId="77777777" w:rsidR="00C244A9" w:rsidRDefault="00EF3F4D">
            <w:pPr>
              <w:spacing w:after="0" w:line="240" w:lineRule="auto"/>
              <w:jc w:val="both"/>
              <w:rPr>
                <w:rFonts w:ascii="Arial" w:eastAsia="Arial" w:hAnsi="Arial" w:cs="Arial"/>
                <w:sz w:val="16"/>
                <w:szCs w:val="16"/>
              </w:rPr>
            </w:pPr>
            <w:r>
              <w:rPr>
                <w:rFonts w:ascii="Arial" w:eastAsia="Arial" w:hAnsi="Arial" w:cs="Arial"/>
                <w:sz w:val="16"/>
                <w:szCs w:val="16"/>
              </w:rPr>
              <w:lastRenderedPageBreak/>
              <w:t xml:space="preserve">The paper indicates the changing epidemiology, antibiogram patterns and </w:t>
            </w:r>
            <w:r>
              <w:rPr>
                <w:rFonts w:ascii="Arial" w:eastAsia="Arial" w:hAnsi="Arial" w:cs="Arial"/>
                <w:sz w:val="16"/>
                <w:szCs w:val="16"/>
              </w:rPr>
              <w:lastRenderedPageBreak/>
              <w:t>continuous genetic variation in environmental V. cholerae strains of Odisha over the years.</w:t>
            </w:r>
          </w:p>
        </w:tc>
      </w:tr>
    </w:tbl>
    <w:p w14:paraId="3F9B362F" w14:textId="77777777" w:rsidR="00C244A9" w:rsidRDefault="00EF3F4D">
      <w:pPr>
        <w:pStyle w:val="Heading5"/>
      </w:pPr>
      <w:bookmarkStart w:id="87" w:name="_heading=h.tp9wc9liu0ph" w:colFirst="0" w:colLast="0"/>
      <w:bookmarkEnd w:id="87"/>
      <w:r>
        <w:lastRenderedPageBreak/>
        <w:t>Table 4.1: Characteristics Table</w:t>
      </w:r>
    </w:p>
    <w:p w14:paraId="407A7FD7" w14:textId="77777777" w:rsidR="00C244A9" w:rsidRDefault="00C244A9">
      <w:pPr>
        <w:rPr>
          <w:rFonts w:ascii="Arial" w:eastAsia="Arial" w:hAnsi="Arial" w:cs="Arial"/>
        </w:rPr>
      </w:pPr>
    </w:p>
    <w:p w14:paraId="368741FC" w14:textId="77777777" w:rsidR="00C244A9" w:rsidRDefault="00C244A9">
      <w:pPr>
        <w:pBdr>
          <w:top w:val="nil"/>
          <w:left w:val="nil"/>
          <w:bottom w:val="nil"/>
          <w:right w:val="nil"/>
          <w:between w:val="nil"/>
        </w:pBdr>
        <w:spacing w:line="360" w:lineRule="auto"/>
        <w:jc w:val="both"/>
        <w:rPr>
          <w:rFonts w:ascii="Arial" w:eastAsia="Arial" w:hAnsi="Arial" w:cs="Arial"/>
        </w:rPr>
        <w:sectPr w:rsidR="00C244A9">
          <w:pgSz w:w="15840" w:h="12240" w:orient="landscape"/>
          <w:pgMar w:top="1440" w:right="1440" w:bottom="1440" w:left="1440" w:header="720" w:footer="720" w:gutter="0"/>
          <w:cols w:space="720"/>
        </w:sectPr>
      </w:pPr>
    </w:p>
    <w:p w14:paraId="7DFB2314" w14:textId="77777777" w:rsidR="00C244A9" w:rsidRDefault="00EF3F4D">
      <w:pPr>
        <w:pStyle w:val="Heading2"/>
        <w:ind w:firstLine="10"/>
        <w:rPr>
          <w:color w:val="000000"/>
        </w:rPr>
      </w:pPr>
      <w:bookmarkStart w:id="88" w:name="_heading=h.ciw7la3h9ypc" w:colFirst="0" w:colLast="0"/>
      <w:bookmarkStart w:id="89" w:name="_Toc220842127"/>
      <w:bookmarkEnd w:id="88"/>
      <w:r>
        <w:rPr>
          <w:color w:val="000000"/>
        </w:rPr>
        <w:lastRenderedPageBreak/>
        <w:t>4.3 Themes identification and discussion</w:t>
      </w:r>
      <w:bookmarkEnd w:id="89"/>
      <w:r>
        <w:rPr>
          <w:color w:val="000000"/>
        </w:rPr>
        <w:t xml:space="preserve"> </w:t>
      </w:r>
    </w:p>
    <w:p w14:paraId="267DC1DC" w14:textId="77777777" w:rsidR="00C244A9" w:rsidRDefault="00EF3F4D">
      <w:pPr>
        <w:pBdr>
          <w:top w:val="nil"/>
          <w:left w:val="nil"/>
          <w:bottom w:val="nil"/>
          <w:right w:val="nil"/>
          <w:between w:val="nil"/>
        </w:pBdr>
        <w:spacing w:line="360" w:lineRule="auto"/>
        <w:jc w:val="both"/>
        <w:rPr>
          <w:rFonts w:ascii="Arial" w:eastAsia="Arial" w:hAnsi="Arial" w:cs="Arial"/>
          <w:b/>
          <w:bCs/>
          <w:i/>
          <w:iCs/>
        </w:rPr>
      </w:pPr>
      <w:r>
        <w:rPr>
          <w:rFonts w:ascii="Arial" w:eastAsia="Arial" w:hAnsi="Arial" w:cs="Arial"/>
          <w:b/>
          <w:bCs/>
          <w:i/>
          <w:iCs/>
        </w:rPr>
        <w:t>Theme 1: Molecular Epidemiology tools correctly detect the transmission process and routes of Vibrio Cholerae</w:t>
      </w:r>
    </w:p>
    <w:p w14:paraId="4182D7AF"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early detection and identification of the transmission process of Cholera is crucial in the context of safeguarding care seekers against the adverse impact of the health disorder through effective medicinal interventions. In essence, applying molecular techniques such as Genomic Sequencing and Genomic Mechanisms is likely to play a determining role in terms of accurately identifying the transmission routes of Vibrio Cholerae at an early stage. In accordance with the statement of Brumfield </w:t>
      </w:r>
      <w:r>
        <w:rPr>
          <w:rFonts w:ascii="Arial" w:eastAsia="Arial" w:hAnsi="Arial" w:cs="Arial"/>
          <w:i/>
          <w:iCs/>
        </w:rPr>
        <w:t xml:space="preserve">et al. </w:t>
      </w:r>
      <w:r>
        <w:rPr>
          <w:rFonts w:ascii="Arial" w:eastAsia="Arial" w:hAnsi="Arial" w:cs="Arial"/>
        </w:rPr>
        <w:t xml:space="preserve">(2021), the technology of DNA Metagenome Sequencing is remarkable in relevance to detecting Vibrio spp. in any given environment. In this regard, the adoption of DNA Metagenome Sequencing seems to be appropriate and advantageous in detecting the spreading process of Vibrio Cholerae within a specific population or environment by profiling Antimicrobial resistance and Virulence genes in a simultaneous manner. On the other hand, Chowdhury </w:t>
      </w:r>
      <w:r>
        <w:rPr>
          <w:rFonts w:ascii="Arial" w:eastAsia="Arial" w:hAnsi="Arial" w:cs="Arial"/>
          <w:i/>
          <w:iCs/>
        </w:rPr>
        <w:t xml:space="preserve">et al. </w:t>
      </w:r>
      <w:r>
        <w:rPr>
          <w:rFonts w:ascii="Arial" w:eastAsia="Arial" w:hAnsi="Arial" w:cs="Arial"/>
        </w:rPr>
        <w:t xml:space="preserve">(2022) claimed that whole-genome sequencing of Vibrio Cholerae isolates displayed Mobile Genetic that might eventually result in Antimicrobial Resistance. As a consequence, individual patients might encounter obstacles in consuming antibiotics to overcome cholera due to delays in detecting the transmission routes of Vibrio Cholerae in a particular environment. Henceforth, Genome Sequencing is crucial in the early detection of Vibrio Cholerae’s transmission routes. </w:t>
      </w:r>
    </w:p>
    <w:p w14:paraId="53992858"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As mentioned by Brumfield </w:t>
      </w:r>
      <w:r>
        <w:rPr>
          <w:rFonts w:ascii="Arial" w:eastAsia="Arial" w:hAnsi="Arial" w:cs="Arial"/>
          <w:i/>
          <w:iCs/>
        </w:rPr>
        <w:t xml:space="preserve">et al. </w:t>
      </w:r>
      <w:r>
        <w:rPr>
          <w:rFonts w:ascii="Arial" w:eastAsia="Arial" w:hAnsi="Arial" w:cs="Arial"/>
        </w:rPr>
        <w:t xml:space="preserve">(2021) observed that DNA Metagenomics might not be able to determine the viability and infectious capacity of microorganisms without the execution of additional analyses to interpret gene activities and functions. In this context, using Metagenomic Sequencing can prove challenging in order to accurately detect the transmission routes of Vibrio Cholera in a particular environment. However, Ebenezer </w:t>
      </w:r>
      <w:r>
        <w:rPr>
          <w:rFonts w:ascii="Arial" w:eastAsia="Arial" w:hAnsi="Arial" w:cs="Arial"/>
          <w:i/>
          <w:iCs/>
        </w:rPr>
        <w:t xml:space="preserve">et al. </w:t>
      </w:r>
      <w:r>
        <w:rPr>
          <w:rFonts w:ascii="Arial" w:eastAsia="Arial" w:hAnsi="Arial" w:cs="Arial"/>
        </w:rPr>
        <w:t xml:space="preserve">(2025) stated that Vibrio Cholerae is a proactive agent of the Cholera pandemic present in contaminated water resources, which is transmitted through the Fecal-Oral route. Accordingly, failing to detect Vibrio Cholerae at an early stage, the transmission of Vibrio Cholerae can lead to dehydration and Electrolyte imbalance, which might cause death. In essence, Chowdhury </w:t>
      </w:r>
      <w:r>
        <w:rPr>
          <w:rFonts w:ascii="Arial" w:eastAsia="Arial" w:hAnsi="Arial" w:cs="Arial"/>
          <w:i/>
          <w:iCs/>
        </w:rPr>
        <w:t xml:space="preserve">et al. </w:t>
      </w:r>
      <w:r>
        <w:rPr>
          <w:rFonts w:ascii="Arial" w:eastAsia="Arial" w:hAnsi="Arial" w:cs="Arial"/>
        </w:rPr>
        <w:t xml:space="preserve">(2022) depicted that Dark-field Microscopy can be utilised in the context of quickly detecting the presence of Vibrio Cholerae in stool samples before sending the samples for culture. Hereby, Dark-field Microscopy is perceived to be another crucial molecular technique that can detect the presence and transmission of Vibrio Cholerae across a given environment. </w:t>
      </w:r>
    </w:p>
    <w:p w14:paraId="35AD94A8" w14:textId="77777777" w:rsidR="00C244A9" w:rsidRDefault="00C244A9">
      <w:pPr>
        <w:pBdr>
          <w:top w:val="nil"/>
          <w:left w:val="nil"/>
          <w:bottom w:val="nil"/>
          <w:right w:val="nil"/>
          <w:between w:val="nil"/>
        </w:pBdr>
        <w:spacing w:line="360" w:lineRule="auto"/>
        <w:jc w:val="both"/>
        <w:rPr>
          <w:rFonts w:ascii="Arial" w:eastAsia="Arial" w:hAnsi="Arial" w:cs="Arial"/>
        </w:rPr>
      </w:pPr>
    </w:p>
    <w:p w14:paraId="5F2CBEF5"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Analysing and interpreting genes is considered to be another vital molecular process involved in the prediction of Cholera transmission throughout a particular environment or pollution in an effective manner. In accordance with the illustration of Chowdhury </w:t>
      </w:r>
      <w:r>
        <w:rPr>
          <w:rFonts w:ascii="Arial" w:eastAsia="Arial" w:hAnsi="Arial" w:cs="Arial"/>
          <w:i/>
          <w:iCs/>
        </w:rPr>
        <w:t xml:space="preserve">et al. </w:t>
      </w:r>
      <w:r>
        <w:rPr>
          <w:rFonts w:ascii="Arial" w:eastAsia="Arial" w:hAnsi="Arial" w:cs="Arial"/>
        </w:rPr>
        <w:t xml:space="preserve">(2022), the CTX Phase of the Molecular Epidemiological Analysis process contains CT genes, which are significant in interpreting Vibrio Cholerae. In this regard, implementing the Molecular Epidemiological Analysis process has been beneficial in examining Cholera Toxin-encoding Genes through multiple Genetic Mutations. Hereby, applying the Molecular Epidemiological Analysis method is considered to be a significant technique of detecting Vibrio Cholerae in the environment. On the contrary, Brumfield </w:t>
      </w:r>
      <w:r>
        <w:rPr>
          <w:rFonts w:ascii="Arial" w:eastAsia="Arial" w:hAnsi="Arial" w:cs="Arial"/>
          <w:i/>
          <w:iCs/>
        </w:rPr>
        <w:t xml:space="preserve">et al. </w:t>
      </w:r>
      <w:r>
        <w:rPr>
          <w:rFonts w:ascii="Arial" w:eastAsia="Arial" w:hAnsi="Arial" w:cs="Arial"/>
        </w:rPr>
        <w:t xml:space="preserve">(2021) depicted that the whole Genome Sequencing process is proactively and commonly utilised to accurately detect and point out AMR genes. Accordingly, implementing the whole Genome Sequencing method can turn out to be another effective method in the context of detecting the transmission process and routes of Vibrio Cholerae. Additionally, the whole Genome Sequencing process has also been valuable for executing direct Genotyping and Metagenomic analysis for Vibrio Cholerae (Brumfield </w:t>
      </w:r>
      <w:r>
        <w:rPr>
          <w:rFonts w:ascii="Arial" w:eastAsia="Arial" w:hAnsi="Arial" w:cs="Arial"/>
          <w:i/>
          <w:iCs/>
        </w:rPr>
        <w:t xml:space="preserve">et al. </w:t>
      </w:r>
      <w:r>
        <w:rPr>
          <w:rFonts w:ascii="Arial" w:eastAsia="Arial" w:hAnsi="Arial" w:cs="Arial"/>
        </w:rPr>
        <w:t xml:space="preserve">2021). Henceforth, the above-identified molecular techniques are observed to have a significant impact on identifying the spreading routes and procedures of Vibrio Cholerae. </w:t>
      </w:r>
    </w:p>
    <w:p w14:paraId="52A6933F" w14:textId="77777777" w:rsidR="00C244A9" w:rsidRDefault="00EF3F4D">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Theoretical and practical frameworks can also be deployed in order to detect the spreading procedure and routes of Vibrio Cholerae throughout a particular environment by enhancing the efficiency of Epidemiological Modelling. Based on the comment of Ebenezer </w:t>
      </w:r>
      <w:r>
        <w:rPr>
          <w:rFonts w:ascii="Arial" w:eastAsia="Arial" w:hAnsi="Arial" w:cs="Arial"/>
          <w:i/>
          <w:iCs/>
        </w:rPr>
        <w:t xml:space="preserve">et al. </w:t>
      </w:r>
      <w:r>
        <w:rPr>
          <w:rFonts w:ascii="Arial" w:eastAsia="Arial" w:hAnsi="Arial" w:cs="Arial"/>
        </w:rPr>
        <w:t xml:space="preserve">(2025), the adoption of the Classical Susceptible-Infected-Recovered (SIR) Model is valuable in obtaining a fundamental framework for accurate Epidemiological Modelling. As a result, implementing the SIR Model can prove advantageous in avoiding errors in detecting the transmission routes of Vibrio cholerae through enhanced Epidemiological Modelling. However, Brumfield </w:t>
      </w:r>
      <w:r>
        <w:rPr>
          <w:rFonts w:ascii="Arial" w:eastAsia="Arial" w:hAnsi="Arial" w:cs="Arial"/>
          <w:i/>
          <w:iCs/>
        </w:rPr>
        <w:t xml:space="preserve">et al. </w:t>
      </w:r>
      <w:r>
        <w:rPr>
          <w:rFonts w:ascii="Arial" w:eastAsia="Arial" w:hAnsi="Arial" w:cs="Arial"/>
        </w:rPr>
        <w:t xml:space="preserve">(2021) observed that the implication of Long-read Sequencing emerged to be significant in terms of generating high-quality and accurate reference Genomes of Vibrio spp. isolates. As a consequence, the transmission process of Vibrio Cholerae can be detected accurately through the implementation of Long-read sequencing as a core molecular technique across a specific environment. Therefore, the above-discussed molecular techniques turned out to be effective in terms of detecting and examining the transmission routes and processes of Vibrio Cholerae. </w:t>
      </w:r>
    </w:p>
    <w:p w14:paraId="5B6BB459" w14:textId="77777777" w:rsidR="00C244A9" w:rsidRDefault="00C244A9">
      <w:pPr>
        <w:spacing w:line="360" w:lineRule="auto"/>
        <w:jc w:val="both"/>
        <w:rPr>
          <w:rFonts w:ascii="Arial" w:eastAsia="Arial" w:hAnsi="Arial" w:cs="Arial"/>
          <w:b/>
          <w:bCs/>
          <w:i/>
          <w:iCs/>
        </w:rPr>
      </w:pPr>
    </w:p>
    <w:p w14:paraId="4DF299B7" w14:textId="77777777" w:rsidR="00C244A9" w:rsidRDefault="00EF3F4D">
      <w:pPr>
        <w:spacing w:line="360" w:lineRule="auto"/>
        <w:jc w:val="both"/>
        <w:rPr>
          <w:rFonts w:ascii="Arial" w:eastAsia="Arial" w:hAnsi="Arial" w:cs="Arial"/>
          <w:b/>
          <w:bCs/>
          <w:i/>
          <w:iCs/>
        </w:rPr>
      </w:pPr>
      <w:r>
        <w:rPr>
          <w:rFonts w:ascii="Arial" w:eastAsia="Arial" w:hAnsi="Arial" w:cs="Arial"/>
          <w:b/>
          <w:bCs/>
          <w:i/>
          <w:iCs/>
        </w:rPr>
        <w:lastRenderedPageBreak/>
        <w:t>Theme 2: Water sources, sanitation and vector pathways influence indirect transmission of cholera</w:t>
      </w:r>
    </w:p>
    <w:p w14:paraId="6EFFE415" w14:textId="77777777" w:rsidR="00C244A9" w:rsidRDefault="00C244A9">
      <w:pPr>
        <w:spacing w:line="360" w:lineRule="auto"/>
        <w:jc w:val="both"/>
        <w:rPr>
          <w:rFonts w:ascii="Arial" w:eastAsia="Arial" w:hAnsi="Arial" w:cs="Arial"/>
        </w:rPr>
      </w:pPr>
    </w:p>
    <w:p w14:paraId="69DDFB54" w14:textId="77777777" w:rsidR="00C244A9" w:rsidRDefault="00EF3F4D">
      <w:pPr>
        <w:spacing w:line="360" w:lineRule="auto"/>
        <w:jc w:val="both"/>
        <w:rPr>
          <w:rFonts w:ascii="Arial" w:eastAsia="Arial" w:hAnsi="Arial" w:cs="Arial"/>
        </w:rPr>
      </w:pPr>
      <w:r>
        <w:rPr>
          <w:rFonts w:ascii="Arial" w:eastAsia="Arial" w:hAnsi="Arial" w:cs="Arial"/>
        </w:rPr>
        <w:t xml:space="preserve">Water resources and sanitation infrastructure are the most important parameters in defining the indirect channel of cholera. In their study of the year 2022-2023 cholera outbreak in Kenya, </w:t>
      </w:r>
      <w:r>
        <w:rPr>
          <w:rFonts w:ascii="Arial" w:eastAsia="Arial" w:hAnsi="Arial" w:cs="Arial"/>
          <w:i/>
          <w:iCs/>
          <w:u w:val="single"/>
        </w:rPr>
        <w:t>Vibrio</w:t>
      </w:r>
      <w:r>
        <w:rPr>
          <w:rFonts w:ascii="Arial" w:eastAsia="Arial" w:hAnsi="Arial" w:cs="Arial"/>
          <w:u w:val="single"/>
        </w:rPr>
        <w:t xml:space="preserve"> </w:t>
      </w:r>
      <w:r>
        <w:rPr>
          <w:rFonts w:ascii="Arial" w:eastAsia="Arial" w:hAnsi="Arial" w:cs="Arial"/>
          <w:i/>
          <w:iCs/>
          <w:u w:val="single"/>
        </w:rPr>
        <w:t>cholerae</w:t>
      </w:r>
      <w:r>
        <w:rPr>
          <w:rFonts w:ascii="Arial" w:eastAsia="Arial" w:hAnsi="Arial" w:cs="Arial"/>
        </w:rPr>
        <w:t xml:space="preserve"> was identified in drinking water, wastewater water and household effluents found in the informal settlements that had a high density of inhabitants (Mageto </w:t>
      </w:r>
      <w:r>
        <w:rPr>
          <w:rFonts w:ascii="Arial" w:eastAsia="Arial" w:hAnsi="Arial" w:cs="Arial"/>
          <w:i/>
          <w:iCs/>
        </w:rPr>
        <w:t>et al.</w:t>
      </w:r>
      <w:r>
        <w:rPr>
          <w:rFonts w:ascii="Arial" w:eastAsia="Arial" w:hAnsi="Arial" w:cs="Arial"/>
        </w:rPr>
        <w:t xml:space="preserve"> 2025).  This observation directly reinforces the theme by showing that dirty systems of water serve as environmental reservoirs through which indirect exposure to the pathogen is possible. Altogether, unsafe water sources were also indicated to continue the spread of cholera even without direct contact between humans. </w:t>
      </w:r>
    </w:p>
    <w:p w14:paraId="03FFAF8B" w14:textId="77777777" w:rsidR="00C244A9" w:rsidRDefault="00EF3F4D">
      <w:pPr>
        <w:spacing w:line="360" w:lineRule="auto"/>
        <w:jc w:val="both"/>
        <w:rPr>
          <w:rFonts w:ascii="Arial" w:eastAsia="Arial" w:hAnsi="Arial" w:cs="Arial"/>
        </w:rPr>
      </w:pPr>
      <w:r>
        <w:rPr>
          <w:rFonts w:ascii="Arial" w:eastAsia="Arial" w:hAnsi="Arial" w:cs="Arial"/>
        </w:rPr>
        <w:t xml:space="preserve">The lack of sanitation was established to substantially increase the pollution of the environment and the spread of pathogens. Mageto </w:t>
      </w:r>
      <w:r>
        <w:rPr>
          <w:rFonts w:ascii="Arial" w:eastAsia="Arial" w:hAnsi="Arial" w:cs="Arial"/>
          <w:i/>
          <w:iCs/>
        </w:rPr>
        <w:t>et al.</w:t>
      </w:r>
      <w:r>
        <w:rPr>
          <w:rFonts w:ascii="Arial" w:eastAsia="Arial" w:hAnsi="Arial" w:cs="Arial"/>
        </w:rPr>
        <w:t xml:space="preserve"> (2025) state that private toilets and personal water points were only accessible to a small fraction of the inhabitants in the Mukuru informal settlement. Also, this settlement was classified as wastewater and household effluents drained into open sewers. The scenario is associated with indirect transmission since faecal contamination mixed into common waterways that were used in domestic activities. Therefore, poor sanitation infrastructure was found as a structural factor of the enduring cholera risk.</w:t>
      </w:r>
    </w:p>
    <w:p w14:paraId="02FE1BCD" w14:textId="77777777" w:rsidR="00C244A9" w:rsidRDefault="00EF3F4D">
      <w:pPr>
        <w:spacing w:line="360" w:lineRule="auto"/>
        <w:jc w:val="both"/>
        <w:rPr>
          <w:rFonts w:ascii="Arial" w:eastAsia="Arial" w:hAnsi="Arial" w:cs="Arial"/>
        </w:rPr>
      </w:pPr>
      <w:r>
        <w:rPr>
          <w:rFonts w:ascii="Arial" w:eastAsia="Arial" w:hAnsi="Arial" w:cs="Arial"/>
        </w:rPr>
        <w:t xml:space="preserve">The environmental water bodies were also found in a condition that was favourable for the pathogen survival and diversification. The genomic analysis revealed the existence of high genetic diversity in the environmental isolates of </w:t>
      </w:r>
      <w:r>
        <w:rPr>
          <w:rFonts w:ascii="Arial" w:eastAsia="Arial" w:hAnsi="Arial" w:cs="Arial"/>
          <w:i/>
          <w:iCs/>
          <w:u w:val="single"/>
        </w:rPr>
        <w:t>Vibrio</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and the presence of virulence-related genes. This diversified gene includes toxR and hlyA, although it has no classical cholera toxin gene, such as ctxB (Mageto </w:t>
      </w:r>
      <w:r>
        <w:rPr>
          <w:rFonts w:ascii="Arial" w:eastAsia="Arial" w:hAnsi="Arial" w:cs="Arial"/>
          <w:i/>
          <w:iCs/>
        </w:rPr>
        <w:t>et al.</w:t>
      </w:r>
      <w:r>
        <w:rPr>
          <w:rFonts w:ascii="Arial" w:eastAsia="Arial" w:hAnsi="Arial" w:cs="Arial"/>
        </w:rPr>
        <w:t xml:space="preserve"> 2025). This observation supports the theme as it suggests that aquatic environments serve as a source of infections as well as a reservoir of pathogen evolution. </w:t>
      </w:r>
    </w:p>
    <w:p w14:paraId="697D32B4" w14:textId="77777777" w:rsidR="00C244A9" w:rsidRDefault="00EF3F4D">
      <w:pPr>
        <w:spacing w:line="360" w:lineRule="auto"/>
        <w:jc w:val="both"/>
        <w:rPr>
          <w:rFonts w:ascii="Arial" w:eastAsia="Arial" w:hAnsi="Arial" w:cs="Arial"/>
        </w:rPr>
      </w:pPr>
      <w:r>
        <w:rPr>
          <w:rFonts w:ascii="Arial" w:eastAsia="Arial" w:hAnsi="Arial" w:cs="Arial"/>
        </w:rPr>
        <w:t xml:space="preserve">The process of water-mediated vectors also helped to spread the disease indirectly among communities. Mageto </w:t>
      </w:r>
      <w:r>
        <w:rPr>
          <w:rFonts w:ascii="Arial" w:eastAsia="Arial" w:hAnsi="Arial" w:cs="Arial"/>
          <w:i/>
          <w:iCs/>
        </w:rPr>
        <w:t>et al.</w:t>
      </w:r>
      <w:r>
        <w:rPr>
          <w:rFonts w:ascii="Arial" w:eastAsia="Arial" w:hAnsi="Arial" w:cs="Arial"/>
        </w:rPr>
        <w:t xml:space="preserve"> (2025) found that </w:t>
      </w:r>
      <w:r>
        <w:rPr>
          <w:rFonts w:ascii="Arial" w:eastAsia="Arial" w:hAnsi="Arial" w:cs="Arial"/>
          <w:i/>
          <w:iCs/>
          <w:u w:val="single"/>
        </w:rPr>
        <w:t>Vibrio</w:t>
      </w:r>
      <w:r>
        <w:rPr>
          <w:rFonts w:ascii="Arial" w:eastAsia="Arial" w:hAnsi="Arial" w:cs="Arial"/>
        </w:rPr>
        <w:t xml:space="preserve"> </w:t>
      </w:r>
      <w:r>
        <w:rPr>
          <w:rFonts w:ascii="Arial" w:eastAsia="Arial" w:hAnsi="Arial" w:cs="Arial"/>
          <w:i/>
          <w:iCs/>
          <w:u w:val="single"/>
        </w:rPr>
        <w:t xml:space="preserve">cholerae </w:t>
      </w:r>
      <w:r>
        <w:rPr>
          <w:rFonts w:ascii="Arial" w:eastAsia="Arial" w:hAnsi="Arial" w:cs="Arial"/>
        </w:rPr>
        <w:t xml:space="preserve">was isolated in wastewater and household effluents in open drains during the epidemic period. This observation is associated with the theme in that the flowing water system carried the pathogen effectively between the households that did not interact with each other directly. Therefore, the direct movement of contaminated water by itself was a kind of vector-like mechanism that supports the indirect transmission.  </w:t>
      </w:r>
    </w:p>
    <w:p w14:paraId="030F1C2E" w14:textId="77777777" w:rsidR="00C244A9" w:rsidRDefault="00EF3F4D">
      <w:pPr>
        <w:spacing w:line="360" w:lineRule="auto"/>
        <w:jc w:val="both"/>
        <w:rPr>
          <w:rFonts w:ascii="Arial" w:eastAsia="Arial" w:hAnsi="Arial" w:cs="Arial"/>
        </w:rPr>
      </w:pPr>
      <w:bookmarkStart w:id="90" w:name="_heading=h.vao9dpl6yw0m" w:colFirst="0" w:colLast="0"/>
      <w:bookmarkEnd w:id="90"/>
      <w:r>
        <w:rPr>
          <w:rFonts w:ascii="Arial" w:eastAsia="Arial" w:hAnsi="Arial" w:cs="Arial"/>
        </w:rPr>
        <w:lastRenderedPageBreak/>
        <w:t xml:space="preserve">The indirect effect of climatic variability on the dynamics of water-borne transmission was also discovered to spread cholera. According to Jin </w:t>
      </w:r>
      <w:r>
        <w:rPr>
          <w:rFonts w:ascii="Arial" w:eastAsia="Arial" w:hAnsi="Arial" w:cs="Arial"/>
          <w:i/>
          <w:iCs/>
        </w:rPr>
        <w:t>et al.</w:t>
      </w:r>
      <w:r>
        <w:rPr>
          <w:rFonts w:ascii="Arial" w:eastAsia="Arial" w:hAnsi="Arial" w:cs="Arial"/>
        </w:rPr>
        <w:t xml:space="preserve"> (2025), incident such as El Niño-Southern Oscillation greatly changes the precipitation patterns by raising the flooding rate and water stress in the susceptible areas. This helps to reinforce the theme by demonstrating how the disruption of water systems caused by climate change can increase the sanitation breakdown and pollute the drinking water sources. The combined evidences show that the continuous existence of cholera was propagated by interrelated environmental infrastructure and climatic effects to mitigate cholera from spreading. Therefore, indirect transmission has a systematic effect of the disrupted water and sanitation of the ecosystem. </w:t>
      </w:r>
    </w:p>
    <w:p w14:paraId="75B8D3B2" w14:textId="77777777" w:rsidR="00C244A9" w:rsidRDefault="00C244A9">
      <w:pPr>
        <w:spacing w:line="360" w:lineRule="auto"/>
        <w:jc w:val="both"/>
        <w:rPr>
          <w:rFonts w:ascii="Arial" w:eastAsia="Arial" w:hAnsi="Arial" w:cs="Arial"/>
          <w:b/>
          <w:bCs/>
          <w:i/>
          <w:iCs/>
        </w:rPr>
      </w:pPr>
    </w:p>
    <w:p w14:paraId="4E9E3C57"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 xml:space="preserve">Theme 3: Translating molecular epidemiology findings into targeted cholera public health interventions </w:t>
      </w:r>
    </w:p>
    <w:p w14:paraId="277DBCEF" w14:textId="77777777" w:rsidR="00C244A9" w:rsidRDefault="00EF3F4D">
      <w:pPr>
        <w:spacing w:line="360" w:lineRule="auto"/>
        <w:jc w:val="both"/>
        <w:rPr>
          <w:rFonts w:ascii="Arial" w:eastAsia="Arial" w:hAnsi="Arial" w:cs="Arial"/>
        </w:rPr>
      </w:pPr>
      <w:r>
        <w:rPr>
          <w:rFonts w:ascii="Arial" w:eastAsia="Arial" w:hAnsi="Arial" w:cs="Arial"/>
        </w:rPr>
        <w:t xml:space="preserve">Molecular epidemiology has been demonstrated to be critical in driving targeted intervention of cholera prevention and control through the enhancement of the environmental persistence and human-environment interaction. According to Islam </w:t>
      </w:r>
      <w:r>
        <w:rPr>
          <w:rFonts w:ascii="Arial" w:eastAsia="Arial" w:hAnsi="Arial" w:cs="Arial"/>
          <w:i/>
          <w:iCs/>
        </w:rPr>
        <w:t>et al.</w:t>
      </w:r>
      <w:r>
        <w:rPr>
          <w:rFonts w:ascii="Arial" w:eastAsia="Arial" w:hAnsi="Arial" w:cs="Arial"/>
        </w:rPr>
        <w:t xml:space="preserve"> (2021), Genomic population analysis of </w:t>
      </w:r>
      <w:r>
        <w:rPr>
          <w:rFonts w:ascii="Arial" w:eastAsia="Arial" w:hAnsi="Arial" w:cs="Arial"/>
          <w:i/>
          <w:iCs/>
        </w:rPr>
        <w:t>Vibrio</w:t>
      </w:r>
      <w:r>
        <w:rPr>
          <w:rFonts w:ascii="Arial" w:eastAsia="Arial" w:hAnsi="Arial" w:cs="Arial"/>
        </w:rPr>
        <w:t xml:space="preserve"> </w:t>
      </w:r>
      <w:r>
        <w:rPr>
          <w:rFonts w:ascii="Arial" w:eastAsia="Arial" w:hAnsi="Arial" w:cs="Arial"/>
          <w:i/>
          <w:iCs/>
        </w:rPr>
        <w:t>cholerae</w:t>
      </w:r>
      <w:r>
        <w:rPr>
          <w:rFonts w:ascii="Arial" w:eastAsia="Arial" w:hAnsi="Arial" w:cs="Arial"/>
        </w:rPr>
        <w:t xml:space="preserve"> in aquatic reservoirs showed significant differences between cholera-endemic and non-endemic areas in Dhaka. Additionally, these differences have almost twice the mean environmental abundance than a cholera-free environment (2.30 x 105 vs. 1.25 x 105 gene copies per litre). This incident occurs mainly because of the prevalence of the pandemic-producing lineage, which represents about 60% of the isolates in the environment. Therefore, environmental genomic surveillance allows the systems of public health to focus on water purification, strengthening sanitation, and regular monitoring of the situation in the endemic areas of high population density. Altogether, this evidence indicates that the genomic population has the capability to inform geographically targeted areas to control cholera, measured by ranking the reservoirs with the greatest transmission potential.</w:t>
      </w:r>
    </w:p>
    <w:p w14:paraId="1DC5E2CF" w14:textId="77777777" w:rsidR="00C244A9" w:rsidRDefault="00EF3F4D">
      <w:pPr>
        <w:spacing w:line="360" w:lineRule="auto"/>
        <w:jc w:val="both"/>
        <w:rPr>
          <w:rFonts w:ascii="Arial" w:eastAsia="Arial" w:hAnsi="Arial" w:cs="Arial"/>
        </w:rPr>
      </w:pPr>
      <w:r>
        <w:rPr>
          <w:rFonts w:ascii="Arial" w:eastAsia="Arial" w:hAnsi="Arial" w:cs="Arial"/>
        </w:rPr>
        <w:t xml:space="preserve">Molecular findings also enhance the use of public health interventions when the findings are combined with other health system and policy-wide outbreak prevention strategies. Mohamed </w:t>
      </w:r>
      <w:r>
        <w:rPr>
          <w:rFonts w:ascii="Arial" w:eastAsia="Arial" w:hAnsi="Arial" w:cs="Arial"/>
          <w:i/>
          <w:iCs/>
        </w:rPr>
        <w:t>et al.</w:t>
      </w:r>
      <w:r>
        <w:rPr>
          <w:rFonts w:ascii="Arial" w:eastAsia="Arial" w:hAnsi="Arial" w:cs="Arial"/>
        </w:rPr>
        <w:t xml:space="preserve"> (2025) describes recent resurgences of cholera that occurred in the period of 2021-2023, with more than 1.3 million cases reported in more than 80 different countries. Among them, most of the cases are concentrated in areas with weak surveillance and water infrastructure. It was found that the early detection tools, predictive modelling, and integrated surveillance systems play a key role in enhancing outbreak preparedness when they are supported with molecular evidence. </w:t>
      </w:r>
      <w:r>
        <w:rPr>
          <w:rFonts w:ascii="Arial" w:eastAsia="Arial" w:hAnsi="Arial" w:cs="Arial"/>
        </w:rPr>
        <w:lastRenderedPageBreak/>
        <w:t>Furthermore, the paper stressed on the effectiveness of prevention measures like water, sanitation, and hygiene (WASH) investments, oral cholera vaccines, and local interventions through risk profiling of the epidemiology. The ability of molecular epidemiology will be translated into multisectoral action in public health through the use of matchmaking on genomic surveillance by using early-warning systems and targeted vaccination campaigns. Additionally, it was demonstrated that the incorporation of molecular data into a ‘One Health framework’ advances the coordination among environmental, clinical, and policy arenas. Therefore, molecular epidemiology provides critical evidence to support the prioritisation of interventions in high-burden contexts and enhance national cholera preparedness and response strategies.</w:t>
      </w:r>
    </w:p>
    <w:p w14:paraId="4B9AEBB3" w14:textId="77777777" w:rsidR="00C244A9" w:rsidRDefault="00EF3F4D">
      <w:pPr>
        <w:spacing w:line="360" w:lineRule="auto"/>
        <w:jc w:val="both"/>
        <w:rPr>
          <w:rFonts w:ascii="Arial" w:eastAsia="Arial" w:hAnsi="Arial" w:cs="Arial"/>
        </w:rPr>
      </w:pPr>
      <w:r>
        <w:rPr>
          <w:rFonts w:ascii="Arial" w:eastAsia="Arial" w:hAnsi="Arial" w:cs="Arial"/>
        </w:rPr>
        <w:t xml:space="preserve">Molecular characterisation of environmental isolates has also been demonstrated to give a direct contribution to intervention strategies involving antimicrobial resistance and outbreak control. Pal </w:t>
      </w:r>
      <w:r>
        <w:rPr>
          <w:rFonts w:ascii="Arial" w:eastAsia="Arial" w:hAnsi="Arial" w:cs="Arial"/>
          <w:i/>
          <w:iCs/>
        </w:rPr>
        <w:t>et al.</w:t>
      </w:r>
      <w:r>
        <w:rPr>
          <w:rFonts w:ascii="Arial" w:eastAsia="Arial" w:hAnsi="Arial" w:cs="Arial"/>
        </w:rPr>
        <w:t xml:space="preserve"> (2023) found that 85 environmental </w:t>
      </w:r>
      <w:r>
        <w:rPr>
          <w:rFonts w:ascii="Arial" w:eastAsia="Arial" w:hAnsi="Arial" w:cs="Arial"/>
          <w:i/>
          <w:iCs/>
        </w:rPr>
        <w:t>V</w:t>
      </w:r>
      <w:r>
        <w:rPr>
          <w:rFonts w:ascii="Arial" w:eastAsia="Arial" w:hAnsi="Arial" w:cs="Arial"/>
          <w:i/>
          <w:iCs/>
          <w:u w:val="single"/>
        </w:rPr>
        <w:t>.</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isolates from water sources in Odisha have been continuously diverse by their genetics and had a high prevalence of virulent genes. These insights also describe that the virus had become more multidrug-resistant over time due to such genomic mutations. Additionally, it is noted that 20% of the non-O1/non-O139 isolates contained the RBFO1 gene, which suggests concealed epidemic potential in environmental reservoirs. Moreover, resistance-associated genes, such as strB, dfrA1, sulIII, and SXT, were identified as highly prevalent, especially those of the non-O1/non-O139 gene. These results justify the specific public health measures, such as periodic monitoring of molecular water sources and antimicrobial resistance to inform treatment guidelines during a cholera outbreak. Additionally, the persistent year genetically similar pulsotypes also suggest that outbreak-capable strains were long-term environmentally maintained and mutated. Therefore, implementation of molecular resistance profiling of the surveillance systems improves the accuracy of the reaction to outbreaks and promotes evidence-based antimicrobial stewardship in the areas of cholera-endemic areas.</w:t>
      </w:r>
    </w:p>
    <w:p w14:paraId="11511D54" w14:textId="77777777" w:rsidR="00C244A9" w:rsidRDefault="00EF3F4D">
      <w:pPr>
        <w:spacing w:line="360" w:lineRule="auto"/>
        <w:jc w:val="both"/>
        <w:rPr>
          <w:rFonts w:ascii="Arial" w:eastAsia="Arial" w:hAnsi="Arial" w:cs="Arial"/>
        </w:rPr>
      </w:pPr>
      <w:r>
        <w:rPr>
          <w:rFonts w:ascii="Arial" w:eastAsia="Arial" w:hAnsi="Arial" w:cs="Arial"/>
        </w:rPr>
        <w:t xml:space="preserve">Entire-genome sequencing of clinical isolates also provides further evidence of the way molecular epidemiology can be translated into practical public health preventative measures. According to Vishal Mevada </w:t>
      </w:r>
      <w:r>
        <w:rPr>
          <w:rFonts w:ascii="Arial" w:eastAsia="Arial" w:hAnsi="Arial" w:cs="Arial"/>
          <w:i/>
          <w:iCs/>
        </w:rPr>
        <w:t>et al.</w:t>
      </w:r>
      <w:r>
        <w:rPr>
          <w:rFonts w:ascii="Arial" w:eastAsia="Arial" w:hAnsi="Arial" w:cs="Arial"/>
        </w:rPr>
        <w:t xml:space="preserve"> (2023), pan-genomic analysis on a multidrug-resistant </w:t>
      </w:r>
      <w:r>
        <w:rPr>
          <w:rFonts w:ascii="Arial" w:eastAsia="Arial" w:hAnsi="Arial" w:cs="Arial"/>
          <w:i/>
          <w:iCs/>
          <w:u w:val="single"/>
        </w:rPr>
        <w:t>Vibrio</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O1 strain revealed a genome of about 4.1 million base pairs. It carries resistant genes that allow it to resist chloramphenicol, tetracycline, sulfonamides, and trimethoprim. Additionally, there were 1,099 different sets of genes found in world isolates, which indicates the high level of genetic diversity and continuous mutation. Therefore, the genomic and pan-genomic studies incorporated in regular surveillance would significantly improve the efficiency of cholera prevention, control and response. Cut this theme 3 discussion in half. You have a word count to consider.</w:t>
      </w:r>
    </w:p>
    <w:p w14:paraId="6FDED72F" w14:textId="77777777" w:rsidR="00C244A9" w:rsidRDefault="00C244A9">
      <w:pPr>
        <w:spacing w:line="360" w:lineRule="auto"/>
        <w:jc w:val="both"/>
        <w:rPr>
          <w:rFonts w:ascii="Arial" w:eastAsia="Arial" w:hAnsi="Arial" w:cs="Arial"/>
        </w:rPr>
      </w:pPr>
    </w:p>
    <w:p w14:paraId="52F224B4" w14:textId="77777777" w:rsidR="00C244A9" w:rsidRDefault="00EF3F4D">
      <w:pPr>
        <w:pStyle w:val="Heading2"/>
        <w:ind w:firstLine="10"/>
        <w:rPr>
          <w:color w:val="000000"/>
        </w:rPr>
      </w:pPr>
      <w:bookmarkStart w:id="91" w:name="_heading=h.1t4vzm497me2" w:colFirst="0" w:colLast="0"/>
      <w:bookmarkStart w:id="92" w:name="_Toc220842128"/>
      <w:bookmarkEnd w:id="91"/>
      <w:r>
        <w:rPr>
          <w:color w:val="000000"/>
        </w:rPr>
        <w:t>4.4. Summary of the main findings</w:t>
      </w:r>
      <w:bookmarkEnd w:id="92"/>
    </w:p>
    <w:p w14:paraId="2E76E655" w14:textId="77777777" w:rsidR="00C244A9" w:rsidRDefault="00EF3F4D">
      <w:pPr>
        <w:spacing w:line="360" w:lineRule="auto"/>
        <w:jc w:val="both"/>
        <w:rPr>
          <w:rFonts w:ascii="Arial" w:eastAsia="Arial" w:hAnsi="Arial" w:cs="Arial"/>
        </w:rPr>
      </w:pPr>
      <w:r>
        <w:rPr>
          <w:rFonts w:ascii="Arial" w:eastAsia="Arial" w:hAnsi="Arial" w:cs="Arial"/>
        </w:rPr>
        <w:t xml:space="preserve">The results show that molecular epidemiology is basic in learning, identifying, and managing the indirect transmission of cholera in combined scientific and population health strategies. </w:t>
      </w:r>
    </w:p>
    <w:p w14:paraId="226F15A9"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Key finding from Theme 1</w:t>
      </w:r>
    </w:p>
    <w:p w14:paraId="1A9EB283" w14:textId="77777777" w:rsidR="00C244A9" w:rsidRDefault="00EF3F4D">
      <w:pPr>
        <w:spacing w:line="360" w:lineRule="auto"/>
        <w:jc w:val="both"/>
        <w:rPr>
          <w:rFonts w:ascii="Arial" w:eastAsia="Arial" w:hAnsi="Arial" w:cs="Arial"/>
        </w:rPr>
      </w:pPr>
      <w:r>
        <w:rPr>
          <w:rFonts w:ascii="Arial" w:eastAsia="Arial" w:hAnsi="Arial" w:cs="Arial"/>
        </w:rPr>
        <w:t xml:space="preserve">The specialised molecular methods, such as metagenomic sequencing, whole-genome sequencing, dark-field microscopy, and genomic mechanism analysis, are very successful in identifying </w:t>
      </w:r>
      <w:r>
        <w:rPr>
          <w:rFonts w:ascii="Arial" w:eastAsia="Arial" w:hAnsi="Arial" w:cs="Arial"/>
          <w:i/>
          <w:iCs/>
          <w:u w:val="single"/>
        </w:rPr>
        <w:t>Vibrio</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and determining its routes of transmission at early phases. It has been demonstrated that DNA metagenomic sequencing allows simultaneous profiling of virulence and antimicrobial resistance genes, which increases the likelihood of early outbreak detection and risk evaluation (Brumfield </w:t>
      </w:r>
      <w:r>
        <w:rPr>
          <w:rFonts w:ascii="Arial" w:eastAsia="Arial" w:hAnsi="Arial" w:cs="Arial"/>
          <w:i/>
          <w:iCs/>
        </w:rPr>
        <w:t>et al.</w:t>
      </w:r>
      <w:r>
        <w:rPr>
          <w:rFonts w:ascii="Arial" w:eastAsia="Arial" w:hAnsi="Arial" w:cs="Arial"/>
        </w:rPr>
        <w:t xml:space="preserve"> 2021). Moreover, whole-genome sequencing was discovered to determine the mobility of genetic elements related to antimicrobial resistance, and dark-field microscopy facilitated the initial diagnosis before confirming the culture (Chowdhury </w:t>
      </w:r>
      <w:r>
        <w:rPr>
          <w:rFonts w:ascii="Arial" w:eastAsia="Arial" w:hAnsi="Arial" w:cs="Arial"/>
          <w:i/>
          <w:iCs/>
        </w:rPr>
        <w:t>et al.</w:t>
      </w:r>
      <w:r>
        <w:rPr>
          <w:rFonts w:ascii="Arial" w:eastAsia="Arial" w:hAnsi="Arial" w:cs="Arial"/>
        </w:rPr>
        <w:t xml:space="preserve"> 2022). Molecular tools were also complemented by mathematical models and epidemiological frameworks, including the SIR model (Ebenezer </w:t>
      </w:r>
      <w:r>
        <w:rPr>
          <w:rFonts w:ascii="Arial" w:eastAsia="Arial" w:hAnsi="Arial" w:cs="Arial"/>
          <w:i/>
          <w:iCs/>
        </w:rPr>
        <w:t>et al.</w:t>
      </w:r>
      <w:r>
        <w:rPr>
          <w:rFonts w:ascii="Arial" w:eastAsia="Arial" w:hAnsi="Arial" w:cs="Arial"/>
        </w:rPr>
        <w:t xml:space="preserve"> 2025). That can be used to forecast transmission dynamics to support the value of the combination of molecular and theoretical methods in accurate surveillance of Cholera. </w:t>
      </w:r>
    </w:p>
    <w:p w14:paraId="55331551" w14:textId="77777777" w:rsidR="00C244A9" w:rsidRDefault="00EF3F4D">
      <w:pPr>
        <w:spacing w:line="360" w:lineRule="auto"/>
        <w:jc w:val="both"/>
        <w:rPr>
          <w:rFonts w:ascii="Arial" w:eastAsia="Arial" w:hAnsi="Arial" w:cs="Arial"/>
        </w:rPr>
      </w:pPr>
      <w:r>
        <w:rPr>
          <w:rFonts w:ascii="Arial" w:eastAsia="Arial" w:hAnsi="Arial" w:cs="Arial"/>
        </w:rPr>
        <w:t xml:space="preserve">It is observed that contaminated water sources act as a major channel in relevance to transmitting Vibrio Cholerae among a vast population in a specific environment. In turn, the implementation of molecular methods proved beneficial in detecting and examining the spreading routes of Vibrio Cholerae. As per the findings of Brumfield </w:t>
      </w:r>
      <w:r>
        <w:rPr>
          <w:rFonts w:ascii="Arial" w:eastAsia="Arial" w:hAnsi="Arial" w:cs="Arial"/>
          <w:i/>
          <w:iCs/>
        </w:rPr>
        <w:t xml:space="preserve">et al. </w:t>
      </w:r>
      <w:r>
        <w:rPr>
          <w:rFonts w:ascii="Arial" w:eastAsia="Arial" w:hAnsi="Arial" w:cs="Arial"/>
        </w:rPr>
        <w:t xml:space="preserve">(2021), High-throughput Sequencing delivers crucial and accurate insights into the process that Vibrio Cholerae adopts to spread rapidly in the environment and the specific mechanisms by which Vibrio Cholerae are likely to cause severe health disorders. Additionally, the application of molecular techniques like High-throughput Sequencing is crucial in terms of monitoring disease outbreaks in real-time to further handle and overcome associated threats. On the other hand, Chowdhury </w:t>
      </w:r>
      <w:r>
        <w:rPr>
          <w:rFonts w:ascii="Arial" w:eastAsia="Arial" w:hAnsi="Arial" w:cs="Arial"/>
          <w:i/>
          <w:iCs/>
        </w:rPr>
        <w:t xml:space="preserve">et al. </w:t>
      </w:r>
      <w:r>
        <w:rPr>
          <w:rFonts w:ascii="Arial" w:eastAsia="Arial" w:hAnsi="Arial" w:cs="Arial"/>
        </w:rPr>
        <w:t xml:space="preserve">(2022) found that an Early-warning Surveillance System combined with an improved laboratory culture capacity and dedicated healthcare facilities can be advantageous in detecting the spread of cholera cases. As a result, implementing Early-warning Surveillance Systems can prove beneficial in detecting the spreading routes of Vibrio Cholerae in a particular environment and make people aware in an effective way. Thus, implementing technological advancements seems to be another vital technique in terms of detecting the transmission routes of </w:t>
      </w:r>
      <w:r>
        <w:rPr>
          <w:rFonts w:ascii="Arial" w:eastAsia="Arial" w:hAnsi="Arial" w:cs="Arial"/>
          <w:i/>
          <w:iCs/>
        </w:rPr>
        <w:t>Vibrio Cholerae</w:t>
      </w:r>
      <w:r>
        <w:rPr>
          <w:rFonts w:ascii="Arial" w:eastAsia="Arial" w:hAnsi="Arial" w:cs="Arial"/>
        </w:rPr>
        <w:t xml:space="preserve"> at an early stage.  </w:t>
      </w:r>
    </w:p>
    <w:p w14:paraId="23C5BA71" w14:textId="77777777" w:rsidR="00C244A9" w:rsidRDefault="00C244A9">
      <w:pPr>
        <w:spacing w:line="360" w:lineRule="auto"/>
        <w:jc w:val="both"/>
        <w:rPr>
          <w:rFonts w:ascii="Arial" w:eastAsia="Arial" w:hAnsi="Arial" w:cs="Arial"/>
        </w:rPr>
      </w:pPr>
    </w:p>
    <w:p w14:paraId="738E37BF" w14:textId="77777777" w:rsidR="00C244A9" w:rsidRDefault="00EF3F4D">
      <w:pPr>
        <w:spacing w:line="360" w:lineRule="auto"/>
        <w:jc w:val="both"/>
        <w:rPr>
          <w:rFonts w:ascii="Arial" w:eastAsia="Arial" w:hAnsi="Arial" w:cs="Arial"/>
        </w:rPr>
      </w:pPr>
      <w:r>
        <w:rPr>
          <w:rFonts w:ascii="Arial" w:eastAsia="Arial" w:hAnsi="Arial" w:cs="Arial"/>
        </w:rPr>
        <w:t xml:space="preserve">The application of effective technological and molecular techniques turned out to be beneficial in order to predict and identify the transmission procedures and routes of </w:t>
      </w:r>
      <w:r>
        <w:rPr>
          <w:rFonts w:ascii="Arial" w:eastAsia="Arial" w:hAnsi="Arial" w:cs="Arial"/>
          <w:i/>
          <w:iCs/>
        </w:rPr>
        <w:t>Vibrio Cholerae</w:t>
      </w:r>
      <w:r>
        <w:rPr>
          <w:rFonts w:ascii="Arial" w:eastAsia="Arial" w:hAnsi="Arial" w:cs="Arial"/>
        </w:rPr>
        <w:t xml:space="preserve"> in the environment. However, the article by Ebenezer </w:t>
      </w:r>
      <w:r>
        <w:rPr>
          <w:rFonts w:ascii="Arial" w:eastAsia="Arial" w:hAnsi="Arial" w:cs="Arial"/>
          <w:i/>
          <w:iCs/>
        </w:rPr>
        <w:t xml:space="preserve">et al. </w:t>
      </w:r>
      <w:r>
        <w:rPr>
          <w:rFonts w:ascii="Arial" w:eastAsia="Arial" w:hAnsi="Arial" w:cs="Arial"/>
        </w:rPr>
        <w:t xml:space="preserve">(2025) identified that person-to-person transmission has been observed to be a major route for </w:t>
      </w:r>
      <w:r>
        <w:rPr>
          <w:rFonts w:ascii="Arial" w:eastAsia="Arial" w:hAnsi="Arial" w:cs="Arial"/>
          <w:i/>
          <w:iCs/>
        </w:rPr>
        <w:t>Vibrio Cholerae</w:t>
      </w:r>
      <w:r>
        <w:rPr>
          <w:rFonts w:ascii="Arial" w:eastAsia="Arial" w:hAnsi="Arial" w:cs="Arial"/>
        </w:rPr>
        <w:t xml:space="preserve"> to transmit rapidly and in an uncontrollable manner. In this regard, appropriate and proactive public health measures are likely to be implemented in order to address the rapid spreading process of </w:t>
      </w:r>
      <w:r>
        <w:rPr>
          <w:rFonts w:ascii="Arial" w:eastAsia="Arial" w:hAnsi="Arial" w:cs="Arial"/>
          <w:i/>
          <w:iCs/>
        </w:rPr>
        <w:t>Vibrio Cholerae</w:t>
      </w:r>
      <w:r>
        <w:rPr>
          <w:rFonts w:ascii="Arial" w:eastAsia="Arial" w:hAnsi="Arial" w:cs="Arial"/>
        </w:rPr>
        <w:t xml:space="preserve"> across any given environment or population. Apart from this, Chowdhury </w:t>
      </w:r>
      <w:r>
        <w:rPr>
          <w:rFonts w:ascii="Arial" w:eastAsia="Arial" w:hAnsi="Arial" w:cs="Arial"/>
          <w:i/>
          <w:iCs/>
        </w:rPr>
        <w:t xml:space="preserve">et al. </w:t>
      </w:r>
      <w:r>
        <w:rPr>
          <w:rFonts w:ascii="Arial" w:eastAsia="Arial" w:hAnsi="Arial" w:cs="Arial"/>
        </w:rPr>
        <w:t xml:space="preserve">(2022) observed that Biochemical methods and Immunochemical methods are likely to be proactively utilised in the context of characterising the Biochemical features of </w:t>
      </w:r>
      <w:r>
        <w:rPr>
          <w:rFonts w:ascii="Arial" w:eastAsia="Arial" w:hAnsi="Arial" w:cs="Arial"/>
          <w:i/>
          <w:iCs/>
        </w:rPr>
        <w:t>Vibrio Cholerae</w:t>
      </w:r>
      <w:r>
        <w:rPr>
          <w:rFonts w:ascii="Arial" w:eastAsia="Arial" w:hAnsi="Arial" w:cs="Arial"/>
        </w:rPr>
        <w:t xml:space="preserve">. As a consequence, healthcare experts or organisations seem to put stress on using Biochemical and Immunochemical methods, apart from molecular techniques, in terms of detecting the process and route of </w:t>
      </w:r>
      <w:r>
        <w:rPr>
          <w:rFonts w:ascii="Arial" w:eastAsia="Arial" w:hAnsi="Arial" w:cs="Arial"/>
          <w:i/>
          <w:iCs/>
        </w:rPr>
        <w:t>Virbio Cholerae’s</w:t>
      </w:r>
      <w:r>
        <w:rPr>
          <w:rFonts w:ascii="Arial" w:eastAsia="Arial" w:hAnsi="Arial" w:cs="Arial"/>
        </w:rPr>
        <w:t xml:space="preserve"> transmission in the environment. On the other hand, Ebenezer </w:t>
      </w:r>
      <w:r>
        <w:rPr>
          <w:rFonts w:ascii="Arial" w:eastAsia="Arial" w:hAnsi="Arial" w:cs="Arial"/>
          <w:i/>
          <w:iCs/>
        </w:rPr>
        <w:t xml:space="preserve">et al. </w:t>
      </w:r>
      <w:r>
        <w:rPr>
          <w:rFonts w:ascii="Arial" w:eastAsia="Arial" w:hAnsi="Arial" w:cs="Arial"/>
        </w:rPr>
        <w:t xml:space="preserve">(2025) found that the implementation of Mathematical Modelling is likely to be suitable and useful in relevance to predicting and comprehending the dynamics of Cholera transmission. Thus, the Mathematical Modelling technique is also valuable in detecting the spread of </w:t>
      </w:r>
      <w:r>
        <w:rPr>
          <w:rFonts w:ascii="Arial" w:eastAsia="Arial" w:hAnsi="Arial" w:cs="Arial"/>
          <w:i/>
          <w:iCs/>
        </w:rPr>
        <w:t>Vibrio Cholerae</w:t>
      </w:r>
      <w:r>
        <w:rPr>
          <w:rFonts w:ascii="Arial" w:eastAsia="Arial" w:hAnsi="Arial" w:cs="Arial"/>
        </w:rPr>
        <w:t xml:space="preserve"> effectively. </w:t>
      </w:r>
    </w:p>
    <w:p w14:paraId="31FD8B28"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Key finding from Theme 2</w:t>
      </w:r>
    </w:p>
    <w:p w14:paraId="66D03F3E" w14:textId="77777777" w:rsidR="00C244A9" w:rsidRDefault="00EF3F4D">
      <w:pPr>
        <w:spacing w:line="360" w:lineRule="auto"/>
        <w:jc w:val="both"/>
        <w:rPr>
          <w:rFonts w:ascii="Arial" w:eastAsia="Arial" w:hAnsi="Arial" w:cs="Arial"/>
        </w:rPr>
      </w:pPr>
      <w:r>
        <w:rPr>
          <w:rFonts w:ascii="Arial" w:eastAsia="Arial" w:hAnsi="Arial" w:cs="Arial"/>
        </w:rPr>
        <w:t xml:space="preserve">Environmental factors and infrastructural factors are the most important determinants of indirect transmission of cholera, especially the sources of water, sanitation systems, and vectors. The water and wastewater sources and household effluents were sources of environmental pollution as they provide an indirect exposure in informal settlements that are densely populated (Mageto </w:t>
      </w:r>
      <w:r>
        <w:rPr>
          <w:rFonts w:ascii="Arial" w:eastAsia="Arial" w:hAnsi="Arial" w:cs="Arial"/>
          <w:i/>
          <w:iCs/>
        </w:rPr>
        <w:t>et al.</w:t>
      </w:r>
      <w:r>
        <w:rPr>
          <w:rFonts w:ascii="Arial" w:eastAsia="Arial" w:hAnsi="Arial" w:cs="Arial"/>
        </w:rPr>
        <w:t xml:space="preserve"> 2025). The lack of proper sanitation infrastructure, open sewage and poor waste management were identified to contribute to faecal pollution of common water systems that perpetuated the long-term risk of cholera. The genetic diversity and survival of </w:t>
      </w:r>
      <w:r>
        <w:rPr>
          <w:rFonts w:ascii="Arial" w:eastAsia="Arial" w:hAnsi="Arial" w:cs="Arial"/>
          <w:i/>
          <w:iCs/>
        </w:rPr>
        <w:t>V</w:t>
      </w:r>
      <w:r>
        <w:rPr>
          <w:rFonts w:ascii="Arial" w:eastAsia="Arial" w:hAnsi="Arial" w:cs="Arial"/>
          <w:i/>
          <w:iCs/>
          <w:u w:val="single"/>
        </w:rPr>
        <w:t>.</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in aquatic environments, without toxic genes, were also supported by genomic analyses, which further confirmed that aquatic environments form evolutionary reservoirs (Mageto </w:t>
      </w:r>
      <w:r>
        <w:rPr>
          <w:rFonts w:ascii="Arial" w:eastAsia="Arial" w:hAnsi="Arial" w:cs="Arial"/>
          <w:i/>
          <w:iCs/>
        </w:rPr>
        <w:t>et al.</w:t>
      </w:r>
      <w:r>
        <w:rPr>
          <w:rFonts w:ascii="Arial" w:eastAsia="Arial" w:hAnsi="Arial" w:cs="Arial"/>
        </w:rPr>
        <w:t xml:space="preserve"> 2025). Flood and disruption of water systems were found to be aggravated by the climate variability, such as El Niño-Southern Oscillation incidences (Jin </w:t>
      </w:r>
      <w:r>
        <w:rPr>
          <w:rFonts w:ascii="Arial" w:eastAsia="Arial" w:hAnsi="Arial" w:cs="Arial"/>
          <w:i/>
          <w:iCs/>
        </w:rPr>
        <w:t>et al.</w:t>
      </w:r>
      <w:r>
        <w:rPr>
          <w:rFonts w:ascii="Arial" w:eastAsia="Arial" w:hAnsi="Arial" w:cs="Arial"/>
        </w:rPr>
        <w:t xml:space="preserve"> 2025). That indirectly led to the dissemination of cholera due to sanitation failure. The pathogen also spreads across communities without direct human interaction, by using water flow and domestic flies, which are the pathways of vectors.</w:t>
      </w:r>
    </w:p>
    <w:p w14:paraId="5E1712D3" w14:textId="77777777" w:rsidR="00C244A9" w:rsidRDefault="00C244A9">
      <w:pPr>
        <w:spacing w:line="360" w:lineRule="auto"/>
        <w:jc w:val="both"/>
        <w:rPr>
          <w:rFonts w:ascii="Arial" w:eastAsia="Arial" w:hAnsi="Arial" w:cs="Arial"/>
        </w:rPr>
      </w:pPr>
    </w:p>
    <w:p w14:paraId="363A18AC" w14:textId="77777777" w:rsidR="00C244A9" w:rsidRDefault="00EF3F4D">
      <w:pPr>
        <w:spacing w:line="360" w:lineRule="auto"/>
        <w:jc w:val="both"/>
        <w:rPr>
          <w:rFonts w:ascii="Arial" w:eastAsia="Arial" w:hAnsi="Arial" w:cs="Arial"/>
        </w:rPr>
      </w:pPr>
      <w:r>
        <w:rPr>
          <w:rFonts w:ascii="Arial" w:eastAsia="Arial" w:hAnsi="Arial" w:cs="Arial"/>
        </w:rPr>
        <w:t xml:space="preserve">Cholera is a transmitted disease which commonly spreads from indirect transmission, such as water sources, sanitation and other vector pathways. Sanitation is required in the social areas to ensure safety and support health wellbeing. Contaminated drinking water sourced from wells, tap or other polluted areas can spread the molecule of cholera and create the situation of vulnerability. As per the study by Jin </w:t>
      </w:r>
      <w:r>
        <w:rPr>
          <w:rFonts w:ascii="Arial" w:eastAsia="Arial" w:hAnsi="Arial" w:cs="Arial"/>
          <w:i/>
          <w:iCs/>
        </w:rPr>
        <w:t>et al.</w:t>
      </w:r>
      <w:r>
        <w:rPr>
          <w:rFonts w:ascii="Arial" w:eastAsia="Arial" w:hAnsi="Arial" w:cs="Arial"/>
        </w:rPr>
        <w:t xml:space="preserve"> (2025) changing climate conditions and vegetation often affect the regular environmental situation and also lead to the issue of poor health conditions. The use of contaminated water in the vegetation can raise the scope of spreading cholera in a large population. In countries, such as Asia, maritime content and Australia the cases of indirect transmission are increasing for lack of awareness and proactive health mechanisms. In such areas urgency is strongly required among the government and healthcare bodies to control the severity level of cholera from the sources. On the contrary, Lotoux </w:t>
      </w:r>
      <w:r>
        <w:rPr>
          <w:rFonts w:ascii="Arial" w:eastAsia="Arial" w:hAnsi="Arial" w:cs="Arial"/>
          <w:i/>
          <w:iCs/>
        </w:rPr>
        <w:t>et al.</w:t>
      </w:r>
      <w:r>
        <w:rPr>
          <w:rFonts w:ascii="Arial" w:eastAsia="Arial" w:hAnsi="Arial" w:cs="Arial"/>
        </w:rPr>
        <w:t xml:space="preserve"> (2022) added that due to Listeriosis a several numbers of people are getting hospitalised due to lack of safety act and awareness in the societal conditions. Regarding this, maintaining sanitation is necessary on food, drainage and vegetation systems to avoid the cases of cholera in future.</w:t>
      </w:r>
    </w:p>
    <w:p w14:paraId="6DD1472A" w14:textId="77777777" w:rsidR="00C244A9" w:rsidRDefault="00EF3F4D">
      <w:pPr>
        <w:spacing w:line="360" w:lineRule="auto"/>
        <w:jc w:val="both"/>
        <w:rPr>
          <w:rFonts w:ascii="Arial" w:eastAsia="Arial" w:hAnsi="Arial" w:cs="Arial"/>
        </w:rPr>
      </w:pPr>
      <w:r>
        <w:rPr>
          <w:rFonts w:ascii="Arial" w:eastAsia="Arial" w:hAnsi="Arial" w:cs="Arial"/>
        </w:rPr>
        <w:t xml:space="preserve">Poor sanitation in the regular surface areas lead to the issue of defecation and inadequate waste management practices increase the scope of water contamination. In the underdeveloped and developing countries, the cases of contamination from water and lack of waste management is very high. Regarding this, the molecular factors existing in the environment are widely getting spreaded in the unsanitised places. The study of Lotoux </w:t>
      </w:r>
      <w:r>
        <w:rPr>
          <w:rFonts w:ascii="Arial" w:eastAsia="Arial" w:hAnsi="Arial" w:cs="Arial"/>
          <w:i/>
          <w:iCs/>
        </w:rPr>
        <w:t>et al.</w:t>
      </w:r>
      <w:r>
        <w:rPr>
          <w:rFonts w:ascii="Arial" w:eastAsia="Arial" w:hAnsi="Arial" w:cs="Arial"/>
        </w:rPr>
        <w:t xml:space="preserve"> (2022) identified that inadequate waste management practices on water resources and food affects the infrastructure and causes outbreaks. Regarding this, the scope of higher contamination rises and a large group of population are facing health risks. Interventions through the way of latrines and waste disposal are majorly leading towards the case of outbreaks in the urban areas. Polluted areas often transmit contaminated water in the environment which carry the molecule of cholera and affect the health wellbeing of the common people living in the surrounding lands. As identified by Jin </w:t>
      </w:r>
      <w:r>
        <w:rPr>
          <w:rFonts w:ascii="Arial" w:eastAsia="Arial" w:hAnsi="Arial" w:cs="Arial"/>
          <w:i/>
          <w:iCs/>
        </w:rPr>
        <w:t>et al.</w:t>
      </w:r>
      <w:r>
        <w:rPr>
          <w:rFonts w:ascii="Arial" w:eastAsia="Arial" w:hAnsi="Arial" w:cs="Arial"/>
        </w:rPr>
        <w:t xml:space="preserve"> (2025) in the countries, such as Asia, under-developed or slum areas mostly face issues of indirect transmission due to lack of sanitation and care approach. This can contribute in generating value and reducing the severity level of the transmission cases across the world.</w:t>
      </w:r>
    </w:p>
    <w:p w14:paraId="10A3F771" w14:textId="77777777" w:rsidR="00C244A9" w:rsidRDefault="00EF3F4D">
      <w:pPr>
        <w:spacing w:line="360" w:lineRule="auto"/>
        <w:jc w:val="both"/>
        <w:rPr>
          <w:rFonts w:ascii="Arial" w:eastAsia="Arial" w:hAnsi="Arial" w:cs="Arial"/>
        </w:rPr>
      </w:pPr>
      <w:r>
        <w:rPr>
          <w:rFonts w:ascii="Arial" w:eastAsia="Arial" w:hAnsi="Arial" w:cs="Arial"/>
        </w:rPr>
        <w:t xml:space="preserve">Vector pathways also play a significant role in the contamination of resources as they directly carry the molecules and cause an outbreak. It has been identified that vector pathways are a direct way of spreading cholera viruses through the domestic flies from faeces to food or water due to severe outbreaks. As per the study by Mageto </w:t>
      </w:r>
      <w:r>
        <w:rPr>
          <w:rFonts w:ascii="Arial" w:eastAsia="Arial" w:hAnsi="Arial" w:cs="Arial"/>
          <w:i/>
          <w:iCs/>
        </w:rPr>
        <w:t>et al.</w:t>
      </w:r>
      <w:r>
        <w:rPr>
          <w:rFonts w:ascii="Arial" w:eastAsia="Arial" w:hAnsi="Arial" w:cs="Arial"/>
        </w:rPr>
        <w:t xml:space="preserve"> (2025) in Kenya cholera is considered </w:t>
      </w:r>
      <w:r>
        <w:rPr>
          <w:rFonts w:ascii="Arial" w:eastAsia="Arial" w:hAnsi="Arial" w:cs="Arial"/>
        </w:rPr>
        <w:lastRenderedPageBreak/>
        <w:t xml:space="preserve">as a severe public health challenge due to lack of prevention control and below the standards health service qualities. Along with this, the current research also identified that places, such as Uganda, Tanzania, and Haiti are dealing with such issues which are negatively affecting the health conditions of the common people due to clinical isolates. For example, in 1961 countries of Africa including Zambia, Zimbabwe, Tanzania, and Uganda faced a major severity level and people loss due to the cause of cholera. On the contrary, Jin </w:t>
      </w:r>
      <w:r>
        <w:rPr>
          <w:rFonts w:ascii="Arial" w:eastAsia="Arial" w:hAnsi="Arial" w:cs="Arial"/>
          <w:i/>
          <w:iCs/>
        </w:rPr>
        <w:t>et al.</w:t>
      </w:r>
      <w:r>
        <w:rPr>
          <w:rFonts w:ascii="Arial" w:eastAsia="Arial" w:hAnsi="Arial" w:cs="Arial"/>
        </w:rPr>
        <w:t xml:space="preserve"> (2025) identified that poor vegetation in the global areas due to the use of excessive chemicals are affecting the social and health conditions. From the areas of vegetation, contaminated or polluted water spreads to the water bodies and lands which raise the risk of health hazards in the societal areas. From the waste areas flies carry bacteria and virus to the foods and other surfaces which directly transmit the scope of cholera issue among the populations. Regarding this waste management practices with proactive action is required to control the cases of transmission and reduce its severity level as well. Hence, in future support of society and government to the healthcare organisation are strongly required in improving the cases of health issues and ensure health safety as well.</w:t>
      </w:r>
    </w:p>
    <w:p w14:paraId="7D587427" w14:textId="77777777" w:rsidR="00C244A9" w:rsidRDefault="00EF3F4D">
      <w:pPr>
        <w:spacing w:line="360" w:lineRule="auto"/>
        <w:jc w:val="both"/>
        <w:rPr>
          <w:rFonts w:ascii="Arial" w:eastAsia="Arial" w:hAnsi="Arial" w:cs="Arial"/>
          <w:b/>
          <w:bCs/>
          <w:i/>
          <w:iCs/>
        </w:rPr>
      </w:pPr>
      <w:r>
        <w:rPr>
          <w:rFonts w:ascii="Arial" w:eastAsia="Arial" w:hAnsi="Arial" w:cs="Arial"/>
          <w:b/>
          <w:bCs/>
          <w:i/>
          <w:iCs/>
        </w:rPr>
        <w:t>Key finding from Theme 3</w:t>
      </w:r>
    </w:p>
    <w:p w14:paraId="456CEEA9" w14:textId="77777777" w:rsidR="00C244A9" w:rsidRDefault="00EF3F4D">
      <w:pPr>
        <w:spacing w:line="360" w:lineRule="auto"/>
        <w:jc w:val="both"/>
        <w:rPr>
          <w:rFonts w:ascii="Arial" w:eastAsia="Arial" w:hAnsi="Arial" w:cs="Arial"/>
        </w:rPr>
      </w:pPr>
      <w:r>
        <w:rPr>
          <w:rFonts w:ascii="Arial" w:eastAsia="Arial" w:hAnsi="Arial" w:cs="Arial"/>
        </w:rPr>
        <w:t xml:space="preserve">The translation of molecular epidemiological findings into specific public health interventions to ensure successful cholera prevention and control. The environmental abundance of pandemic </w:t>
      </w:r>
      <w:r>
        <w:rPr>
          <w:rFonts w:ascii="Arial" w:eastAsia="Arial" w:hAnsi="Arial" w:cs="Arial"/>
          <w:i/>
          <w:iCs/>
          <w:u w:val="single"/>
        </w:rPr>
        <w:t>V.</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lineages was found to be more than 10 times higher in endemic areas by genomic population studies (Islam </w:t>
      </w:r>
      <w:r>
        <w:rPr>
          <w:rFonts w:ascii="Arial" w:eastAsia="Arial" w:hAnsi="Arial" w:cs="Arial"/>
          <w:i/>
          <w:iCs/>
        </w:rPr>
        <w:t>et al.</w:t>
      </w:r>
      <w:r>
        <w:rPr>
          <w:rFonts w:ascii="Arial" w:eastAsia="Arial" w:hAnsi="Arial" w:cs="Arial"/>
        </w:rPr>
        <w:t xml:space="preserve"> 2021). These studies justified water treatment and sanitation interventions based on geographical priorities. Combining molecular surveillance with early-warning systems, WASH measures, oral cholera immunisation, and One Health frameworks was also revealed to improve the preparedness and response to outbreaks (Mohamed </w:t>
      </w:r>
      <w:r>
        <w:rPr>
          <w:rFonts w:ascii="Arial" w:eastAsia="Arial" w:hAnsi="Arial" w:cs="Arial"/>
          <w:i/>
          <w:iCs/>
        </w:rPr>
        <w:t>et al.</w:t>
      </w:r>
      <w:r>
        <w:rPr>
          <w:rFonts w:ascii="Arial" w:eastAsia="Arial" w:hAnsi="Arial" w:cs="Arial"/>
        </w:rPr>
        <w:t xml:space="preserve"> 2025). Additionally, these surveillance efforts were done especially in high-burden environments with a poor infrastructure. Worldwide antimicrobial resistance and secret epidemic potential were identified through molecular characterisation of environmental and clinical isolates (Pal </w:t>
      </w:r>
      <w:r>
        <w:rPr>
          <w:rFonts w:ascii="Arial" w:eastAsia="Arial" w:hAnsi="Arial" w:cs="Arial"/>
          <w:i/>
          <w:iCs/>
        </w:rPr>
        <w:t>et al.</w:t>
      </w:r>
      <w:r>
        <w:rPr>
          <w:rFonts w:ascii="Arial" w:eastAsia="Arial" w:hAnsi="Arial" w:cs="Arial"/>
        </w:rPr>
        <w:t xml:space="preserve"> 2023). These support the routine monitoring of resistance to inform treatment guidelines and stewardship programs (Vishal Mevada </w:t>
      </w:r>
      <w:r>
        <w:rPr>
          <w:rFonts w:ascii="Arial" w:eastAsia="Arial" w:hAnsi="Arial" w:cs="Arial"/>
          <w:i/>
          <w:iCs/>
        </w:rPr>
        <w:t>et al.</w:t>
      </w:r>
      <w:r>
        <w:rPr>
          <w:rFonts w:ascii="Arial" w:eastAsia="Arial" w:hAnsi="Arial" w:cs="Arial"/>
        </w:rPr>
        <w:t xml:space="preserve"> 2023). Altogether, these findings describe that integrating molecular tools with environmental, climatic, and health-system interventions has a significant contribution to enhancing surveillance, prevention and control measures in cholera prevention.</w:t>
      </w:r>
    </w:p>
    <w:p w14:paraId="7F0C91D9" w14:textId="77777777" w:rsidR="00C244A9" w:rsidRDefault="00EF3F4D">
      <w:pPr>
        <w:pStyle w:val="Heading2"/>
        <w:ind w:firstLine="10"/>
        <w:rPr>
          <w:color w:val="000000"/>
        </w:rPr>
      </w:pPr>
      <w:bookmarkStart w:id="93" w:name="_heading=h.gieipy4co7k" w:colFirst="0" w:colLast="0"/>
      <w:bookmarkStart w:id="94" w:name="_Toc220842129"/>
      <w:bookmarkEnd w:id="93"/>
      <w:r>
        <w:rPr>
          <w:color w:val="000000"/>
        </w:rPr>
        <w:lastRenderedPageBreak/>
        <w:t>4.5 Summary of the Chapter</w:t>
      </w:r>
      <w:bookmarkEnd w:id="94"/>
      <w:r>
        <w:rPr>
          <w:color w:val="000000"/>
        </w:rPr>
        <w:t xml:space="preserve"> </w:t>
      </w:r>
    </w:p>
    <w:p w14:paraId="20442479" w14:textId="77777777" w:rsidR="00C244A9" w:rsidRDefault="00EF3F4D">
      <w:pPr>
        <w:tabs>
          <w:tab w:val="left" w:pos="945"/>
        </w:tabs>
        <w:spacing w:line="360" w:lineRule="auto"/>
        <w:jc w:val="both"/>
        <w:rPr>
          <w:rFonts w:ascii="Arial" w:eastAsia="Arial" w:hAnsi="Arial" w:cs="Arial"/>
        </w:rPr>
      </w:pPr>
      <w:r>
        <w:rPr>
          <w:rFonts w:ascii="Arial" w:eastAsia="Arial" w:hAnsi="Arial" w:cs="Arial"/>
        </w:rPr>
        <w:t xml:space="preserve">This chapter summarised the evidence that proved that molecular epidemiology is key in detecting, comprehending, and managing indirect cholera transmission. High-tech molecular techniques allowed the discovery of the pathways of early transmission. However, indirect transmission was enhanced by environmental and infrastructure-integrated conditions, such as unsafe water, deplorable hygiene, and the changeability of weather. The combination of molecular results with community health measures enhanced the surveillance, outbreak preparedness, antimicrobial stewardship, and focused prevention to reinforce overall cholera control. </w:t>
      </w:r>
    </w:p>
    <w:p w14:paraId="71380C7F" w14:textId="77777777" w:rsidR="00C244A9" w:rsidRDefault="00EF3F4D">
      <w:pPr>
        <w:spacing w:after="0"/>
      </w:pPr>
      <w:r>
        <w:tab/>
      </w:r>
      <w:r>
        <w:rPr>
          <w:b/>
          <w:bCs/>
        </w:rPr>
        <w:t xml:space="preserve"> </w:t>
      </w:r>
    </w:p>
    <w:p w14:paraId="0E445C7A" w14:textId="77777777" w:rsidR="00C244A9" w:rsidRDefault="00EF3F4D">
      <w:pPr>
        <w:rPr>
          <w:b/>
          <w:bCs/>
          <w:sz w:val="24"/>
          <w:szCs w:val="24"/>
        </w:rPr>
      </w:pPr>
      <w:r>
        <w:br w:type="page"/>
      </w:r>
    </w:p>
    <w:p w14:paraId="6F9C5D01" w14:textId="77777777" w:rsidR="00C244A9" w:rsidRDefault="00EF3F4D">
      <w:pPr>
        <w:pStyle w:val="Heading1"/>
        <w:ind w:left="12" w:right="3" w:firstLine="0"/>
      </w:pPr>
      <w:bookmarkStart w:id="95" w:name="_Toc220786089"/>
      <w:bookmarkStart w:id="96" w:name="_Toc220842130"/>
      <w:r>
        <w:lastRenderedPageBreak/>
        <w:t>Chapter 5: Discussion</w:t>
      </w:r>
      <w:bookmarkEnd w:id="95"/>
      <w:bookmarkEnd w:id="96"/>
      <w:r>
        <w:t xml:space="preserve"> </w:t>
      </w:r>
    </w:p>
    <w:p w14:paraId="5CA8E167" w14:textId="77777777" w:rsidR="00C244A9" w:rsidRDefault="00EF3F4D">
      <w:pPr>
        <w:spacing w:after="254"/>
      </w:pPr>
      <w:r>
        <w:t xml:space="preserve"> </w:t>
      </w:r>
    </w:p>
    <w:p w14:paraId="55DC17F0" w14:textId="77777777" w:rsidR="00C244A9" w:rsidRDefault="00EF3F4D">
      <w:pPr>
        <w:pStyle w:val="Heading2"/>
        <w:ind w:firstLine="10"/>
        <w:rPr>
          <w:color w:val="000000"/>
        </w:rPr>
      </w:pPr>
      <w:bookmarkStart w:id="97" w:name="_heading=h.h6lwluls8nwz" w:colFirst="0" w:colLast="0"/>
      <w:bookmarkStart w:id="98" w:name="_Toc220842131"/>
      <w:bookmarkEnd w:id="97"/>
      <w:r>
        <w:rPr>
          <w:color w:val="000000"/>
        </w:rPr>
        <w:t>5.1 Introduction</w:t>
      </w:r>
      <w:bookmarkEnd w:id="98"/>
      <w:r>
        <w:rPr>
          <w:color w:val="000000"/>
        </w:rPr>
        <w:t xml:space="preserve"> </w:t>
      </w:r>
    </w:p>
    <w:p w14:paraId="778F4520" w14:textId="77777777" w:rsidR="00C244A9" w:rsidRDefault="00EF3F4D">
      <w:pPr>
        <w:spacing w:line="360" w:lineRule="auto"/>
        <w:jc w:val="both"/>
        <w:rPr>
          <w:rFonts w:ascii="Arial" w:eastAsia="Arial" w:hAnsi="Arial" w:cs="Arial"/>
        </w:rPr>
      </w:pPr>
      <w:r>
        <w:rPr>
          <w:rFonts w:ascii="Arial" w:eastAsia="Arial" w:hAnsi="Arial" w:cs="Arial"/>
        </w:rPr>
        <w:t xml:space="preserve">In this chapter, the most important findings are critically discussed in comparison to the existing literature. The competitive analysis assesses the contribution of molecular epidemiology, environmental determinants, and the role of public health interventions to prevent and control the indirect transmission of cholera. The convergent and divergent areas of the dissertation and expanding spheres of existing knowledge are analysed in a systematic way in this chapter. This chapter also discusses the practical implications and strengths of the research. Moreover, the methodological limitation of the research signifies the necessity of further research that will open a versatile approach in this chapter. </w:t>
      </w:r>
    </w:p>
    <w:p w14:paraId="4E5BCEE4" w14:textId="77777777" w:rsidR="00C244A9" w:rsidRDefault="00C244A9">
      <w:pPr>
        <w:pStyle w:val="Heading2"/>
        <w:ind w:firstLine="10"/>
        <w:rPr>
          <w:color w:val="000000"/>
        </w:rPr>
      </w:pPr>
      <w:bookmarkStart w:id="99" w:name="_heading=h.bmcawcuo0u" w:colFirst="0" w:colLast="0"/>
      <w:bookmarkEnd w:id="99"/>
    </w:p>
    <w:p w14:paraId="331CDAD1" w14:textId="77777777" w:rsidR="00C244A9" w:rsidRDefault="00EF3F4D">
      <w:pPr>
        <w:pStyle w:val="Heading2"/>
        <w:ind w:firstLine="10"/>
        <w:rPr>
          <w:color w:val="000000"/>
        </w:rPr>
      </w:pPr>
      <w:bookmarkStart w:id="100" w:name="_Toc220842132"/>
      <w:r>
        <w:rPr>
          <w:color w:val="000000"/>
        </w:rPr>
        <w:t>5.2 Discussion</w:t>
      </w:r>
      <w:bookmarkEnd w:id="100"/>
    </w:p>
    <w:p w14:paraId="75036388" w14:textId="77777777" w:rsidR="00C244A9" w:rsidRDefault="00EF3F4D">
      <w:pPr>
        <w:spacing w:line="360" w:lineRule="auto"/>
        <w:jc w:val="both"/>
        <w:rPr>
          <w:rFonts w:ascii="Arial" w:eastAsia="Arial" w:hAnsi="Arial" w:cs="Arial"/>
        </w:rPr>
      </w:pPr>
      <w:r>
        <w:rPr>
          <w:rFonts w:ascii="Arial" w:eastAsia="Arial" w:hAnsi="Arial" w:cs="Arial"/>
        </w:rPr>
        <w:t xml:space="preserve">The result shows that the process of indirect transmission of cholera is complex and relies on the interaction of molecular mechanisms, environmental reservoirs and responses of the public health systems. High-tech molecular technology proved beneficial to further reduce early detection and tracing of the transmission process. However, unsafe water sources, poor sanitation, and climatic variability contributed to the environmental sustainability of </w:t>
      </w:r>
      <w:r>
        <w:rPr>
          <w:rFonts w:ascii="Arial" w:eastAsia="Arial" w:hAnsi="Arial" w:cs="Arial"/>
          <w:i/>
          <w:iCs/>
        </w:rPr>
        <w:t>Vibrio</w:t>
      </w:r>
      <w:r>
        <w:rPr>
          <w:rFonts w:ascii="Arial" w:eastAsia="Arial" w:hAnsi="Arial" w:cs="Arial"/>
        </w:rPr>
        <w:t xml:space="preserve"> </w:t>
      </w:r>
      <w:r>
        <w:rPr>
          <w:rFonts w:ascii="Arial" w:eastAsia="Arial" w:hAnsi="Arial" w:cs="Arial"/>
          <w:i/>
          <w:iCs/>
        </w:rPr>
        <w:t xml:space="preserve">cholerae </w:t>
      </w:r>
      <w:r>
        <w:rPr>
          <w:rFonts w:ascii="Arial" w:eastAsia="Arial" w:hAnsi="Arial" w:cs="Arial"/>
        </w:rPr>
        <w:t xml:space="preserve">(Awere‐Duodu </w:t>
      </w:r>
      <w:r>
        <w:rPr>
          <w:rFonts w:ascii="Arial" w:eastAsia="Arial" w:hAnsi="Arial" w:cs="Arial"/>
          <w:i/>
          <w:iCs/>
        </w:rPr>
        <w:t>et al.</w:t>
      </w:r>
      <w:r>
        <w:rPr>
          <w:rFonts w:ascii="Arial" w:eastAsia="Arial" w:hAnsi="Arial" w:cs="Arial"/>
        </w:rPr>
        <w:t xml:space="preserve"> 2025). Additionally, the transformation of molecular evidence into specific health interventions enhanced the preparedness for an outbreak, antimicrobial stewardship and surveillance precision (Meagher </w:t>
      </w:r>
      <w:r>
        <w:rPr>
          <w:rFonts w:ascii="Arial" w:eastAsia="Arial" w:hAnsi="Arial" w:cs="Arial"/>
          <w:i/>
          <w:iCs/>
        </w:rPr>
        <w:t>et al.</w:t>
      </w:r>
      <w:r>
        <w:rPr>
          <w:rFonts w:ascii="Arial" w:eastAsia="Arial" w:hAnsi="Arial" w:cs="Arial"/>
        </w:rPr>
        <w:t xml:space="preserve"> 2022). In comparison to the available literature, the results contribute to the current scientific knowledge and simultaneously expand the evidence by using genomic data with the help of WASH, One Health, and early-warning systems. Altogether, the results signify that effective prevention and control of indirect cholera transmission requires the integrated use of molecular-environmental surveillance. </w:t>
      </w:r>
    </w:p>
    <w:p w14:paraId="1E0E4FEB" w14:textId="77777777" w:rsidR="00C244A9" w:rsidRDefault="00C244A9">
      <w:pPr>
        <w:pStyle w:val="Heading2"/>
        <w:ind w:firstLine="10"/>
        <w:rPr>
          <w:color w:val="000000"/>
        </w:rPr>
      </w:pPr>
      <w:bookmarkStart w:id="101" w:name="_heading=h.xvdqgdj9ouh" w:colFirst="0" w:colLast="0"/>
      <w:bookmarkEnd w:id="101"/>
    </w:p>
    <w:p w14:paraId="261CB96C" w14:textId="77777777" w:rsidR="00C244A9" w:rsidRDefault="00EF3F4D">
      <w:pPr>
        <w:pStyle w:val="Heading2"/>
        <w:ind w:firstLine="10"/>
      </w:pPr>
      <w:bookmarkStart w:id="102" w:name="_Toc220842133"/>
      <w:r>
        <w:rPr>
          <w:color w:val="000000"/>
        </w:rPr>
        <w:t>5.3. Critical evaluation of findings and comparison with other studies</w:t>
      </w:r>
      <w:bookmarkEnd w:id="102"/>
      <w:r>
        <w:rPr>
          <w:color w:val="000000"/>
        </w:rPr>
        <w:t xml:space="preserve"> </w:t>
      </w:r>
    </w:p>
    <w:p w14:paraId="37022FEA" w14:textId="77777777" w:rsidR="00C244A9" w:rsidRDefault="00EF3F4D">
      <w:pPr>
        <w:spacing w:line="360" w:lineRule="auto"/>
        <w:jc w:val="both"/>
        <w:rPr>
          <w:rFonts w:ascii="Arial" w:eastAsia="Arial" w:hAnsi="Arial" w:cs="Arial"/>
        </w:rPr>
      </w:pPr>
      <w:r>
        <w:rPr>
          <w:rFonts w:ascii="Arial" w:eastAsia="Arial" w:hAnsi="Arial" w:cs="Arial"/>
        </w:rPr>
        <w:t>The critical evolutions of the three findings theme as compared to the existing literature in terms of their contributions to the prevention and control of indirect cholera transmission.</w:t>
      </w:r>
    </w:p>
    <w:p w14:paraId="69F4E904" w14:textId="77777777" w:rsidR="00C244A9" w:rsidRDefault="00EF3F4D">
      <w:pPr>
        <w:spacing w:line="360" w:lineRule="auto"/>
        <w:jc w:val="both"/>
        <w:rPr>
          <w:rFonts w:ascii="Arial" w:eastAsia="Arial" w:hAnsi="Arial" w:cs="Arial"/>
          <w:b/>
          <w:bCs/>
          <w:i/>
          <w:iCs/>
          <w:u w:val="single"/>
        </w:rPr>
      </w:pPr>
      <w:r>
        <w:rPr>
          <w:rFonts w:ascii="Arial" w:eastAsia="Arial" w:hAnsi="Arial" w:cs="Arial"/>
          <w:b/>
          <w:bCs/>
          <w:i/>
          <w:iCs/>
          <w:u w:val="single"/>
        </w:rPr>
        <w:t>Theme 1</w:t>
      </w:r>
    </w:p>
    <w:p w14:paraId="739C2374" w14:textId="77777777" w:rsidR="00C244A9" w:rsidRDefault="00EF3F4D">
      <w:pPr>
        <w:spacing w:line="360" w:lineRule="auto"/>
        <w:jc w:val="both"/>
        <w:rPr>
          <w:rFonts w:ascii="Arial" w:eastAsia="Arial" w:hAnsi="Arial" w:cs="Arial"/>
        </w:rPr>
      </w:pPr>
      <w:r>
        <w:rPr>
          <w:rFonts w:ascii="Arial" w:eastAsia="Arial" w:hAnsi="Arial" w:cs="Arial"/>
        </w:rPr>
        <w:lastRenderedPageBreak/>
        <w:t xml:space="preserve">The metagenomic sequencing, whole-genome sequencing, dark-field microscopy and genomic mechanisms ensure accurate identification of routes of </w:t>
      </w:r>
      <w:r>
        <w:rPr>
          <w:rFonts w:ascii="Arial" w:eastAsia="Arial" w:hAnsi="Arial" w:cs="Arial"/>
          <w:i/>
          <w:iCs/>
          <w:u w:val="single"/>
        </w:rPr>
        <w:t>Vibrio</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transmission at the initial stages. The DNA metagenomic sequencing enabled concurrent profiling of virulence and antimicrobial resistance genes, enabling the quick identification of transmission pathways (Brumfield </w:t>
      </w:r>
      <w:r>
        <w:rPr>
          <w:rFonts w:ascii="Arial" w:eastAsia="Arial" w:hAnsi="Arial" w:cs="Arial"/>
          <w:i/>
          <w:iCs/>
        </w:rPr>
        <w:t>et al.</w:t>
      </w:r>
      <w:r>
        <w:rPr>
          <w:rFonts w:ascii="Arial" w:eastAsia="Arial" w:hAnsi="Arial" w:cs="Arial"/>
        </w:rPr>
        <w:t xml:space="preserve"> 2021). In contrast, the high-resolution discrimination of closely related strains and association of environmental isolates to clinical outbreaks, especially via aquatic reservoirs and biofilms (Mevada </w:t>
      </w:r>
      <w:r>
        <w:rPr>
          <w:rFonts w:ascii="Arial" w:eastAsia="Arial" w:hAnsi="Arial" w:cs="Arial"/>
          <w:i/>
          <w:iCs/>
        </w:rPr>
        <w:t>et al.</w:t>
      </w:r>
      <w:r>
        <w:rPr>
          <w:rFonts w:ascii="Arial" w:eastAsia="Arial" w:hAnsi="Arial" w:cs="Arial"/>
        </w:rPr>
        <w:t xml:space="preserve"> 2023). Additionally, the high-resolution discrimination was equally highlighted by whole-genome sequencing (WGS) (Odoi </w:t>
      </w:r>
      <w:r>
        <w:rPr>
          <w:rFonts w:ascii="Arial" w:eastAsia="Arial" w:hAnsi="Arial" w:cs="Arial"/>
          <w:i/>
          <w:iCs/>
        </w:rPr>
        <w:t>et al.</w:t>
      </w:r>
      <w:r>
        <w:rPr>
          <w:rFonts w:ascii="Arial" w:eastAsia="Arial" w:hAnsi="Arial" w:cs="Arial"/>
        </w:rPr>
        <w:t xml:space="preserve"> 2025). This coincidence reinforces the findings because molecular detection at an early stage is a direct increase to the inhibition of indirect transmission since it is timely to intervene before the onset of extensive exposure. Nonetheless, the results also demonstrated the shortcomings of metagenomics, which states that DNA-based methods might fail to identify microbial viability without further functional studies (Brumfield </w:t>
      </w:r>
      <w:r>
        <w:rPr>
          <w:rFonts w:ascii="Arial" w:eastAsia="Arial" w:hAnsi="Arial" w:cs="Arial"/>
          <w:i/>
          <w:iCs/>
        </w:rPr>
        <w:t>et al.</w:t>
      </w:r>
      <w:r>
        <w:rPr>
          <w:rFonts w:ascii="Arial" w:eastAsia="Arial" w:hAnsi="Arial" w:cs="Arial"/>
        </w:rPr>
        <w:t xml:space="preserve"> 2021). Conversely, the limitation and the combination of metagenomics and phylogenetics with environmental metadata enhances interpretive quality (Vezzulli </w:t>
      </w:r>
      <w:r>
        <w:rPr>
          <w:rFonts w:ascii="Arial" w:eastAsia="Arial" w:hAnsi="Arial" w:cs="Arial"/>
          <w:i/>
          <w:iCs/>
        </w:rPr>
        <w:t>et al.</w:t>
      </w:r>
      <w:r>
        <w:rPr>
          <w:rFonts w:ascii="Arial" w:eastAsia="Arial" w:hAnsi="Arial" w:cs="Arial"/>
        </w:rPr>
        <w:t xml:space="preserve"> 2021). Therefore, consistency supports the necessity of integrated molecular methods instead of relying on one technique and promotes control strategies based on disrupting indirect transmission. </w:t>
      </w:r>
    </w:p>
    <w:p w14:paraId="480913A6" w14:textId="77777777" w:rsidR="00C244A9" w:rsidRDefault="00EF3F4D">
      <w:pPr>
        <w:spacing w:line="360" w:lineRule="auto"/>
        <w:jc w:val="both"/>
        <w:rPr>
          <w:rFonts w:ascii="Arial" w:eastAsia="Arial" w:hAnsi="Arial" w:cs="Arial"/>
          <w:b/>
          <w:bCs/>
          <w:i/>
          <w:iCs/>
          <w:u w:val="single"/>
        </w:rPr>
      </w:pPr>
      <w:r>
        <w:rPr>
          <w:rFonts w:ascii="Arial" w:eastAsia="Arial" w:hAnsi="Arial" w:cs="Arial"/>
          <w:b/>
          <w:bCs/>
          <w:i/>
          <w:iCs/>
          <w:u w:val="single"/>
        </w:rPr>
        <w:t>Theme 2</w:t>
      </w:r>
    </w:p>
    <w:p w14:paraId="1F43A08C" w14:textId="77777777" w:rsidR="00C244A9" w:rsidRDefault="00EF3F4D">
      <w:pPr>
        <w:spacing w:line="360" w:lineRule="auto"/>
        <w:jc w:val="both"/>
        <w:rPr>
          <w:rFonts w:ascii="Arial" w:eastAsia="Arial" w:hAnsi="Arial" w:cs="Arial"/>
          <w:b/>
          <w:bCs/>
          <w:i/>
          <w:iCs/>
          <w:u w:val="single"/>
        </w:rPr>
      </w:pPr>
      <w:r>
        <w:rPr>
          <w:rFonts w:ascii="Arial" w:eastAsia="Arial" w:hAnsi="Arial" w:cs="Arial"/>
        </w:rPr>
        <w:t xml:space="preserve">The sources of water, sanitation mechanisms, pathways by which vectors carry the disease, and climatic variability were major determinants of indirect cholera transmission. According to Mageto </w:t>
      </w:r>
      <w:r>
        <w:rPr>
          <w:rFonts w:ascii="Arial" w:eastAsia="Arial" w:hAnsi="Arial" w:cs="Arial"/>
          <w:i/>
          <w:iCs/>
        </w:rPr>
        <w:t>et al.</w:t>
      </w:r>
      <w:r>
        <w:rPr>
          <w:rFonts w:ascii="Arial" w:eastAsia="Arial" w:hAnsi="Arial" w:cs="Arial"/>
        </w:rPr>
        <w:t xml:space="preserve"> (2025), the informal settlements used impure drinking water, wastewater, and household effluents as environmental reservoirs that promoted the transmission of pathogens without direct human interaction. Similarly, according to Asantewaa </w:t>
      </w:r>
      <w:r>
        <w:rPr>
          <w:rFonts w:ascii="Arial" w:eastAsia="Arial" w:hAnsi="Arial" w:cs="Arial"/>
          <w:i/>
          <w:iCs/>
        </w:rPr>
        <w:t>et al.</w:t>
      </w:r>
      <w:r>
        <w:rPr>
          <w:rFonts w:ascii="Arial" w:eastAsia="Arial" w:hAnsi="Arial" w:cs="Arial"/>
        </w:rPr>
        <w:t xml:space="preserve"> (2024) and Ismail </w:t>
      </w:r>
      <w:r>
        <w:rPr>
          <w:rFonts w:ascii="Arial" w:eastAsia="Arial" w:hAnsi="Arial" w:cs="Arial"/>
          <w:i/>
          <w:iCs/>
        </w:rPr>
        <w:t>et al.</w:t>
      </w:r>
      <w:r>
        <w:rPr>
          <w:rFonts w:ascii="Arial" w:eastAsia="Arial" w:hAnsi="Arial" w:cs="Arial"/>
        </w:rPr>
        <w:t xml:space="preserve"> (2021), rivers, brackish water, planktons, and aquatic biofilms are also persistent reservoirs that enable </w:t>
      </w:r>
      <w:r>
        <w:rPr>
          <w:rFonts w:ascii="Arial" w:eastAsia="Arial" w:hAnsi="Arial" w:cs="Arial"/>
          <w:i/>
          <w:iCs/>
        </w:rPr>
        <w:t>V</w:t>
      </w:r>
      <w:r>
        <w:rPr>
          <w:rFonts w:ascii="Arial" w:eastAsia="Arial" w:hAnsi="Arial" w:cs="Arial"/>
        </w:rPr>
        <w:t xml:space="preserve">. </w:t>
      </w:r>
      <w:r>
        <w:rPr>
          <w:rFonts w:ascii="Arial" w:eastAsia="Arial" w:hAnsi="Arial" w:cs="Arial"/>
          <w:i/>
          <w:iCs/>
        </w:rPr>
        <w:t>cholerae</w:t>
      </w:r>
      <w:r>
        <w:rPr>
          <w:rFonts w:ascii="Arial" w:eastAsia="Arial" w:hAnsi="Arial" w:cs="Arial"/>
        </w:rPr>
        <w:t xml:space="preserve"> to survive between epidemics, especially in ineffective WASH infrastructure. These findings established the fact that indirect transmission can be controlled by first enhancing water quality and sanitation. The climatic drivers like El Niño-Southern Oscillation events augmented flooding and disruption in water structures, aggravating contamination dangers (Jin </w:t>
      </w:r>
      <w:r>
        <w:rPr>
          <w:rFonts w:ascii="Arial" w:eastAsia="Arial" w:hAnsi="Arial" w:cs="Arial"/>
          <w:i/>
          <w:iCs/>
        </w:rPr>
        <w:t>et al.</w:t>
      </w:r>
      <w:r>
        <w:rPr>
          <w:rFonts w:ascii="Arial" w:eastAsia="Arial" w:hAnsi="Arial" w:cs="Arial"/>
        </w:rPr>
        <w:t xml:space="preserve"> 2025). Similarly, Usmani </w:t>
      </w:r>
      <w:r>
        <w:rPr>
          <w:rFonts w:ascii="Arial" w:eastAsia="Arial" w:hAnsi="Arial" w:cs="Arial"/>
          <w:i/>
          <w:iCs/>
        </w:rPr>
        <w:t>et al.</w:t>
      </w:r>
      <w:r>
        <w:rPr>
          <w:rFonts w:ascii="Arial" w:eastAsia="Arial" w:hAnsi="Arial" w:cs="Arial"/>
        </w:rPr>
        <w:t xml:space="preserve"> (2021) show that temperature, rainfall, salinity, and plankton blooms are also mentioned in the literature review as factors that control the abundance of </w:t>
      </w:r>
      <w:r>
        <w:rPr>
          <w:rFonts w:ascii="Arial" w:eastAsia="Arial" w:hAnsi="Arial" w:cs="Arial"/>
          <w:i/>
          <w:iCs/>
        </w:rPr>
        <w:t>V.</w:t>
      </w:r>
      <w:r>
        <w:rPr>
          <w:rFonts w:ascii="Arial" w:eastAsia="Arial" w:hAnsi="Arial" w:cs="Arial"/>
        </w:rPr>
        <w:t xml:space="preserve"> </w:t>
      </w:r>
      <w:r>
        <w:rPr>
          <w:rFonts w:ascii="Arial" w:eastAsia="Arial" w:hAnsi="Arial" w:cs="Arial"/>
          <w:i/>
          <w:iCs/>
        </w:rPr>
        <w:t>cholerae</w:t>
      </w:r>
      <w:r>
        <w:rPr>
          <w:rFonts w:ascii="Arial" w:eastAsia="Arial" w:hAnsi="Arial" w:cs="Arial"/>
          <w:i/>
          <w:iCs/>
          <w:u w:val="single"/>
        </w:rPr>
        <w:t xml:space="preserve"> </w:t>
      </w:r>
      <w:r>
        <w:rPr>
          <w:rFonts w:ascii="Arial" w:eastAsia="Arial" w:hAnsi="Arial" w:cs="Arial"/>
        </w:rPr>
        <w:t xml:space="preserve">and seasonal outbreaks. The comparative insights support the significance of climate-based surveillance and early-warning systems in averting indirect transmission via the destabilisation of the environment. Furthermore, Mageto </w:t>
      </w:r>
      <w:r>
        <w:rPr>
          <w:rFonts w:ascii="Arial" w:eastAsia="Arial" w:hAnsi="Arial" w:cs="Arial"/>
          <w:i/>
          <w:iCs/>
        </w:rPr>
        <w:t>et al.</w:t>
      </w:r>
      <w:r>
        <w:rPr>
          <w:rFonts w:ascii="Arial" w:eastAsia="Arial" w:hAnsi="Arial" w:cs="Arial"/>
        </w:rPr>
        <w:t xml:space="preserve"> (2025), have found up-to-date outbreak-specific data on the connections between open drainage systems and water-mediated vector pathways and </w:t>
      </w:r>
      <w:r>
        <w:rPr>
          <w:rFonts w:ascii="Arial" w:eastAsia="Arial" w:hAnsi="Arial" w:cs="Arial"/>
        </w:rPr>
        <w:lastRenderedPageBreak/>
        <w:t>the high rates of spatial expansion within communities. On the other hand, existing studies broadly addressing the issue of environmental persistence, the findings shed light on the operation of flowing wastewater as a vector-like process. Therefore, the insights contribute to the knowledge of the dynamics of the indirect transmission and promote specific infrastructural interventions aimed at minimising the environmental propagation.</w:t>
      </w:r>
    </w:p>
    <w:p w14:paraId="0072DB27" w14:textId="77777777" w:rsidR="00C244A9" w:rsidRDefault="00EF3F4D">
      <w:pPr>
        <w:spacing w:line="360" w:lineRule="auto"/>
        <w:jc w:val="both"/>
        <w:rPr>
          <w:rFonts w:ascii="Arial" w:eastAsia="Arial" w:hAnsi="Arial" w:cs="Arial"/>
        </w:rPr>
      </w:pPr>
      <w:r>
        <w:rPr>
          <w:rFonts w:ascii="Arial" w:eastAsia="Arial" w:hAnsi="Arial" w:cs="Arial"/>
          <w:b/>
          <w:bCs/>
          <w:i/>
          <w:iCs/>
          <w:u w:val="single"/>
        </w:rPr>
        <w:t>Theme 3</w:t>
      </w:r>
    </w:p>
    <w:p w14:paraId="514E14CC" w14:textId="77777777" w:rsidR="00C244A9" w:rsidRDefault="00EF3F4D">
      <w:pPr>
        <w:spacing w:line="360" w:lineRule="auto"/>
        <w:jc w:val="both"/>
        <w:rPr>
          <w:rFonts w:ascii="Arial" w:eastAsia="Arial" w:hAnsi="Arial" w:cs="Arial"/>
        </w:rPr>
      </w:pPr>
      <w:r>
        <w:rPr>
          <w:rFonts w:ascii="Arial" w:eastAsia="Arial" w:hAnsi="Arial" w:cs="Arial"/>
        </w:rPr>
        <w:t xml:space="preserve">The translation of the molecular epidemiology results into specific population health interventions. The genomic population analysis revealed that the pandemic </w:t>
      </w:r>
      <w:r>
        <w:rPr>
          <w:rFonts w:ascii="Arial" w:eastAsia="Arial" w:hAnsi="Arial" w:cs="Arial"/>
          <w:i/>
          <w:iCs/>
        </w:rPr>
        <w:t>V.</w:t>
      </w:r>
      <w:r>
        <w:rPr>
          <w:rFonts w:ascii="Arial" w:eastAsia="Arial" w:hAnsi="Arial" w:cs="Arial"/>
        </w:rPr>
        <w:t xml:space="preserve"> </w:t>
      </w:r>
      <w:r>
        <w:rPr>
          <w:rFonts w:ascii="Arial" w:eastAsia="Arial" w:hAnsi="Arial" w:cs="Arial"/>
          <w:i/>
          <w:iCs/>
        </w:rPr>
        <w:t>cholerae</w:t>
      </w:r>
      <w:r>
        <w:rPr>
          <w:rFonts w:ascii="Arial" w:eastAsia="Arial" w:hAnsi="Arial" w:cs="Arial"/>
          <w:i/>
          <w:iCs/>
          <w:u w:val="single"/>
        </w:rPr>
        <w:t xml:space="preserve"> </w:t>
      </w:r>
      <w:r>
        <w:rPr>
          <w:rFonts w:ascii="Arial" w:eastAsia="Arial" w:hAnsi="Arial" w:cs="Arial"/>
        </w:rPr>
        <w:t xml:space="preserve">lineages were more abundant in the area of endemicity, and this was used to prioritise high-risk watersheds to be addressed (Islam </w:t>
      </w:r>
      <w:r>
        <w:rPr>
          <w:rFonts w:ascii="Arial" w:eastAsia="Arial" w:hAnsi="Arial" w:cs="Arial"/>
          <w:i/>
          <w:iCs/>
        </w:rPr>
        <w:t>et al.</w:t>
      </w:r>
      <w:r>
        <w:rPr>
          <w:rFonts w:ascii="Arial" w:eastAsia="Arial" w:hAnsi="Arial" w:cs="Arial"/>
        </w:rPr>
        <w:t xml:space="preserve"> 2021). Similarly, phylogenetic analysis and genomic surveillance were reported to verify the distinction between local persistent lineages and newly introduced strains (Vezzulli </w:t>
      </w:r>
      <w:r>
        <w:rPr>
          <w:rFonts w:ascii="Arial" w:eastAsia="Arial" w:hAnsi="Arial" w:cs="Arial"/>
          <w:i/>
          <w:iCs/>
        </w:rPr>
        <w:t>et al.</w:t>
      </w:r>
      <w:r>
        <w:rPr>
          <w:rFonts w:ascii="Arial" w:eastAsia="Arial" w:hAnsi="Arial" w:cs="Arial"/>
        </w:rPr>
        <w:t xml:space="preserve"> 2021). These phenomena guide the attribution of the source of the outbreaks and control measures (Perez-Duque </w:t>
      </w:r>
      <w:r>
        <w:rPr>
          <w:rFonts w:ascii="Arial" w:eastAsia="Arial" w:hAnsi="Arial" w:cs="Arial"/>
          <w:i/>
          <w:iCs/>
        </w:rPr>
        <w:t>et al.</w:t>
      </w:r>
      <w:r>
        <w:rPr>
          <w:rFonts w:ascii="Arial" w:eastAsia="Arial" w:hAnsi="Arial" w:cs="Arial"/>
        </w:rPr>
        <w:t xml:space="preserve"> 2021). These findings support the cholera prevention mechanism by proving that molecular evidence has a direct influence on preventive decision-making. Additionally, the results showed that combining molecular surveillance and WASH investment by ‘oral cholera vaccination’ and ‘One Health models’ reduces outbreaks in high-burden environments (Mohamed </w:t>
      </w:r>
      <w:r>
        <w:rPr>
          <w:rFonts w:ascii="Arial" w:eastAsia="Arial" w:hAnsi="Arial" w:cs="Arial"/>
          <w:i/>
          <w:iCs/>
        </w:rPr>
        <w:t>et al.</w:t>
      </w:r>
      <w:r>
        <w:rPr>
          <w:rFonts w:ascii="Arial" w:eastAsia="Arial" w:hAnsi="Arial" w:cs="Arial"/>
        </w:rPr>
        <w:t xml:space="preserve"> 2025). Similarly, the early-warning system is more efficient with the combination of genomic data, environmental and hydrological indicators and allows proactive intervention (Usmani </w:t>
      </w:r>
      <w:r>
        <w:rPr>
          <w:rFonts w:ascii="Arial" w:eastAsia="Arial" w:hAnsi="Arial" w:cs="Arial"/>
          <w:i/>
          <w:iCs/>
        </w:rPr>
        <w:t>et al.</w:t>
      </w:r>
      <w:r>
        <w:rPr>
          <w:rFonts w:ascii="Arial" w:eastAsia="Arial" w:hAnsi="Arial" w:cs="Arial"/>
        </w:rPr>
        <w:t xml:space="preserve"> 2021). These insights emphasise that indirect transmission prevention and control involving multisectoral approaches are based on molecular evidence. </w:t>
      </w:r>
    </w:p>
    <w:p w14:paraId="3B80C7B4" w14:textId="77777777" w:rsidR="00C244A9" w:rsidRDefault="00EF3F4D">
      <w:pPr>
        <w:spacing w:line="360" w:lineRule="auto"/>
        <w:jc w:val="both"/>
        <w:rPr>
          <w:rFonts w:ascii="Arial" w:eastAsia="Arial" w:hAnsi="Arial" w:cs="Arial"/>
        </w:rPr>
      </w:pPr>
      <w:r>
        <w:rPr>
          <w:rFonts w:ascii="Arial" w:eastAsia="Arial" w:hAnsi="Arial" w:cs="Arial"/>
        </w:rPr>
        <w:t xml:space="preserve">Widespread antimicrobial resistance and a possible hidden epidemic in environmental isolates were also detected in the findings, which justifies the routine resistance profiling to guide treatment (Pal </w:t>
      </w:r>
      <w:r>
        <w:rPr>
          <w:rFonts w:ascii="Arial" w:eastAsia="Arial" w:hAnsi="Arial" w:cs="Arial"/>
          <w:i/>
          <w:iCs/>
        </w:rPr>
        <w:t>et al.</w:t>
      </w:r>
      <w:r>
        <w:rPr>
          <w:rFonts w:ascii="Arial" w:eastAsia="Arial" w:hAnsi="Arial" w:cs="Arial"/>
        </w:rPr>
        <w:t xml:space="preserve"> 2023). However, the increasing importance of mobile genetic elements in the dissemination of resistance genes into environmental and clinical strains (Yaqub </w:t>
      </w:r>
      <w:r>
        <w:rPr>
          <w:rFonts w:ascii="Arial" w:eastAsia="Arial" w:hAnsi="Arial" w:cs="Arial"/>
          <w:i/>
          <w:iCs/>
        </w:rPr>
        <w:t>et al.</w:t>
      </w:r>
      <w:r>
        <w:rPr>
          <w:rFonts w:ascii="Arial" w:eastAsia="Arial" w:hAnsi="Arial" w:cs="Arial"/>
        </w:rPr>
        <w:t xml:space="preserve"> 2024). Combinedly, it is found that not only can genomic surveillance prevent transmission but also minimises morbidity and mortality by practising informed clinical management (Sauerborn </w:t>
      </w:r>
      <w:r>
        <w:rPr>
          <w:rFonts w:ascii="Arial" w:eastAsia="Arial" w:hAnsi="Arial" w:cs="Arial"/>
          <w:i/>
          <w:iCs/>
        </w:rPr>
        <w:t>et al.</w:t>
      </w:r>
      <w:r>
        <w:rPr>
          <w:rFonts w:ascii="Arial" w:eastAsia="Arial" w:hAnsi="Arial" w:cs="Arial"/>
        </w:rPr>
        <w:t xml:space="preserve"> 2024). Finally, the whole-genome and pan-genomic studies of clinical isolates inform the selective use of antibiotics and minimise the failure of treatment in outbreaks (Vishal Mevada </w:t>
      </w:r>
      <w:r>
        <w:rPr>
          <w:rFonts w:ascii="Arial" w:eastAsia="Arial" w:hAnsi="Arial" w:cs="Arial"/>
          <w:i/>
          <w:iCs/>
        </w:rPr>
        <w:t>et al.</w:t>
      </w:r>
      <w:r>
        <w:rPr>
          <w:rFonts w:ascii="Arial" w:eastAsia="Arial" w:hAnsi="Arial" w:cs="Arial"/>
        </w:rPr>
        <w:t xml:space="preserve"> 2023). Similarly, the association of clinical and environmental genomic data enhances the surveillance frameworks and the accuracy of outbreak response (Usmani </w:t>
      </w:r>
      <w:r>
        <w:rPr>
          <w:rFonts w:ascii="Arial" w:eastAsia="Arial" w:hAnsi="Arial" w:cs="Arial"/>
          <w:i/>
          <w:iCs/>
        </w:rPr>
        <w:t>et al.</w:t>
      </w:r>
      <w:r>
        <w:rPr>
          <w:rFonts w:ascii="Arial" w:eastAsia="Arial" w:hAnsi="Arial" w:cs="Arial"/>
        </w:rPr>
        <w:t xml:space="preserve"> 2021). The insight supported by the proof that molecular epidemiology forms the core of coordinated prevention and control initiatives to deal with indirect cholera transmission. Altogether, the competitive analysis ensures </w:t>
      </w:r>
      <w:r>
        <w:rPr>
          <w:rFonts w:ascii="Arial" w:eastAsia="Arial" w:hAnsi="Arial" w:cs="Arial"/>
        </w:rPr>
        <w:lastRenderedPageBreak/>
        <w:t>that indirect transmission of cholera can only be prevented and controlled with an integrated approach of molecular-environmental policy and not by isolated interventions.</w:t>
      </w:r>
    </w:p>
    <w:p w14:paraId="567A116A" w14:textId="77777777" w:rsidR="00C244A9" w:rsidRDefault="00EF3F4D">
      <w:pPr>
        <w:pStyle w:val="Heading2"/>
        <w:ind w:firstLine="10"/>
        <w:rPr>
          <w:color w:val="000000"/>
        </w:rPr>
      </w:pPr>
      <w:bookmarkStart w:id="103" w:name="_heading=h.7v5acb1nvp6f" w:colFirst="0" w:colLast="0"/>
      <w:bookmarkStart w:id="104" w:name="_Toc220842134"/>
      <w:bookmarkEnd w:id="103"/>
      <w:r>
        <w:rPr>
          <w:color w:val="000000"/>
        </w:rPr>
        <w:t xml:space="preserve">5.4 </w:t>
      </w:r>
      <w:r>
        <w:t>Summary of the Chapter</w:t>
      </w:r>
      <w:bookmarkEnd w:id="104"/>
    </w:p>
    <w:p w14:paraId="23FB0539" w14:textId="77777777" w:rsidR="00C244A9" w:rsidRDefault="00EF3F4D">
      <w:pPr>
        <w:spacing w:line="360" w:lineRule="auto"/>
        <w:jc w:val="both"/>
        <w:rPr>
          <w:rFonts w:ascii="Arial" w:eastAsia="Arial" w:hAnsi="Arial" w:cs="Arial"/>
        </w:rPr>
      </w:pPr>
      <w:r>
        <w:rPr>
          <w:rFonts w:ascii="Arial" w:eastAsia="Arial" w:hAnsi="Arial" w:cs="Arial"/>
        </w:rPr>
        <w:t xml:space="preserve">This dissertation reviewed the use of molecular epidemiology in the understanding, prevention and control of the indirect transmission of cholera, with special reference to environmental reservoirs, sanitation systems and water-mediated routes. The modern-day molecular methods, such as whole-genome sequencing, metagenomics and phylogenetic approaches, are very useful in identifying </w:t>
      </w:r>
      <w:r>
        <w:rPr>
          <w:rFonts w:ascii="Arial" w:eastAsia="Arial" w:hAnsi="Arial" w:cs="Arial"/>
          <w:i/>
          <w:iCs/>
        </w:rPr>
        <w:t>Vibrio</w:t>
      </w:r>
      <w:r>
        <w:rPr>
          <w:rFonts w:ascii="Arial" w:eastAsia="Arial" w:hAnsi="Arial" w:cs="Arial"/>
        </w:rPr>
        <w:t xml:space="preserve"> </w:t>
      </w:r>
      <w:r>
        <w:rPr>
          <w:rFonts w:ascii="Arial" w:eastAsia="Arial" w:hAnsi="Arial" w:cs="Arial"/>
          <w:i/>
          <w:iCs/>
        </w:rPr>
        <w:t>cholerae</w:t>
      </w:r>
      <w:r>
        <w:rPr>
          <w:rFonts w:ascii="Arial" w:eastAsia="Arial" w:hAnsi="Arial" w:cs="Arial"/>
        </w:rPr>
        <w:t xml:space="preserve"> in complex environmental samples. However, it reveals that measures to prevent cholera transmission cannot be easily identified using traditional surveillance techniques. These methods had important insights into pathogen persistence, genetic diversity and antimicrobial resistance to promote the prolonged indirect transmission. </w:t>
      </w:r>
    </w:p>
    <w:p w14:paraId="70041CE4" w14:textId="77777777" w:rsidR="00C244A9" w:rsidRDefault="00EF3F4D">
      <w:pPr>
        <w:spacing w:line="360" w:lineRule="auto"/>
        <w:jc w:val="both"/>
        <w:rPr>
          <w:rFonts w:ascii="Arial" w:eastAsia="Arial" w:hAnsi="Arial" w:cs="Arial"/>
        </w:rPr>
      </w:pPr>
      <w:r>
        <w:rPr>
          <w:rFonts w:ascii="Arial" w:eastAsia="Arial" w:hAnsi="Arial" w:cs="Arial"/>
        </w:rPr>
        <w:t xml:space="preserve">The risk of indirect transmission is enhanced by the presence of contaminated water sources, ineffective sanitation infrastructure and variability in climate. The environmental water bodies were also depicted to play the role of reservoirs and evolutionary niches of </w:t>
      </w:r>
      <w:r>
        <w:rPr>
          <w:rFonts w:ascii="Arial" w:eastAsia="Arial" w:hAnsi="Arial" w:cs="Arial"/>
          <w:i/>
          <w:iCs/>
          <w:u w:val="single"/>
        </w:rPr>
        <w:t>Vibrio</w:t>
      </w:r>
      <w:r>
        <w:rPr>
          <w:rFonts w:ascii="Arial" w:eastAsia="Arial" w:hAnsi="Arial" w:cs="Arial"/>
        </w:rPr>
        <w:t xml:space="preserve"> </w:t>
      </w:r>
      <w:r>
        <w:rPr>
          <w:rFonts w:ascii="Arial" w:eastAsia="Arial" w:hAnsi="Arial" w:cs="Arial"/>
          <w:i/>
          <w:iCs/>
          <w:u w:val="single"/>
        </w:rPr>
        <w:t>cholerae</w:t>
      </w:r>
      <w:r>
        <w:rPr>
          <w:rFonts w:ascii="Arial" w:eastAsia="Arial" w:hAnsi="Arial" w:cs="Arial"/>
        </w:rPr>
        <w:t xml:space="preserve">, and facilitated its further circulation even without direct human-to-human contact. The climatic disturbance due to heavy rainfall and flood was observed to complicate water systems and sanitation failures, which supports the sustainable cholera control measures. </w:t>
      </w:r>
    </w:p>
    <w:p w14:paraId="68D55814" w14:textId="77777777" w:rsidR="00C244A9" w:rsidRDefault="00EF3F4D">
      <w:pPr>
        <w:spacing w:line="360" w:lineRule="auto"/>
        <w:jc w:val="both"/>
        <w:rPr>
          <w:b/>
          <w:bCs/>
          <w:sz w:val="24"/>
          <w:szCs w:val="24"/>
        </w:rPr>
      </w:pPr>
      <w:r>
        <w:rPr>
          <w:rFonts w:ascii="Arial" w:eastAsia="Arial" w:hAnsi="Arial" w:cs="Arial"/>
        </w:rPr>
        <w:t>The translation of molecular epidemiological data into specific, targeted, public health interventions has a significant impact on the prevention and control of cholera. Similarly, genomic surveillance is essential to an early warning system, risk-based vaccination and WASH response, and antimicrobial stewardship during the cholera outbreaks. However, the importance of molecular data in ‘One Health and policy’ frameworks will allow responding to the threat of cholera more accurately, timely, and sustainably.</w:t>
      </w:r>
      <w:r>
        <w:br w:type="page"/>
      </w:r>
    </w:p>
    <w:p w14:paraId="5BA0DDD7" w14:textId="77777777" w:rsidR="00C244A9" w:rsidRDefault="00EF3F4D">
      <w:pPr>
        <w:pStyle w:val="Heading1"/>
        <w:ind w:left="12" w:right="3" w:firstLine="0"/>
      </w:pPr>
      <w:bookmarkStart w:id="105" w:name="_Toc220786090"/>
      <w:bookmarkStart w:id="106" w:name="_Toc220842135"/>
      <w:r>
        <w:lastRenderedPageBreak/>
        <w:t>Chapter 6: Conclusion</w:t>
      </w:r>
      <w:bookmarkEnd w:id="105"/>
      <w:bookmarkEnd w:id="106"/>
      <w:r>
        <w:t xml:space="preserve"> </w:t>
      </w:r>
    </w:p>
    <w:p w14:paraId="456B747F" w14:textId="77777777" w:rsidR="00C244A9" w:rsidRDefault="00C244A9">
      <w:pPr>
        <w:pStyle w:val="Heading2"/>
        <w:ind w:firstLine="10"/>
      </w:pPr>
      <w:bookmarkStart w:id="107" w:name="_heading=h.4h0q1nxz9lgr" w:colFirst="0" w:colLast="0"/>
      <w:bookmarkEnd w:id="107"/>
    </w:p>
    <w:p w14:paraId="4660FB7C" w14:textId="77777777" w:rsidR="00C244A9" w:rsidRDefault="00EF3F4D">
      <w:pPr>
        <w:pStyle w:val="Heading2"/>
        <w:ind w:firstLine="10"/>
        <w:rPr>
          <w:color w:val="000000"/>
        </w:rPr>
      </w:pPr>
      <w:bookmarkStart w:id="108" w:name="_Toc220842136"/>
      <w:r>
        <w:t>6.1 Main Research Question</w:t>
      </w:r>
      <w:bookmarkEnd w:id="108"/>
      <w:r>
        <w:t xml:space="preserve">  </w:t>
      </w:r>
    </w:p>
    <w:p w14:paraId="119CAB9A" w14:textId="77777777" w:rsidR="00C244A9" w:rsidRDefault="00EF3F4D">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rPr>
        <w:t>The significant implications of this study on the practice of public health, as well as the direction of future research, help to prevent and control the indirect transmission of cholera. Considering the research question</w:t>
      </w:r>
      <w:r>
        <w:rPr>
          <w:rFonts w:ascii="Arial" w:eastAsia="Arial" w:hAnsi="Arial" w:cs="Arial"/>
          <w:color w:val="000000"/>
        </w:rPr>
        <w:t xml:space="preserve">, “How molecular epidemiology tools inform public health interventions aimed at preventing and Controlling indirect transmission of Cholera?”, </w:t>
      </w:r>
      <w:r>
        <w:rPr>
          <w:rFonts w:ascii="Arial" w:eastAsia="Arial" w:hAnsi="Arial" w:cs="Arial"/>
        </w:rPr>
        <w:t xml:space="preserve">it has identified that practical implications of the dissertation are significant for cholera prevention and control, especially the indirect pathways of transmission. Molecular epidemiology can be integrated into the usual practices of surveillance of the health of the population to identify the early presence of </w:t>
      </w:r>
      <w:r>
        <w:rPr>
          <w:rFonts w:ascii="Arial" w:eastAsia="Arial" w:hAnsi="Arial" w:cs="Arial"/>
          <w:i/>
          <w:iCs/>
        </w:rPr>
        <w:t>Vibrio</w:t>
      </w:r>
      <w:r>
        <w:rPr>
          <w:rFonts w:ascii="Arial" w:eastAsia="Arial" w:hAnsi="Arial" w:cs="Arial"/>
        </w:rPr>
        <w:t xml:space="preserve"> </w:t>
      </w:r>
      <w:r>
        <w:rPr>
          <w:rFonts w:ascii="Arial" w:eastAsia="Arial" w:hAnsi="Arial" w:cs="Arial"/>
          <w:i/>
          <w:iCs/>
        </w:rPr>
        <w:t>cholerae</w:t>
      </w:r>
      <w:r>
        <w:rPr>
          <w:rFonts w:ascii="Arial" w:eastAsia="Arial" w:hAnsi="Arial" w:cs="Arial"/>
        </w:rPr>
        <w:t xml:space="preserve"> in the environmental reservoir, which can help in timely and appropriate action. Risk-based resource allocation can be supported by genomic and metagenomic data, which may be used to determine high-risk water bodies, failures in sanitation, and environmental hotspots.</w:t>
      </w:r>
      <w:r>
        <w:rPr>
          <w:rFonts w:ascii="Arial" w:eastAsia="Arial" w:hAnsi="Arial" w:cs="Arial"/>
          <w:color w:val="FF0000"/>
        </w:rPr>
        <w:t xml:space="preserve"> </w:t>
      </w:r>
      <w:r>
        <w:rPr>
          <w:rFonts w:ascii="Arial" w:eastAsia="Arial" w:hAnsi="Arial" w:cs="Arial"/>
          <w:color w:val="000000"/>
        </w:rPr>
        <w:t>This chapter will highlight key findings and conclusion as well as making recommendations for improvement in the field of microbial epidemiological tools and Cholera prevention and control interventions.</w:t>
      </w:r>
    </w:p>
    <w:p w14:paraId="426FE778" w14:textId="77777777" w:rsidR="00C244A9" w:rsidRDefault="00C244A9">
      <w:pPr>
        <w:pStyle w:val="Heading2"/>
        <w:ind w:firstLine="10"/>
        <w:rPr>
          <w:color w:val="FF0000"/>
        </w:rPr>
      </w:pPr>
      <w:bookmarkStart w:id="109" w:name="_heading=h.e64cud880lr6" w:colFirst="0" w:colLast="0"/>
      <w:bookmarkEnd w:id="109"/>
    </w:p>
    <w:p w14:paraId="5A0FCD18" w14:textId="77777777" w:rsidR="00C244A9" w:rsidRDefault="00EF3F4D">
      <w:pPr>
        <w:pStyle w:val="Heading2"/>
        <w:ind w:firstLine="10"/>
        <w:rPr>
          <w:color w:val="000000"/>
        </w:rPr>
      </w:pPr>
      <w:bookmarkStart w:id="110" w:name="_Toc220842137"/>
      <w:r>
        <w:rPr>
          <w:color w:val="000000"/>
        </w:rPr>
        <w:t>6.2 Key findings from the objectives of this research</w:t>
      </w:r>
      <w:bookmarkEnd w:id="110"/>
      <w:r>
        <w:rPr>
          <w:color w:val="000000"/>
        </w:rPr>
        <w:t xml:space="preserve"> </w:t>
      </w:r>
    </w:p>
    <w:p w14:paraId="2B3BFE24" w14:textId="77777777" w:rsidR="00C244A9" w:rsidRDefault="00EF3F4D">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To evaluate the effectiveness of molecular techniques in detecting and characterising Vibrio cholerae it was discovered that advanced molecular methods were very useful in the detection and characterisation of Vibrio cholerae in the environmental reservoirs. According to genomic surveillance findings with whole-genome sequencing, endemic and imported strains can be differentiated at high accuracy (Tiwari </w:t>
      </w:r>
      <w:r>
        <w:rPr>
          <w:rFonts w:ascii="Arial" w:eastAsia="Arial" w:hAnsi="Arial" w:cs="Arial"/>
          <w:i/>
          <w:iCs/>
          <w:color w:val="000000"/>
        </w:rPr>
        <w:t>et al.</w:t>
      </w:r>
      <w:r>
        <w:rPr>
          <w:rFonts w:ascii="Arial" w:eastAsia="Arial" w:hAnsi="Arial" w:cs="Arial"/>
          <w:color w:val="000000"/>
        </w:rPr>
        <w:t xml:space="preserve"> 2025). Therefore, molecular instruments enhanced initial tracking of the indirect transmissions pathways in Cholera prevention and control interventions</w:t>
      </w:r>
    </w:p>
    <w:p w14:paraId="37917E8D" w14:textId="77777777" w:rsidR="00C244A9" w:rsidRDefault="00EF3F4D">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To explore the molecular and environmental factors that influence indirect transmission of cholera including water sources sanitation, and vector pathways. It was noted that environmental and molecular factors interact with high intensity in determining indirect transmission of cholera. Climatic events increase the transmission of Vibrio cholerae and other bacteria in contaminated water bodies, poor sanitation and hydrological alterations ensuring augmented the bacterial survival (Jung </w:t>
      </w:r>
      <w:r>
        <w:rPr>
          <w:rFonts w:ascii="Arial" w:eastAsia="Arial" w:hAnsi="Arial" w:cs="Arial"/>
          <w:i/>
          <w:iCs/>
          <w:color w:val="000000"/>
        </w:rPr>
        <w:t>et al.</w:t>
      </w:r>
      <w:r>
        <w:rPr>
          <w:rFonts w:ascii="Arial" w:eastAsia="Arial" w:hAnsi="Arial" w:cs="Arial"/>
          <w:color w:val="000000"/>
        </w:rPr>
        <w:t xml:space="preserve"> 2023). Moreover, molecular </w:t>
      </w:r>
      <w:r>
        <w:rPr>
          <w:rFonts w:ascii="Arial" w:eastAsia="Arial" w:hAnsi="Arial" w:cs="Arial"/>
          <w:color w:val="000000"/>
        </w:rPr>
        <w:lastRenderedPageBreak/>
        <w:t>evolution facilitated survival in aquatic reservoirs, which strengthened the argument on the role of environmental pathways in persistent transmission.</w:t>
      </w:r>
    </w:p>
    <w:p w14:paraId="63B0A809" w14:textId="77777777" w:rsidR="00C244A9" w:rsidRDefault="00EF3F4D">
      <w:pPr>
        <w:numPr>
          <w:ilvl w:val="0"/>
          <w:numId w:val="1"/>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To provide recommendations regarding molecular epidemiology findings that target public health interventions with a purpose of improving outbreak detection, prevention, and control of cholera. The results of molecular epidemiology were demonstrated to be directly used to create specific interventions in the field of public health. Genomic data was found to enhance outbreak prediction, environmental surveillance, and WASH interventions prioritisation, according to a recent assessment (Wardi </w:t>
      </w:r>
      <w:r>
        <w:rPr>
          <w:rFonts w:ascii="Arial" w:eastAsia="Arial" w:hAnsi="Arial" w:cs="Arial"/>
          <w:i/>
          <w:iCs/>
          <w:color w:val="000000"/>
        </w:rPr>
        <w:t>et al.</w:t>
      </w:r>
      <w:r>
        <w:rPr>
          <w:rFonts w:ascii="Arial" w:eastAsia="Arial" w:hAnsi="Arial" w:cs="Arial"/>
          <w:color w:val="000000"/>
        </w:rPr>
        <w:t xml:space="preserve"> 2024). Therefore, incorporation of molecular surveillance in the health systems of the population improved preventive, early and control measures to the outbreaks of cholera.</w:t>
      </w:r>
    </w:p>
    <w:p w14:paraId="0B2B3FAF" w14:textId="77777777" w:rsidR="00C244A9" w:rsidRDefault="00C244A9">
      <w:pPr>
        <w:pStyle w:val="Heading2"/>
        <w:ind w:firstLine="10"/>
        <w:rPr>
          <w:color w:val="000000"/>
        </w:rPr>
      </w:pPr>
      <w:bookmarkStart w:id="111" w:name="_heading=h.vlt0ddx6r4ek" w:colFirst="0" w:colLast="0"/>
      <w:bookmarkEnd w:id="111"/>
    </w:p>
    <w:p w14:paraId="1536CAF5" w14:textId="77777777" w:rsidR="00C244A9" w:rsidRDefault="00EF3F4D">
      <w:pPr>
        <w:pStyle w:val="Heading2"/>
        <w:ind w:firstLine="10"/>
        <w:rPr>
          <w:color w:val="000000"/>
        </w:rPr>
      </w:pPr>
      <w:bookmarkStart w:id="112" w:name="_Toc220842138"/>
      <w:r>
        <w:rPr>
          <w:color w:val="000000"/>
        </w:rPr>
        <w:t>6.3 Implications and future research</w:t>
      </w:r>
      <w:bookmarkEnd w:id="112"/>
    </w:p>
    <w:p w14:paraId="7214DD30" w14:textId="77777777" w:rsidR="00C244A9" w:rsidRDefault="00EF3F4D">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The results indicate that there are obvious practical implications of enhancing cholera prevention with the help of molecularly informed public health responses. According to UK health protection advice reports incorporation of genomic surveillance in the daily routine of environmental monitors enhances early outbreak detection and risk forecasting (Sundermann </w:t>
      </w:r>
      <w:r>
        <w:rPr>
          <w:rFonts w:ascii="Arial" w:eastAsia="Arial" w:hAnsi="Arial" w:cs="Arial"/>
          <w:i/>
          <w:iCs/>
          <w:color w:val="000000"/>
        </w:rPr>
        <w:t>et al.</w:t>
      </w:r>
      <w:r>
        <w:rPr>
          <w:rFonts w:ascii="Arial" w:eastAsia="Arial" w:hAnsi="Arial" w:cs="Arial"/>
          <w:color w:val="000000"/>
        </w:rPr>
        <w:t xml:space="preserve"> 2024). Additionally, the correlation of molecular data and WASH planning contributes to the targeted intervention of the high-risk water systems and potential communities at risk. Therefore, this study supports the necessity of integrated surveillance systems in the field of environmental, clinical, and epidemiological health.</w:t>
      </w:r>
    </w:p>
    <w:p w14:paraId="25765F85" w14:textId="77777777" w:rsidR="00C244A9" w:rsidRDefault="00EF3F4D">
      <w:pPr>
        <w:pBdr>
          <w:top w:val="nil"/>
          <w:left w:val="nil"/>
          <w:bottom w:val="nil"/>
          <w:right w:val="nil"/>
          <w:between w:val="nil"/>
        </w:pBdr>
        <w:tabs>
          <w:tab w:val="left" w:pos="3119"/>
        </w:tabs>
        <w:spacing w:line="360" w:lineRule="auto"/>
        <w:jc w:val="both"/>
        <w:rPr>
          <w:rFonts w:ascii="Arial" w:eastAsia="Arial" w:hAnsi="Arial" w:cs="Arial"/>
          <w:color w:val="000000"/>
        </w:rPr>
      </w:pPr>
      <w:r>
        <w:rPr>
          <w:rFonts w:ascii="Arial" w:eastAsia="Arial" w:hAnsi="Arial" w:cs="Arial"/>
          <w:color w:val="000000"/>
        </w:rPr>
        <w:t>The longitudinal environmental genomic surveillance studies should be undertaken in the future to represent inter-epidemic persistence of Vibrio cholerae. The research has scanty information on viable-but-non-culturable states and their reactivation by climate stressors. Therefore, more research that incorporates genomics, climate modelling and hydrological data is needed to increase the predictability. Furthermore, cost-effectiveness and scalability of molecular surveillance studies are still required to be done in the context of low-resource areas, which are necessary to control cholera on the global level.</w:t>
      </w:r>
    </w:p>
    <w:p w14:paraId="493B2624" w14:textId="77777777" w:rsidR="00C244A9" w:rsidRDefault="00C244A9">
      <w:pPr>
        <w:pStyle w:val="Heading2"/>
        <w:ind w:firstLine="10"/>
        <w:rPr>
          <w:color w:val="000000"/>
        </w:rPr>
      </w:pPr>
      <w:bookmarkStart w:id="113" w:name="_heading=h.o6awrvnostd7" w:colFirst="0" w:colLast="0"/>
      <w:bookmarkEnd w:id="113"/>
    </w:p>
    <w:p w14:paraId="7D330F16" w14:textId="77777777" w:rsidR="00C244A9" w:rsidRDefault="00EF3F4D">
      <w:pPr>
        <w:pStyle w:val="Heading2"/>
        <w:ind w:firstLine="10"/>
        <w:rPr>
          <w:color w:val="000000"/>
        </w:rPr>
      </w:pPr>
      <w:bookmarkStart w:id="114" w:name="_Toc220842139"/>
      <w:r>
        <w:rPr>
          <w:color w:val="000000"/>
        </w:rPr>
        <w:t>6.4 Strengths and Limitations</w:t>
      </w:r>
      <w:bookmarkEnd w:id="114"/>
    </w:p>
    <w:p w14:paraId="2AD6C14B" w14:textId="77777777" w:rsidR="00C244A9" w:rsidRDefault="00EF3F4D">
      <w:pPr>
        <w:pBdr>
          <w:top w:val="nil"/>
          <w:left w:val="nil"/>
          <w:bottom w:val="nil"/>
          <w:right w:val="nil"/>
          <w:between w:val="nil"/>
        </w:pBdr>
        <w:spacing w:line="360" w:lineRule="auto"/>
        <w:jc w:val="both"/>
        <w:rPr>
          <w:rFonts w:ascii="Arial" w:eastAsia="Arial" w:hAnsi="Arial" w:cs="Arial"/>
          <w:color w:val="FF0000"/>
        </w:rPr>
      </w:pPr>
      <w:r>
        <w:rPr>
          <w:rFonts w:ascii="Arial" w:eastAsia="Arial" w:hAnsi="Arial" w:cs="Arial"/>
          <w:color w:val="000000"/>
        </w:rPr>
        <w:t xml:space="preserve">The key strength of the study is that the authors synthesised the most recent, high-quality molecular epidemiology evidence in a systematic way. The conventional appraisal criteria, CASP </w:t>
      </w:r>
      <w:r>
        <w:rPr>
          <w:rFonts w:ascii="Arial" w:eastAsia="Arial" w:hAnsi="Arial" w:cs="Arial"/>
          <w:color w:val="000000"/>
        </w:rPr>
        <w:lastRenderedPageBreak/>
        <w:t xml:space="preserve">and JBI tools, helped to improve methodological rigour and the inclusion of strong studies, as well as being recommended in the evaluation of evidence syntheses(Kolaski </w:t>
      </w:r>
      <w:r>
        <w:rPr>
          <w:rFonts w:ascii="Arial" w:eastAsia="Arial" w:hAnsi="Arial" w:cs="Arial"/>
          <w:i/>
          <w:iCs/>
          <w:color w:val="000000"/>
        </w:rPr>
        <w:t>et al.</w:t>
      </w:r>
      <w:r>
        <w:rPr>
          <w:rFonts w:ascii="Arial" w:eastAsia="Arial" w:hAnsi="Arial" w:cs="Arial"/>
          <w:color w:val="000000"/>
        </w:rPr>
        <w:t xml:space="preserve"> 2023). Moreover, the emphasis placed on indirect environmental transmission covered a significant research gap that is usually ignored in the conventional cholera surveillance. Therefore, the results have good applicability to population-based public health planning by limiting a number of restriction in the research. The use of secondary data can present bias in publication and limit the contextual interpretation. Moreover, the different molecular methods and reporting standards inhibited the direct comparability of studies. Generalisability to non-endemic areas like the UK was also limited by the geographical localisation of evidence to endemic areas. Therefore, even though the synthesis is very insightful, the findings must be taken with caution. External validity needs to be enhanced by future primary research and harmonised reporting procedures</w:t>
      </w:r>
      <w:r>
        <w:rPr>
          <w:rFonts w:ascii="Arial" w:eastAsia="Arial" w:hAnsi="Arial" w:cs="Arial"/>
          <w:color w:val="FF0000"/>
        </w:rPr>
        <w:t>.</w:t>
      </w:r>
    </w:p>
    <w:p w14:paraId="0BC22F4B" w14:textId="77777777" w:rsidR="00C244A9" w:rsidRDefault="00C244A9">
      <w:pPr>
        <w:pBdr>
          <w:top w:val="nil"/>
          <w:left w:val="nil"/>
          <w:bottom w:val="nil"/>
          <w:right w:val="nil"/>
          <w:between w:val="nil"/>
        </w:pBdr>
        <w:spacing w:line="360" w:lineRule="auto"/>
        <w:jc w:val="both"/>
        <w:rPr>
          <w:rFonts w:ascii="Arial" w:eastAsia="Arial" w:hAnsi="Arial" w:cs="Arial"/>
        </w:rPr>
      </w:pPr>
    </w:p>
    <w:p w14:paraId="339D09F1" w14:textId="77777777" w:rsidR="00C244A9" w:rsidRDefault="00EF3F4D">
      <w:pPr>
        <w:pStyle w:val="Heading2"/>
        <w:ind w:firstLine="10"/>
        <w:rPr>
          <w:color w:val="000000"/>
        </w:rPr>
      </w:pPr>
      <w:bookmarkStart w:id="115" w:name="_Toc220842140"/>
      <w:r>
        <w:rPr>
          <w:color w:val="000000"/>
        </w:rPr>
        <w:t>6.</w:t>
      </w:r>
      <w:r>
        <w:t>5</w:t>
      </w:r>
      <w:r>
        <w:rPr>
          <w:color w:val="000000"/>
        </w:rPr>
        <w:t xml:space="preserve"> Reflect on the research</w:t>
      </w:r>
      <w:bookmarkEnd w:id="115"/>
    </w:p>
    <w:p w14:paraId="2A933725" w14:textId="77777777" w:rsidR="00C244A9" w:rsidRDefault="00EF3F4D">
      <w:pPr>
        <w:spacing w:line="360" w:lineRule="auto"/>
        <w:jc w:val="both"/>
        <w:rPr>
          <w:rFonts w:ascii="Arial" w:eastAsia="Arial" w:hAnsi="Arial" w:cs="Arial"/>
        </w:rPr>
      </w:pPr>
      <w:r>
        <w:rPr>
          <w:rFonts w:ascii="Arial" w:eastAsia="Arial" w:hAnsi="Arial" w:cs="Arial"/>
        </w:rPr>
        <w:t xml:space="preserve">The research enhances multiple measures, such as reducing water contamination, sanitation, and hygiene (WASH) preparedness. The research also focused on oral cholera vaccination efforts and enhancing outbreak preparedness. Moreover, evidence-based antimicrobial stewardship is supported by molecular resistance profiling that informs treatment practices in outbreaks. These results also highlight the importance of molecular surveillance by the ‘One Health System’ to improve the coordination of environmental, clinical, and policy stakeholders. Therefore, by the positive implications of this research, one can strengthen the effectiveness and sustainability of cholera measurement measures. </w:t>
      </w:r>
    </w:p>
    <w:p w14:paraId="6CB7630D" w14:textId="77777777" w:rsidR="00C244A9" w:rsidRDefault="00C244A9">
      <w:pPr>
        <w:pStyle w:val="Heading2"/>
        <w:ind w:firstLine="10"/>
        <w:rPr>
          <w:color w:val="000000"/>
        </w:rPr>
      </w:pPr>
    </w:p>
    <w:p w14:paraId="525FD70B" w14:textId="77777777" w:rsidR="00C244A9" w:rsidRDefault="00EF3F4D">
      <w:pPr>
        <w:pStyle w:val="Heading2"/>
        <w:ind w:firstLine="10"/>
        <w:rPr>
          <w:color w:val="000000"/>
        </w:rPr>
      </w:pPr>
      <w:bookmarkStart w:id="116" w:name="_Toc220842141"/>
      <w:r>
        <w:rPr>
          <w:color w:val="000000"/>
        </w:rPr>
        <w:t>6.</w:t>
      </w:r>
      <w:r>
        <w:t>6</w:t>
      </w:r>
      <w:r>
        <w:rPr>
          <w:color w:val="000000"/>
        </w:rPr>
        <w:t xml:space="preserve"> Recommendations</w:t>
      </w:r>
      <w:bookmarkEnd w:id="116"/>
      <w:r>
        <w:rPr>
          <w:color w:val="000000"/>
        </w:rPr>
        <w:t xml:space="preserve"> </w:t>
      </w:r>
    </w:p>
    <w:p w14:paraId="41C99B6F" w14:textId="77777777" w:rsidR="00C244A9" w:rsidRDefault="00EF3F4D">
      <w:pPr>
        <w:spacing w:line="360" w:lineRule="auto"/>
        <w:jc w:val="both"/>
        <w:rPr>
          <w:rFonts w:ascii="Arial" w:eastAsia="Arial" w:hAnsi="Arial" w:cs="Arial"/>
          <w:b/>
          <w:bCs/>
          <w:i/>
          <w:iCs/>
          <w:color w:val="000000"/>
          <w:u w:val="single"/>
        </w:rPr>
      </w:pPr>
      <w:r>
        <w:rPr>
          <w:rFonts w:ascii="Arial" w:eastAsia="Arial" w:hAnsi="Arial" w:cs="Arial"/>
          <w:b/>
          <w:bCs/>
          <w:i/>
          <w:iCs/>
          <w:color w:val="000000"/>
          <w:u w:val="single"/>
        </w:rPr>
        <w:t>Recommendation for the limited availability of environmental genomic surveillance data</w:t>
      </w:r>
    </w:p>
    <w:p w14:paraId="6E5CD460" w14:textId="77777777" w:rsidR="00C244A9" w:rsidRDefault="00EF3F4D">
      <w:pPr>
        <w:spacing w:line="360" w:lineRule="auto"/>
        <w:jc w:val="both"/>
        <w:rPr>
          <w:rFonts w:ascii="Arial" w:eastAsia="Arial" w:hAnsi="Arial" w:cs="Arial"/>
          <w:color w:val="000000"/>
        </w:rPr>
      </w:pPr>
      <w:r>
        <w:rPr>
          <w:rFonts w:ascii="Arial" w:eastAsia="Arial" w:hAnsi="Arial" w:cs="Arial"/>
          <w:color w:val="000000"/>
        </w:rPr>
        <w:t xml:space="preserve">Substantial lack of access to available and updated environmental genomic data was found as one of the key obstacles to cognising the indirect transmission methods of the cholera disease. Loopholes in regular environmental sampling limit the early detection of waterborne pathogens and individually slow down preventive interventions (Carmo dos Santos </w:t>
      </w:r>
      <w:r>
        <w:rPr>
          <w:rFonts w:ascii="Arial" w:eastAsia="Arial" w:hAnsi="Arial" w:cs="Arial"/>
          <w:i/>
          <w:iCs/>
          <w:color w:val="000000"/>
        </w:rPr>
        <w:t>et al.</w:t>
      </w:r>
      <w:r>
        <w:rPr>
          <w:rFonts w:ascii="Arial" w:eastAsia="Arial" w:hAnsi="Arial" w:cs="Arial"/>
          <w:color w:val="000000"/>
        </w:rPr>
        <w:t xml:space="preserve"> 2024). It is suggested that regular environmental genomic monitoring can be scaled overall in the UK water systems, with whole-genome sequencing of the water bodies. These sequencing incorporated </w:t>
      </w:r>
      <w:r>
        <w:rPr>
          <w:rFonts w:ascii="Arial" w:eastAsia="Arial" w:hAnsi="Arial" w:cs="Arial"/>
          <w:color w:val="000000"/>
        </w:rPr>
        <w:lastRenderedPageBreak/>
        <w:t xml:space="preserve">alongside the established water quality monitoring to enhance early warning mechanisms, and proactive efforts to support the use of the information in future health promotion.  </w:t>
      </w:r>
    </w:p>
    <w:p w14:paraId="7A4C6C05" w14:textId="77777777" w:rsidR="00C244A9" w:rsidRDefault="00EF3F4D">
      <w:pPr>
        <w:spacing w:line="360" w:lineRule="auto"/>
        <w:jc w:val="both"/>
        <w:rPr>
          <w:rFonts w:ascii="Arial" w:eastAsia="Arial" w:hAnsi="Arial" w:cs="Arial"/>
          <w:b/>
          <w:bCs/>
          <w:i/>
          <w:iCs/>
          <w:color w:val="000000"/>
          <w:u w:val="single"/>
        </w:rPr>
      </w:pPr>
      <w:r>
        <w:rPr>
          <w:rFonts w:ascii="Arial" w:eastAsia="Arial" w:hAnsi="Arial" w:cs="Arial"/>
          <w:b/>
          <w:bCs/>
          <w:i/>
          <w:iCs/>
          <w:color w:val="000000"/>
          <w:u w:val="single"/>
        </w:rPr>
        <w:t xml:space="preserve"> Recommendation for variability in molecular methods and reporting standards</w:t>
      </w:r>
    </w:p>
    <w:p w14:paraId="60D8F37A" w14:textId="77777777" w:rsidR="00C244A9" w:rsidRDefault="00EF3F4D">
      <w:pPr>
        <w:spacing w:line="360" w:lineRule="auto"/>
        <w:jc w:val="both"/>
        <w:rPr>
          <w:rFonts w:ascii="Arial" w:eastAsia="Arial" w:hAnsi="Arial" w:cs="Arial"/>
          <w:color w:val="000000"/>
        </w:rPr>
      </w:pPr>
      <w:r>
        <w:rPr>
          <w:rFonts w:ascii="Arial" w:eastAsia="Arial" w:hAnsi="Arial" w:cs="Arial"/>
          <w:color w:val="000000"/>
        </w:rPr>
        <w:t xml:space="preserve">The inappropriate application of molecular techniques and inconsistent reporting standards have been used by various studies, which decreased comparability and synthesis of findings. The use of scientific evidence in public health decisions ensures that translation of evidence in public health decision-making is curtailed by the absence of harmonised genomic protocols (Kabengele Mpinga </w:t>
      </w:r>
      <w:r>
        <w:rPr>
          <w:rFonts w:ascii="Arial" w:eastAsia="Arial" w:hAnsi="Arial" w:cs="Arial"/>
          <w:i/>
          <w:iCs/>
          <w:color w:val="000000"/>
        </w:rPr>
        <w:t>et al.</w:t>
      </w:r>
      <w:r>
        <w:rPr>
          <w:rFonts w:ascii="Arial" w:eastAsia="Arial" w:hAnsi="Arial" w:cs="Arial"/>
          <w:color w:val="000000"/>
        </w:rPr>
        <w:t xml:space="preserve"> 2025). Therefore, standardised molecular surveillance structures and reporting guidelines ought to be implemented in both public health and research institutions, facilitating data comparability, better data integration and reliability of the outbreak detection and response measures. </w:t>
      </w:r>
    </w:p>
    <w:p w14:paraId="7E016C4E" w14:textId="77777777" w:rsidR="00C244A9" w:rsidRDefault="00EF3F4D">
      <w:pPr>
        <w:spacing w:line="360" w:lineRule="auto"/>
        <w:jc w:val="both"/>
        <w:rPr>
          <w:rFonts w:ascii="Arial" w:eastAsia="Arial" w:hAnsi="Arial" w:cs="Arial"/>
          <w:b/>
          <w:bCs/>
          <w:i/>
          <w:iCs/>
          <w:color w:val="000000"/>
          <w:u w:val="single"/>
        </w:rPr>
      </w:pPr>
      <w:r>
        <w:rPr>
          <w:rFonts w:ascii="Arial" w:eastAsia="Arial" w:hAnsi="Arial" w:cs="Arial"/>
          <w:b/>
          <w:bCs/>
          <w:i/>
          <w:iCs/>
          <w:color w:val="000000"/>
          <w:u w:val="single"/>
        </w:rPr>
        <w:t>Recommendation for translating genomic findings into public health practice</w:t>
      </w:r>
    </w:p>
    <w:p w14:paraId="17A4D623" w14:textId="77777777" w:rsidR="00C244A9" w:rsidRDefault="00EF3F4D">
      <w:pPr>
        <w:spacing w:line="360" w:lineRule="auto"/>
        <w:jc w:val="both"/>
        <w:rPr>
          <w:rFonts w:ascii="Arial" w:eastAsia="Arial" w:hAnsi="Arial" w:cs="Arial"/>
          <w:color w:val="000000"/>
        </w:rPr>
      </w:pPr>
      <w:r>
        <w:rPr>
          <w:rFonts w:ascii="Arial" w:eastAsia="Arial" w:hAnsi="Arial" w:cs="Arial"/>
          <w:color w:val="000000"/>
        </w:rPr>
        <w:t xml:space="preserve">The challenge of translating complex molecular data into practical public health interventions was found to be a significant problem. Genomic evidence is a very stringent interpretation of genetic variants, which is applied in operational planning because of technical and interpretative constraints (Hovhannesyan </w:t>
      </w:r>
      <w:r>
        <w:rPr>
          <w:rFonts w:ascii="Arial" w:eastAsia="Arial" w:hAnsi="Arial" w:cs="Arial"/>
          <w:i/>
          <w:iCs/>
          <w:color w:val="000000"/>
        </w:rPr>
        <w:t>et al.</w:t>
      </w:r>
      <w:r>
        <w:rPr>
          <w:rFonts w:ascii="Arial" w:eastAsia="Arial" w:hAnsi="Arial" w:cs="Arial"/>
          <w:color w:val="000000"/>
        </w:rPr>
        <w:t xml:space="preserve"> 2025). Therefore, interdisciplinary training and decision support need to be created to intersect genomics with the practice of public health. This ensures the policy makers and practitioners are able to use the molecular evidence in cholera prevention, preparedness and control systems. There are some more perspectives that have not been exhausted in this dissertation and should be investigated further. </w:t>
      </w:r>
    </w:p>
    <w:p w14:paraId="29B7C27A" w14:textId="77777777" w:rsidR="00C244A9" w:rsidRDefault="00EF3F4D">
      <w:pPr>
        <w:spacing w:line="360" w:lineRule="auto"/>
        <w:jc w:val="both"/>
        <w:rPr>
          <w:rFonts w:ascii="Arial" w:eastAsia="Arial" w:hAnsi="Arial" w:cs="Arial"/>
          <w:b/>
          <w:bCs/>
        </w:rPr>
      </w:pPr>
      <w:r>
        <w:rPr>
          <w:rFonts w:ascii="Arial" w:eastAsia="Arial" w:hAnsi="Arial" w:cs="Arial"/>
          <w:b/>
          <w:bCs/>
        </w:rPr>
        <w:t>Research</w:t>
      </w:r>
    </w:p>
    <w:p w14:paraId="09AC79EC" w14:textId="77777777" w:rsidR="00C244A9" w:rsidRDefault="00EF3F4D">
      <w:pPr>
        <w:spacing w:line="360" w:lineRule="auto"/>
        <w:jc w:val="both"/>
        <w:rPr>
          <w:rFonts w:ascii="Arial" w:eastAsia="Arial" w:hAnsi="Arial" w:cs="Arial"/>
        </w:rPr>
      </w:pPr>
      <w:r>
        <w:rPr>
          <w:rFonts w:ascii="Arial" w:eastAsia="Arial" w:hAnsi="Arial" w:cs="Arial"/>
        </w:rPr>
        <w:t xml:space="preserve">Further studies are required to investigate the socio-behavioural aspects of indirect transmission of cholera, such as community water-use behaviour and adherence to sanitation interventions. There is a need to examine the viability and infectivity of environmental </w:t>
      </w:r>
      <w:r>
        <w:rPr>
          <w:rFonts w:ascii="Arial" w:eastAsia="Arial" w:hAnsi="Arial" w:cs="Arial"/>
          <w:i/>
          <w:iCs/>
        </w:rPr>
        <w:t>Vibrio</w:t>
      </w:r>
      <w:r>
        <w:rPr>
          <w:rFonts w:ascii="Arial" w:eastAsia="Arial" w:hAnsi="Arial" w:cs="Arial"/>
        </w:rPr>
        <w:t xml:space="preserve"> </w:t>
      </w:r>
      <w:r>
        <w:rPr>
          <w:rFonts w:ascii="Arial" w:eastAsia="Arial" w:hAnsi="Arial" w:cs="Arial"/>
          <w:i/>
          <w:iCs/>
        </w:rPr>
        <w:t>cholerae</w:t>
      </w:r>
      <w:r>
        <w:rPr>
          <w:rFonts w:ascii="Arial" w:eastAsia="Arial" w:hAnsi="Arial" w:cs="Arial"/>
        </w:rPr>
        <w:t xml:space="preserve"> identified by metagenomics in longitudinal studies.</w:t>
      </w:r>
    </w:p>
    <w:p w14:paraId="38CDFDAB" w14:textId="77777777" w:rsidR="00C244A9" w:rsidRDefault="00EF3F4D">
      <w:pPr>
        <w:spacing w:line="360" w:lineRule="auto"/>
        <w:jc w:val="both"/>
        <w:rPr>
          <w:rFonts w:ascii="Arial" w:eastAsia="Arial" w:hAnsi="Arial" w:cs="Arial"/>
          <w:b/>
          <w:bCs/>
        </w:rPr>
      </w:pPr>
      <w:r>
        <w:rPr>
          <w:rFonts w:ascii="Arial" w:eastAsia="Arial" w:hAnsi="Arial" w:cs="Arial"/>
          <w:b/>
          <w:bCs/>
        </w:rPr>
        <w:t>Practice</w:t>
      </w:r>
    </w:p>
    <w:p w14:paraId="51896608" w14:textId="77777777" w:rsidR="00C244A9" w:rsidRDefault="00EF3F4D">
      <w:pPr>
        <w:spacing w:line="360" w:lineRule="auto"/>
        <w:jc w:val="both"/>
        <w:rPr>
          <w:rFonts w:ascii="Arial" w:eastAsia="Arial" w:hAnsi="Arial" w:cs="Arial"/>
        </w:rPr>
      </w:pPr>
      <w:r>
        <w:rPr>
          <w:rFonts w:ascii="Arial" w:eastAsia="Arial" w:hAnsi="Arial" w:cs="Arial"/>
        </w:rPr>
        <w:t>Additionally, the combined real-time monitoring of genomes with climate and hydrological models might enhance predictive early-warning systems, which need to be discovered in further research. Furthermore, the evaluation of the cost-effectiveness and scalability of molecular surveillance in low-resource settings is required, and can be analysed in further research.</w:t>
      </w:r>
    </w:p>
    <w:p w14:paraId="1F1C23BD" w14:textId="77777777" w:rsidR="00C244A9" w:rsidRDefault="00EF3F4D">
      <w:pPr>
        <w:pStyle w:val="Heading2"/>
        <w:ind w:firstLine="10"/>
      </w:pPr>
      <w:bookmarkStart w:id="117" w:name="_heading=h.95bhbjrmqigg" w:colFirst="0" w:colLast="0"/>
      <w:bookmarkStart w:id="118" w:name="_Toc220842142"/>
      <w:bookmarkEnd w:id="117"/>
      <w:r>
        <w:rPr>
          <w:color w:val="000000"/>
        </w:rPr>
        <w:lastRenderedPageBreak/>
        <w:t>6.</w:t>
      </w:r>
      <w:r>
        <w:t>7</w:t>
      </w:r>
      <w:r>
        <w:rPr>
          <w:color w:val="000000"/>
        </w:rPr>
        <w:t xml:space="preserve"> Contribution</w:t>
      </w:r>
      <w:bookmarkEnd w:id="118"/>
      <w:r>
        <w:rPr>
          <w:color w:val="000000"/>
        </w:rPr>
        <w:t xml:space="preserve"> </w:t>
      </w:r>
    </w:p>
    <w:p w14:paraId="1593D38B" w14:textId="77777777" w:rsidR="00C244A9" w:rsidRDefault="00EF3F4D">
      <w:pPr>
        <w:spacing w:line="360" w:lineRule="auto"/>
        <w:jc w:val="both"/>
        <w:rPr>
          <w:rFonts w:ascii="Arial" w:eastAsia="Arial" w:hAnsi="Arial" w:cs="Arial"/>
        </w:rPr>
      </w:pPr>
      <w:r>
        <w:rPr>
          <w:rFonts w:ascii="Arial" w:eastAsia="Arial" w:hAnsi="Arial" w:cs="Arial"/>
        </w:rPr>
        <w:t xml:space="preserve">This dissertation presents a number of strong points which contribute to its academic rigour and practical value. One of the key strengths is that a systematic and structured method is applied in the synthesis of evidence on molecular epidemiology and indirect transmission of cholera. The combination of high-resolution molecular methods, such as whole-genome sequencing, metagenomics, and phylogenetic analysis, facilitated an in-depth study of transmission pathways, environmental persistence, and antimicrobial resistance. Moreover, the structured findings enabled a transparent correspondence to understand the interaction between molecular, environmental and public health determinants towards the spread of cholera. Furthermore, the quantitative genomic and environmental evidence contributed to the validity of the analysis and enhanced the accessibility to make measurable decisions on population health. </w:t>
      </w:r>
    </w:p>
    <w:p w14:paraId="632732B7" w14:textId="77777777" w:rsidR="00C244A9" w:rsidRDefault="00EF3F4D">
      <w:pPr>
        <w:spacing w:line="360" w:lineRule="auto"/>
        <w:jc w:val="both"/>
        <w:rPr>
          <w:rFonts w:ascii="Arial" w:eastAsia="Arial" w:hAnsi="Arial" w:cs="Arial"/>
        </w:rPr>
      </w:pPr>
      <w:r>
        <w:rPr>
          <w:rFonts w:ascii="Arial" w:eastAsia="Arial" w:hAnsi="Arial" w:cs="Arial"/>
        </w:rPr>
        <w:t>The research has significant strength, though it has some limitations and possible sources of bias that need to be addressed. The dissertation was based on secondary sources of information that included published literature, and this can cause a publication bias because only studies that present meaningful results will be published. Additionally, the differences in study design, demography and methodology used in the literature review might show inconsistency in the results. Moreover, all the articles that were excluded during the research were either not in the English language or not accessible to the researchers. Therefore, these limitations can have an impact on generalisability, but they do not question the validity of the conclusions and also demand future research with improved methodological strategies.</w:t>
      </w:r>
    </w:p>
    <w:p w14:paraId="71D191A9" w14:textId="77777777" w:rsidR="00C244A9" w:rsidRDefault="00EF3F4D">
      <w:pPr>
        <w:spacing w:after="0" w:line="360" w:lineRule="auto"/>
        <w:jc w:val="both"/>
      </w:pPr>
      <w:r>
        <w:rPr>
          <w:rFonts w:ascii="Arial" w:eastAsia="Arial" w:hAnsi="Arial" w:cs="Arial"/>
        </w:rPr>
        <w:t>In conclusion, the research highlights the importance of the coordinated approach, which involves the combination of molecular surveillance, environmental management, and the activity of public health in the context of the control of an indirect cholera spread. It is necessary to reinforce these combined measures to decrease the number of cases of cholera in the world and to increase the capacity to resist new outbreaks.</w:t>
      </w:r>
      <w:r>
        <w:tab/>
        <w:t xml:space="preserve"> </w:t>
      </w:r>
    </w:p>
    <w:p w14:paraId="0FCDF1EA" w14:textId="77777777" w:rsidR="00C244A9" w:rsidRDefault="00EF3F4D">
      <w:pPr>
        <w:rPr>
          <w:b/>
          <w:bCs/>
          <w:sz w:val="24"/>
          <w:szCs w:val="24"/>
        </w:rPr>
      </w:pPr>
      <w:r>
        <w:br w:type="page"/>
      </w:r>
    </w:p>
    <w:p w14:paraId="6AC658AD" w14:textId="77777777" w:rsidR="00C244A9" w:rsidRDefault="00EF3F4D">
      <w:pPr>
        <w:pStyle w:val="Heading1"/>
        <w:ind w:left="12" w:right="6" w:firstLine="0"/>
      </w:pPr>
      <w:bookmarkStart w:id="119" w:name="_Toc220786091"/>
      <w:bookmarkStart w:id="120" w:name="_Toc220842143"/>
      <w:r>
        <w:lastRenderedPageBreak/>
        <w:t>Reference list</w:t>
      </w:r>
      <w:bookmarkEnd w:id="119"/>
      <w:bookmarkEnd w:id="120"/>
      <w:r>
        <w:t xml:space="preserve"> </w:t>
      </w:r>
    </w:p>
    <w:p w14:paraId="2319D0C4"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Abdullah Al-Manji, Anak Agung Bagus Wirayuda, Rawaa Abubakr Abuelgassim Eltayib, Al-Azri, M. and Chan, M.F. (2025). Factors contributing to mosquito-borne disease: A systematic review in the Middle East and North Africa (MENA) region. </w:t>
      </w:r>
      <w:r w:rsidRPr="00BA74BB">
        <w:rPr>
          <w:rFonts w:ascii="Arial" w:eastAsia="Arial" w:hAnsi="Arial" w:cs="Arial"/>
          <w:i/>
          <w:iCs/>
          <w:color w:val="000000" w:themeColor="text1"/>
        </w:rPr>
        <w:t>Current Research in Parasitology and Vector-Borne Diseases</w:t>
      </w:r>
      <w:r w:rsidRPr="00BA74BB">
        <w:rPr>
          <w:rFonts w:ascii="Arial" w:eastAsia="Arial" w:hAnsi="Arial" w:cs="Arial"/>
          <w:color w:val="000000" w:themeColor="text1"/>
        </w:rPr>
        <w:t xml:space="preserve">, 8, p.100281.Available at: </w:t>
      </w:r>
      <w:hyperlink r:id="rId17">
        <w:r w:rsidRPr="00BA74BB">
          <w:rPr>
            <w:rFonts w:ascii="Arial" w:eastAsia="Arial" w:hAnsi="Arial" w:cs="Arial"/>
            <w:color w:val="000000" w:themeColor="text1"/>
            <w:u w:val="single"/>
          </w:rPr>
          <w:t>https://doi.org/10.1016/j.crpvbd.2025.100281</w:t>
        </w:r>
      </w:hyperlink>
      <w:r w:rsidRPr="00BA74BB">
        <w:rPr>
          <w:rFonts w:ascii="Arial" w:eastAsia="Arial" w:hAnsi="Arial" w:cs="Arial"/>
          <w:color w:val="000000" w:themeColor="text1"/>
        </w:rPr>
        <w:t xml:space="preserve">    (Accessed: 31 January 2026)</w:t>
      </w:r>
    </w:p>
    <w:p w14:paraId="306AAE38"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Acharya, S. (2023). </w:t>
      </w:r>
      <w:r w:rsidRPr="00BA74BB">
        <w:rPr>
          <w:rFonts w:ascii="Arial" w:eastAsia="Arial" w:hAnsi="Arial" w:cs="Arial"/>
          <w:i/>
          <w:iCs/>
          <w:color w:val="000000" w:themeColor="text1"/>
        </w:rPr>
        <w:t>The Germ Theory of Disease: Experiments, and Applications • Microbe Online</w:t>
      </w:r>
      <w:r w:rsidRPr="00BA74BB">
        <w:rPr>
          <w:rFonts w:ascii="Arial" w:eastAsia="Arial" w:hAnsi="Arial" w:cs="Arial"/>
          <w:color w:val="000000" w:themeColor="text1"/>
        </w:rPr>
        <w:t>. Available at:</w:t>
      </w:r>
      <w:hyperlink r:id="rId18">
        <w:r w:rsidRPr="00BA74BB">
          <w:rPr>
            <w:rFonts w:ascii="Arial" w:eastAsia="Arial" w:hAnsi="Arial" w:cs="Arial"/>
            <w:color w:val="000000" w:themeColor="text1"/>
          </w:rPr>
          <w:t xml:space="preserve"> </w:t>
        </w:r>
      </w:hyperlink>
      <w:hyperlink r:id="rId19">
        <w:r w:rsidRPr="00BA74BB">
          <w:rPr>
            <w:rFonts w:ascii="Arial" w:eastAsia="Arial" w:hAnsi="Arial" w:cs="Arial"/>
            <w:color w:val="000000" w:themeColor="text1"/>
            <w:u w:val="single"/>
          </w:rPr>
          <w:t>https://microbeonline.com/the-germ-theory-of-disease-experiments-an-applications/</w:t>
        </w:r>
      </w:hyperlink>
      <w:r w:rsidRPr="00BA74BB">
        <w:rPr>
          <w:rFonts w:ascii="Arial" w:eastAsia="Arial" w:hAnsi="Arial" w:cs="Arial"/>
          <w:color w:val="000000" w:themeColor="text1"/>
        </w:rPr>
        <w:t xml:space="preserve"> (Accessed: 17 January 2026)</w:t>
      </w:r>
    </w:p>
    <w:p w14:paraId="07AA6AF8"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Adeniyi, E.O., (2024). </w:t>
      </w:r>
      <w:r w:rsidRPr="00BA74BB">
        <w:rPr>
          <w:rFonts w:ascii="Arial" w:eastAsia="Arial" w:hAnsi="Arial" w:cs="Arial"/>
          <w:i/>
          <w:iCs/>
          <w:color w:val="000000" w:themeColor="text1"/>
        </w:rPr>
        <w:t>Transmission Dynamics And Control Of Cholera In Africa: A Mathematical Modelling Approach.</w:t>
      </w:r>
      <w:r w:rsidRPr="00BA74BB">
        <w:rPr>
          <w:rFonts w:ascii="Arial" w:eastAsia="Arial" w:hAnsi="Arial" w:cs="Arial"/>
          <w:color w:val="000000" w:themeColor="text1"/>
        </w:rPr>
        <w:t xml:space="preserve"> Available at: </w:t>
      </w:r>
      <w:hyperlink r:id="rId20">
        <w:r w:rsidRPr="00BA74BB">
          <w:rPr>
            <w:rFonts w:ascii="Arial" w:eastAsia="Arial" w:hAnsi="Arial" w:cs="Arial"/>
            <w:color w:val="000000" w:themeColor="text1"/>
            <w:u w:val="single"/>
          </w:rPr>
          <w:t>https://hdl.handle.net/10315/42813</w:t>
        </w:r>
      </w:hyperlink>
      <w:r w:rsidRPr="00BA74BB">
        <w:rPr>
          <w:rFonts w:ascii="Arial" w:eastAsia="Arial" w:hAnsi="Arial" w:cs="Arial"/>
          <w:color w:val="000000" w:themeColor="text1"/>
        </w:rPr>
        <w:t xml:space="preserve">  (Accessed: 31 January 2026)</w:t>
      </w:r>
    </w:p>
    <w:p w14:paraId="2FD670A8"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Adewunmi Akingbola, Adewole, O., Toluwalashe Soyemi, Jombo, P. and Ojo, O. (2024). Using polymerase chain reaction cycle threshold (PCR Ct) values for predicting and managing cholera outbreaks: potential, challenges, and future directions. </w:t>
      </w:r>
      <w:r w:rsidRPr="00BA74BB">
        <w:rPr>
          <w:rFonts w:ascii="Arial" w:eastAsia="Arial" w:hAnsi="Arial" w:cs="Arial"/>
          <w:i/>
          <w:iCs/>
          <w:color w:val="000000" w:themeColor="text1"/>
        </w:rPr>
        <w:t>Bulletin of the National Research Centre/Bulletin of the National Research Center</w:t>
      </w:r>
      <w:r w:rsidRPr="00BA74BB">
        <w:rPr>
          <w:rFonts w:ascii="Arial" w:eastAsia="Arial" w:hAnsi="Arial" w:cs="Arial"/>
          <w:color w:val="000000" w:themeColor="text1"/>
        </w:rPr>
        <w:t xml:space="preserve">, 48(1). Available at: </w:t>
      </w:r>
      <w:r w:rsidRPr="00BA74BB">
        <w:rPr>
          <w:rFonts w:ascii="Arial" w:eastAsia="Arial" w:hAnsi="Arial" w:cs="Arial"/>
          <w:color w:val="000000" w:themeColor="text1"/>
          <w:sz w:val="24"/>
          <w:szCs w:val="24"/>
          <w:highlight w:val="white"/>
        </w:rPr>
        <w:t xml:space="preserve"> </w:t>
      </w:r>
      <w:hyperlink r:id="rId21">
        <w:r w:rsidRPr="00BA74BB">
          <w:rPr>
            <w:rFonts w:ascii="Arial" w:eastAsia="Arial" w:hAnsi="Arial" w:cs="Arial"/>
            <w:color w:val="000000" w:themeColor="text1"/>
            <w:sz w:val="24"/>
            <w:szCs w:val="24"/>
            <w:highlight w:val="white"/>
            <w:u w:val="single"/>
          </w:rPr>
          <w:t>https://doi.org/10.1186/s42269-024-01270-7</w:t>
        </w:r>
      </w:hyperlink>
      <w:r w:rsidRPr="00BA74BB">
        <w:rPr>
          <w:rFonts w:ascii="Arial" w:eastAsia="Arial" w:hAnsi="Arial" w:cs="Arial"/>
          <w:color w:val="000000" w:themeColor="text1"/>
          <w:sz w:val="24"/>
          <w:szCs w:val="24"/>
          <w:highlight w:val="white"/>
        </w:rPr>
        <w:t xml:space="preserve"> </w:t>
      </w:r>
      <w:r w:rsidRPr="00BA74BB">
        <w:rPr>
          <w:rFonts w:ascii="Arial" w:eastAsia="Arial" w:hAnsi="Arial" w:cs="Arial"/>
          <w:color w:val="000000" w:themeColor="text1"/>
        </w:rPr>
        <w:t xml:space="preserve"> (Accessed: 31 January 2026) </w:t>
      </w:r>
    </w:p>
    <w:p w14:paraId="50AC9839"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Archer, E.J., Baker-Austin, C., Osborn, T.J., Jones, N.R., Martínez-Urtaza, J., Trinanes, J., Oliver, J.D., González, F.J.C. and Lake, I.R. (2023). Climate warming and increasing Vibrio vulnificus infections in North America. </w:t>
      </w:r>
      <w:r w:rsidRPr="00BA74BB">
        <w:rPr>
          <w:rFonts w:ascii="Arial" w:eastAsia="Arial" w:hAnsi="Arial" w:cs="Arial"/>
          <w:i/>
          <w:iCs/>
          <w:color w:val="000000" w:themeColor="text1"/>
        </w:rPr>
        <w:t>Scientific Reports</w:t>
      </w:r>
      <w:r w:rsidRPr="00BA74BB">
        <w:rPr>
          <w:rFonts w:ascii="Arial" w:eastAsia="Arial" w:hAnsi="Arial" w:cs="Arial"/>
          <w:color w:val="000000" w:themeColor="text1"/>
        </w:rPr>
        <w:t xml:space="preserve">, 13(1), p.3893. Available at: </w:t>
      </w:r>
      <w:hyperlink r:id="rId22">
        <w:r w:rsidRPr="00BA74BB">
          <w:rPr>
            <w:rFonts w:ascii="Roboto" w:eastAsia="Roboto" w:hAnsi="Roboto" w:cs="Roboto"/>
            <w:color w:val="000000" w:themeColor="text1"/>
            <w:sz w:val="24"/>
            <w:szCs w:val="24"/>
            <w:highlight w:val="white"/>
            <w:u w:val="single"/>
          </w:rPr>
          <w:t>https://doi.org/10.1038/s41598-023-28247-2</w:t>
        </w:r>
      </w:hyperlink>
      <w:r w:rsidRPr="00BA74BB">
        <w:rPr>
          <w:rFonts w:ascii="Roboto" w:eastAsia="Roboto" w:hAnsi="Roboto" w:cs="Roboto"/>
          <w:color w:val="000000" w:themeColor="text1"/>
          <w:sz w:val="24"/>
          <w:szCs w:val="24"/>
          <w:highlight w:val="white"/>
        </w:rPr>
        <w:t xml:space="preserve"> </w:t>
      </w:r>
      <w:r w:rsidRPr="00BA74BB">
        <w:rPr>
          <w:rFonts w:ascii="Arial" w:eastAsia="Arial" w:hAnsi="Arial" w:cs="Arial"/>
          <w:color w:val="000000" w:themeColor="text1"/>
        </w:rPr>
        <w:t xml:space="preserve"> (Accessed: 31 January 2026)</w:t>
      </w:r>
    </w:p>
    <w:p w14:paraId="0858AF9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Arias, G. and Li, L. (2025).Towards Coexistence?NavigatingInterpretivism and Positivism in an Early Childhood Professional Development Program.</w:t>
      </w:r>
      <w:r w:rsidRPr="00BA74BB">
        <w:rPr>
          <w:rFonts w:ascii="Arial" w:eastAsia="Arial" w:hAnsi="Arial" w:cs="Arial"/>
          <w:i/>
          <w:iCs/>
          <w:color w:val="000000" w:themeColor="text1"/>
        </w:rPr>
        <w:t>Education Sciences</w:t>
      </w:r>
      <w:r w:rsidRPr="00BA74BB">
        <w:rPr>
          <w:rFonts w:ascii="Arial" w:eastAsia="Arial" w:hAnsi="Arial" w:cs="Arial"/>
          <w:color w:val="000000" w:themeColor="text1"/>
        </w:rPr>
        <w:t xml:space="preserve">, 15(9), pp.1193–1193. Available at: </w:t>
      </w:r>
      <w:hyperlink r:id="rId23">
        <w:r w:rsidRPr="00BA74BB">
          <w:rPr>
            <w:rFonts w:ascii="Arial" w:eastAsia="Arial" w:hAnsi="Arial" w:cs="Arial"/>
            <w:color w:val="000000" w:themeColor="text1"/>
            <w:u w:val="single"/>
          </w:rPr>
          <w:t>https://doi.org/10.3390/educsci15091193</w:t>
        </w:r>
      </w:hyperlink>
      <w:r w:rsidRPr="00BA74BB">
        <w:rPr>
          <w:rFonts w:ascii="Arial" w:eastAsia="Arial" w:hAnsi="Arial" w:cs="Arial"/>
          <w:color w:val="000000" w:themeColor="text1"/>
        </w:rPr>
        <w:t xml:space="preserve">  (Accessed: 31 January 2026)</w:t>
      </w:r>
    </w:p>
    <w:p w14:paraId="4D5497AF"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Asantewaa, A.A., Odoom, A., GodfredOwusu-Okyere and Donkor, E.S. (2024). Cholera Outbreaks in Low- and Middle-Income Countries in the Last Decade: A Systematic Review and Meta-Analysis. </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xml:space="preserve">, 12(12), pp.2504–2504. Available at: </w:t>
      </w:r>
      <w:hyperlink r:id="rId24">
        <w:r w:rsidRPr="00BA74BB">
          <w:rPr>
            <w:rFonts w:ascii="Arial" w:eastAsia="Arial" w:hAnsi="Arial" w:cs="Arial"/>
            <w:color w:val="000000" w:themeColor="text1"/>
            <w:u w:val="single"/>
          </w:rPr>
          <w:t>https://doi.org/10.3390/microorganisms12122504</w:t>
        </w:r>
      </w:hyperlink>
      <w:r w:rsidRPr="00BA74BB">
        <w:rPr>
          <w:rFonts w:ascii="Arial" w:eastAsia="Arial" w:hAnsi="Arial" w:cs="Arial"/>
          <w:color w:val="000000" w:themeColor="text1"/>
        </w:rPr>
        <w:t xml:space="preserve">  (Accessed: 31 January 2026)</w:t>
      </w:r>
    </w:p>
    <w:p w14:paraId="414BE306"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Awere</w:t>
      </w:r>
      <w:r w:rsidRPr="00BA74BB">
        <w:rPr>
          <w:rFonts w:ascii="Cambria Math" w:eastAsia="Cambria Math" w:hAnsi="Cambria Math" w:cs="Cambria Math"/>
          <w:color w:val="000000" w:themeColor="text1"/>
        </w:rPr>
        <w:t>‐</w:t>
      </w:r>
      <w:r w:rsidRPr="00BA74BB">
        <w:rPr>
          <w:rFonts w:ascii="Arial" w:eastAsia="Arial" w:hAnsi="Arial" w:cs="Arial"/>
          <w:color w:val="000000" w:themeColor="text1"/>
        </w:rPr>
        <w:t xml:space="preserve">Duodu, A., Ntim, O.K. and Donkor, E.S. (2025). </w:t>
      </w:r>
      <w:r w:rsidRPr="00BA74BB">
        <w:rPr>
          <w:rFonts w:ascii="Arial" w:eastAsia="Arial" w:hAnsi="Arial" w:cs="Arial"/>
          <w:i/>
          <w:iCs/>
          <w:color w:val="000000" w:themeColor="text1"/>
        </w:rPr>
        <w:t>Vibrio cholerae</w:t>
      </w:r>
      <w:r w:rsidRPr="00BA74BB">
        <w:rPr>
          <w:rFonts w:ascii="Arial" w:eastAsia="Arial" w:hAnsi="Arial" w:cs="Arial"/>
          <w:color w:val="000000" w:themeColor="text1"/>
        </w:rPr>
        <w:t xml:space="preserve"> in Water Environments: A Systematic Review and Meta</w:t>
      </w:r>
      <w:r w:rsidRPr="00BA74BB">
        <w:rPr>
          <w:rFonts w:ascii="Cambria Math" w:eastAsia="Cambria Math" w:hAnsi="Cambria Math" w:cs="Cambria Math"/>
          <w:color w:val="000000" w:themeColor="text1"/>
        </w:rPr>
        <w:t>‐</w:t>
      </w:r>
      <w:r w:rsidRPr="00BA74BB">
        <w:rPr>
          <w:rFonts w:ascii="Arial" w:eastAsia="Arial" w:hAnsi="Arial" w:cs="Arial"/>
          <w:color w:val="000000" w:themeColor="text1"/>
        </w:rPr>
        <w:t xml:space="preserve">Analysis. </w:t>
      </w:r>
      <w:r w:rsidRPr="00BA74BB">
        <w:rPr>
          <w:rFonts w:ascii="Arial" w:eastAsia="Arial" w:hAnsi="Arial" w:cs="Arial"/>
          <w:i/>
          <w:iCs/>
          <w:color w:val="000000" w:themeColor="text1"/>
        </w:rPr>
        <w:t>Environmental Microbiology Reports</w:t>
      </w:r>
      <w:r w:rsidRPr="00BA74BB">
        <w:rPr>
          <w:rFonts w:ascii="Arial" w:eastAsia="Arial" w:hAnsi="Arial" w:cs="Arial"/>
          <w:color w:val="000000" w:themeColor="text1"/>
        </w:rPr>
        <w:t xml:space="preserve">, 17(3). Available at:  </w:t>
      </w:r>
      <w:hyperlink r:id="rId25">
        <w:r w:rsidRPr="00BA74BB">
          <w:rPr>
            <w:rFonts w:ascii="Arial" w:eastAsia="Arial" w:hAnsi="Arial" w:cs="Arial"/>
            <w:color w:val="000000" w:themeColor="text1"/>
            <w:u w:val="single"/>
          </w:rPr>
          <w:t>https://doi.org/10.1111/1758-2229.70103</w:t>
        </w:r>
      </w:hyperlink>
      <w:r w:rsidRPr="00BA74BB">
        <w:rPr>
          <w:rFonts w:ascii="Arial" w:eastAsia="Arial" w:hAnsi="Arial" w:cs="Arial"/>
          <w:color w:val="000000" w:themeColor="text1"/>
        </w:rPr>
        <w:t>(Accessed: 31 January 2026)</w:t>
      </w:r>
    </w:p>
    <w:p w14:paraId="17513DD7"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Bae, D., Song, K.-Y., Macoy, D.M., Kim, M.G., Lee, C.-K.and Kim, Y.-S.(2022). Inactivation of Airborne Avian Pathogenic E. coli (APEC) via Application of a Novel High-Pressure Spraying System.</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xml:space="preserve">, 10(11), p.2201.Available at: </w:t>
      </w:r>
      <w:hyperlink r:id="rId26">
        <w:r w:rsidRPr="00BA74BB">
          <w:rPr>
            <w:rFonts w:ascii="Arial" w:eastAsia="Arial" w:hAnsi="Arial" w:cs="Arial"/>
            <w:color w:val="000000" w:themeColor="text1"/>
            <w:u w:val="single"/>
          </w:rPr>
          <w:t>https://doi.org/10.3390/microorganisms10112201</w:t>
        </w:r>
      </w:hyperlink>
      <w:r w:rsidRPr="00BA74BB">
        <w:rPr>
          <w:rFonts w:ascii="Arial" w:eastAsia="Arial" w:hAnsi="Arial" w:cs="Arial"/>
          <w:color w:val="000000" w:themeColor="text1"/>
        </w:rPr>
        <w:t xml:space="preserve">  (Accessed: 31 January 2026)</w:t>
      </w:r>
    </w:p>
    <w:p w14:paraId="22BE20B9"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Bastin, A., Knabe, L. and Simpson, M. (2024). Climate Change and Cholera: A Review Exploring the Association Between Storm Severity and Global Human Vibrio spp. Incidence. </w:t>
      </w:r>
      <w:r w:rsidRPr="00BA74BB">
        <w:rPr>
          <w:rFonts w:ascii="Arial" w:eastAsia="Arial" w:hAnsi="Arial" w:cs="Arial"/>
          <w:i/>
          <w:iCs/>
          <w:color w:val="000000" w:themeColor="text1"/>
        </w:rPr>
        <w:t>Georgetown Medical Review</w:t>
      </w:r>
      <w:r w:rsidRPr="00BA74BB">
        <w:rPr>
          <w:rFonts w:ascii="Arial" w:eastAsia="Arial" w:hAnsi="Arial" w:cs="Arial"/>
          <w:color w:val="000000" w:themeColor="text1"/>
        </w:rPr>
        <w:t xml:space="preserve">, 8(1).Available at: </w:t>
      </w:r>
      <w:hyperlink r:id="rId27">
        <w:r w:rsidRPr="00BA74BB">
          <w:rPr>
            <w:rFonts w:ascii="Arial" w:eastAsia="Arial" w:hAnsi="Arial" w:cs="Arial"/>
            <w:color w:val="000000" w:themeColor="text1"/>
            <w:u w:val="single"/>
          </w:rPr>
          <w:t>https://gmr.scholasticahq.com/article/116783.pdf</w:t>
        </w:r>
      </w:hyperlink>
      <w:r w:rsidRPr="00BA74BB">
        <w:rPr>
          <w:rFonts w:ascii="Arial" w:eastAsia="Arial" w:hAnsi="Arial" w:cs="Arial"/>
          <w:color w:val="000000" w:themeColor="text1"/>
        </w:rPr>
        <w:t xml:space="preserve">  (Accessed: 31 January 2026)</w:t>
      </w:r>
    </w:p>
    <w:p w14:paraId="72FA14D9"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Biplab Maity, Banerjee, S., Abhishek Senapati, Pitchford, J., &amp; Chattopadhyay, J. (2025). Coupling plankton and cholera dynamics: Insights into outbreak prediction and practical disease management. </w:t>
      </w:r>
      <w:r w:rsidRPr="00BA74BB">
        <w:rPr>
          <w:rFonts w:ascii="Arial" w:eastAsia="Arial" w:hAnsi="Arial" w:cs="Arial"/>
          <w:i/>
          <w:iCs/>
          <w:color w:val="000000" w:themeColor="text1"/>
        </w:rPr>
        <w:t>PLoS Computational Biology</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21</w:t>
      </w:r>
      <w:r w:rsidRPr="00BA74BB">
        <w:rPr>
          <w:rFonts w:ascii="Arial" w:eastAsia="Arial" w:hAnsi="Arial" w:cs="Arial"/>
          <w:color w:val="000000" w:themeColor="text1"/>
        </w:rPr>
        <w:t xml:space="preserve">(9), e1013523–e1013523.  Available at: </w:t>
      </w:r>
      <w:hyperlink r:id="rId28">
        <w:r w:rsidRPr="00BA74BB">
          <w:rPr>
            <w:rFonts w:ascii="Arial" w:eastAsia="Arial" w:hAnsi="Arial" w:cs="Arial"/>
            <w:color w:val="000000" w:themeColor="text1"/>
            <w:u w:val="single"/>
          </w:rPr>
          <w:t>https://doi.org/10.1371/journal.pcbi.1013523</w:t>
        </w:r>
      </w:hyperlink>
      <w:r w:rsidRPr="00BA74BB">
        <w:rPr>
          <w:rFonts w:ascii="Arial" w:eastAsia="Arial" w:hAnsi="Arial" w:cs="Arial"/>
          <w:color w:val="000000" w:themeColor="text1"/>
        </w:rPr>
        <w:t xml:space="preserve">  (Accessed: 31 January 2026)</w:t>
      </w:r>
    </w:p>
    <w:p w14:paraId="7EFEB92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Brumfield, K.D., Usmani, M., Chen, K.M., Gangwar, M., Jutla, A., Huq, A. and Colwell, R.R. (2021). Environmental parameters associated with incidence and transmission of pathogenic </w:t>
      </w:r>
      <w:r w:rsidRPr="00BA74BB">
        <w:rPr>
          <w:rFonts w:ascii="Arial" w:eastAsia="Arial" w:hAnsi="Arial" w:cs="Arial"/>
          <w:i/>
          <w:iCs/>
          <w:color w:val="000000" w:themeColor="text1"/>
        </w:rPr>
        <w:t>Vibrio spp</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Environmental Microbiology</w:t>
      </w:r>
      <w:r w:rsidRPr="00BA74BB">
        <w:rPr>
          <w:rFonts w:ascii="Arial" w:eastAsia="Arial" w:hAnsi="Arial" w:cs="Arial"/>
          <w:color w:val="000000" w:themeColor="text1"/>
        </w:rPr>
        <w:t xml:space="preserve">, 23(12), pp.7314–7340.Available at: </w:t>
      </w:r>
      <w:hyperlink r:id="rId29">
        <w:r w:rsidRPr="00BA74BB">
          <w:rPr>
            <w:rFonts w:ascii="Arial" w:eastAsia="Arial" w:hAnsi="Arial" w:cs="Arial"/>
            <w:color w:val="000000" w:themeColor="text1"/>
            <w:u w:val="single"/>
          </w:rPr>
          <w:t>https://doi.org/10.1111/1462-2920.15716</w:t>
        </w:r>
      </w:hyperlink>
      <w:r w:rsidRPr="00BA74BB">
        <w:rPr>
          <w:rFonts w:ascii="Arial" w:eastAsia="Arial" w:hAnsi="Arial" w:cs="Arial"/>
          <w:color w:val="000000" w:themeColor="text1"/>
        </w:rPr>
        <w:t xml:space="preserve"> (Accessed: 31 January 2026) </w:t>
      </w:r>
    </w:p>
    <w:p w14:paraId="0D11CB70"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Carlsson, F. and Råberg, L., (2024). The germ theory revisited: A noncentric view on infection outcome. </w:t>
      </w:r>
      <w:r w:rsidRPr="00BA74BB">
        <w:rPr>
          <w:rFonts w:ascii="Arial" w:eastAsia="Arial" w:hAnsi="Arial" w:cs="Arial"/>
          <w:i/>
          <w:iCs/>
          <w:color w:val="000000" w:themeColor="text1"/>
        </w:rPr>
        <w:t>Proceedings of the National Academy of Sciences</w:t>
      </w:r>
      <w:r w:rsidRPr="00BA74BB">
        <w:rPr>
          <w:rFonts w:ascii="Arial" w:eastAsia="Arial" w:hAnsi="Arial" w:cs="Arial"/>
          <w:color w:val="000000" w:themeColor="text1"/>
        </w:rPr>
        <w:t xml:space="preserve">, 121(17), p.e2319605121. Available at: </w:t>
      </w:r>
      <w:hyperlink r:id="rId30">
        <w:r w:rsidRPr="00BA74BB">
          <w:rPr>
            <w:rFonts w:ascii="Arial" w:eastAsia="Arial" w:hAnsi="Arial" w:cs="Arial"/>
            <w:color w:val="000000" w:themeColor="text1"/>
            <w:u w:val="single"/>
          </w:rPr>
          <w:t>https://doi.org/10.1073/pnas.2319605121</w:t>
        </w:r>
      </w:hyperlink>
      <w:r w:rsidRPr="00BA74BB">
        <w:rPr>
          <w:rFonts w:ascii="Arial" w:eastAsia="Arial" w:hAnsi="Arial" w:cs="Arial"/>
          <w:color w:val="000000" w:themeColor="text1"/>
        </w:rPr>
        <w:t xml:space="preserve">  (Accessed: 31 January 2026)</w:t>
      </w:r>
    </w:p>
    <w:p w14:paraId="7EB63910"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‌Carmo dos Santos, M., Cerqueira Silva, A.C., dos Reis Teixeira, C., Pinheiro Macedo Prazeres, F., Fernandes dos Santos, R., de Araújo Rolo, C., de Souza Santos, E., Santos da Fonseca, M., Oliveira Valente, C., Saraiva Hodel, K.V., Moraes dos Santos Fonseca, L., Sampaio Dotto Fiuza, B., de Freitas Bueno, R., Bittencourt de Andrade, J. and Aparecida Souza Machado, B. (2024). Wastewater surveillance for viral pathogens: A tool for public health. </w:t>
      </w:r>
      <w:r w:rsidRPr="00BA74BB">
        <w:rPr>
          <w:rFonts w:ascii="Arial" w:eastAsia="Arial" w:hAnsi="Arial" w:cs="Arial"/>
          <w:i/>
          <w:iCs/>
          <w:color w:val="000000" w:themeColor="text1"/>
        </w:rPr>
        <w:t>Heliyon</w:t>
      </w:r>
      <w:r w:rsidRPr="00BA74BB">
        <w:rPr>
          <w:rFonts w:ascii="Arial" w:eastAsia="Arial" w:hAnsi="Arial" w:cs="Arial"/>
          <w:color w:val="000000" w:themeColor="text1"/>
        </w:rPr>
        <w:t xml:space="preserve">, 10(13), p.e33873. Available at: </w:t>
      </w:r>
      <w:hyperlink r:id="rId31">
        <w:r w:rsidRPr="00BA74BB">
          <w:rPr>
            <w:rFonts w:ascii="Arial" w:eastAsia="Arial" w:hAnsi="Arial" w:cs="Arial"/>
            <w:color w:val="000000" w:themeColor="text1"/>
            <w:u w:val="single"/>
          </w:rPr>
          <w:t>https://doi.org/10.1016/j.heliyon.2024.e33873</w:t>
        </w:r>
      </w:hyperlink>
      <w:r w:rsidRPr="00BA74BB">
        <w:rPr>
          <w:rFonts w:ascii="Arial" w:eastAsia="Arial" w:hAnsi="Arial" w:cs="Arial"/>
          <w:color w:val="000000" w:themeColor="text1"/>
        </w:rPr>
        <w:t xml:space="preserve">  (Accessed: 31 January 2026)  </w:t>
      </w:r>
    </w:p>
    <w:p w14:paraId="2FB80F8D"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Casanova, J.L. and Abel, L., (2021). Lethal infectious diseases as inborn errors of immunity: toward a synthesis of the germ and genetic theories. </w:t>
      </w:r>
      <w:r w:rsidRPr="00BA74BB">
        <w:rPr>
          <w:rFonts w:ascii="Arial" w:eastAsia="Arial" w:hAnsi="Arial" w:cs="Arial"/>
          <w:i/>
          <w:iCs/>
          <w:color w:val="000000" w:themeColor="text1"/>
        </w:rPr>
        <w:t xml:space="preserve">Annual Review of Pathology: Mechanisms </w:t>
      </w:r>
      <w:r w:rsidRPr="00BA74BB">
        <w:rPr>
          <w:rFonts w:ascii="Arial" w:eastAsia="Arial" w:hAnsi="Arial" w:cs="Arial"/>
          <w:i/>
          <w:iCs/>
          <w:color w:val="000000" w:themeColor="text1"/>
        </w:rPr>
        <w:lastRenderedPageBreak/>
        <w:t>of Disease</w:t>
      </w:r>
      <w:r w:rsidRPr="00BA74BB">
        <w:rPr>
          <w:rFonts w:ascii="Arial" w:eastAsia="Arial" w:hAnsi="Arial" w:cs="Arial"/>
          <w:color w:val="000000" w:themeColor="text1"/>
        </w:rPr>
        <w:t xml:space="preserve">, 16(1), pp.23-50. Available at: </w:t>
      </w:r>
      <w:hyperlink r:id="rId32">
        <w:r w:rsidRPr="00BA74BB">
          <w:rPr>
            <w:rFonts w:ascii="Arial" w:eastAsia="Arial" w:hAnsi="Arial" w:cs="Arial"/>
            <w:color w:val="000000" w:themeColor="text1"/>
            <w:u w:val="single"/>
          </w:rPr>
          <w:t>https://doi.org/10.1146/annurev-pathol-031920-101429</w:t>
        </w:r>
      </w:hyperlink>
      <w:r w:rsidRPr="00BA74BB">
        <w:rPr>
          <w:rFonts w:ascii="Arial" w:eastAsia="Arial" w:hAnsi="Arial" w:cs="Arial"/>
          <w:color w:val="000000" w:themeColor="text1"/>
        </w:rPr>
        <w:t xml:space="preserve">  (Accessed: 31 January 2026)</w:t>
      </w:r>
    </w:p>
    <w:p w14:paraId="43396E10"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highlight w:val="white"/>
        </w:rPr>
        <w:t>Casanova, J.L., (2023). From second thoughts on the germ theory to a full-blown host theory. </w:t>
      </w:r>
      <w:r w:rsidRPr="00BA74BB">
        <w:rPr>
          <w:rFonts w:ascii="Arial" w:eastAsia="Arial" w:hAnsi="Arial" w:cs="Arial"/>
          <w:i/>
          <w:iCs/>
          <w:color w:val="000000" w:themeColor="text1"/>
          <w:highlight w:val="white"/>
        </w:rPr>
        <w:t>Proceedings of the National Academy of Sciences</w:t>
      </w:r>
      <w:r w:rsidRPr="00BA74BB">
        <w:rPr>
          <w:rFonts w:ascii="Arial" w:eastAsia="Arial" w:hAnsi="Arial" w:cs="Arial"/>
          <w:color w:val="000000" w:themeColor="text1"/>
          <w:highlight w:val="white"/>
        </w:rPr>
        <w:t>, </w:t>
      </w:r>
      <w:r w:rsidRPr="00BA74BB">
        <w:rPr>
          <w:rFonts w:ascii="Arial" w:eastAsia="Arial" w:hAnsi="Arial" w:cs="Arial"/>
          <w:i/>
          <w:iCs/>
          <w:color w:val="000000" w:themeColor="text1"/>
          <w:highlight w:val="white"/>
        </w:rPr>
        <w:t>120</w:t>
      </w:r>
      <w:r w:rsidRPr="00BA74BB">
        <w:rPr>
          <w:rFonts w:ascii="Arial" w:eastAsia="Arial" w:hAnsi="Arial" w:cs="Arial"/>
          <w:color w:val="000000" w:themeColor="text1"/>
          <w:highlight w:val="white"/>
        </w:rPr>
        <w:t xml:space="preserve">(26), p.e2301186120. </w:t>
      </w:r>
      <w:r w:rsidRPr="00BA74BB">
        <w:rPr>
          <w:rFonts w:ascii="Arial" w:eastAsia="Arial" w:hAnsi="Arial" w:cs="Arial"/>
          <w:color w:val="000000" w:themeColor="text1"/>
        </w:rPr>
        <w:t xml:space="preserve">Available at: </w:t>
      </w:r>
      <w:hyperlink r:id="rId33">
        <w:r w:rsidRPr="00BA74BB">
          <w:rPr>
            <w:rFonts w:ascii="Arial" w:eastAsia="Arial" w:hAnsi="Arial" w:cs="Arial"/>
            <w:color w:val="000000" w:themeColor="text1"/>
            <w:u w:val="single"/>
          </w:rPr>
          <w:t>https://doi.org/10.1073/pnas.2301186120</w:t>
        </w:r>
      </w:hyperlink>
      <w:r w:rsidRPr="00BA74BB">
        <w:rPr>
          <w:rFonts w:ascii="Arial" w:eastAsia="Arial" w:hAnsi="Arial" w:cs="Arial"/>
          <w:color w:val="000000" w:themeColor="text1"/>
        </w:rPr>
        <w:t xml:space="preserve">  (Accessed: 31 January 2026)</w:t>
      </w:r>
    </w:p>
    <w:p w14:paraId="0D402D7D"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Chowdhury, F., Ross, A.G., Islam, M.T., McMillan, N.A. and Qadri, F., (2022). Diagnosis, management, and future control of cholera. </w:t>
      </w:r>
      <w:r w:rsidRPr="00BA74BB">
        <w:rPr>
          <w:rFonts w:ascii="Arial" w:eastAsia="Arial" w:hAnsi="Arial" w:cs="Arial"/>
          <w:i/>
          <w:iCs/>
          <w:color w:val="000000" w:themeColor="text1"/>
        </w:rPr>
        <w:t>Clinical Microbiology Reviews</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35</w:t>
      </w:r>
      <w:r w:rsidRPr="00BA74BB">
        <w:rPr>
          <w:rFonts w:ascii="Arial" w:eastAsia="Arial" w:hAnsi="Arial" w:cs="Arial"/>
          <w:color w:val="000000" w:themeColor="text1"/>
        </w:rPr>
        <w:t xml:space="preserve">(3), pp.e00211-21. Available at: </w:t>
      </w:r>
      <w:hyperlink r:id="rId34">
        <w:r w:rsidRPr="00BA74BB">
          <w:rPr>
            <w:rFonts w:ascii="Arial" w:eastAsia="Arial" w:hAnsi="Arial" w:cs="Arial"/>
            <w:color w:val="000000" w:themeColor="text1"/>
            <w:u w:val="single"/>
          </w:rPr>
          <w:t>https://doi.org/10.1128/cmr.00211-21</w:t>
        </w:r>
      </w:hyperlink>
      <w:r w:rsidRPr="00BA74BB">
        <w:rPr>
          <w:rFonts w:ascii="Arial" w:eastAsia="Arial" w:hAnsi="Arial" w:cs="Arial"/>
          <w:color w:val="000000" w:themeColor="text1"/>
        </w:rPr>
        <w:t xml:space="preserve">  (Accessed: 31 January 2026)</w:t>
      </w:r>
    </w:p>
    <w:p w14:paraId="721DC76F"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Clare, J. and Kourousis, K.I. (2021). Learning from Incidents: A Qualitative Study in the Continuing Airworthiness Sector. </w:t>
      </w:r>
      <w:r w:rsidRPr="00BA74BB">
        <w:rPr>
          <w:rFonts w:ascii="Arial" w:eastAsia="Arial" w:hAnsi="Arial" w:cs="Arial"/>
          <w:i/>
          <w:iCs/>
          <w:color w:val="000000" w:themeColor="text1"/>
        </w:rPr>
        <w:t>Aerospace</w:t>
      </w:r>
      <w:r w:rsidRPr="00BA74BB">
        <w:rPr>
          <w:rFonts w:ascii="Arial" w:eastAsia="Arial" w:hAnsi="Arial" w:cs="Arial"/>
          <w:color w:val="000000" w:themeColor="text1"/>
        </w:rPr>
        <w:t xml:space="preserve">, 8(2), p.27. Available at: </w:t>
      </w:r>
      <w:hyperlink r:id="rId35">
        <w:r w:rsidRPr="00BA74BB">
          <w:rPr>
            <w:rFonts w:ascii="Arial" w:eastAsia="Arial" w:hAnsi="Arial" w:cs="Arial"/>
            <w:color w:val="000000" w:themeColor="text1"/>
            <w:u w:val="single"/>
          </w:rPr>
          <w:t>https://doi.org/10.3390/aerospace8020027</w:t>
        </w:r>
      </w:hyperlink>
      <w:r w:rsidRPr="00BA74BB">
        <w:rPr>
          <w:rFonts w:ascii="Arial" w:eastAsia="Arial" w:hAnsi="Arial" w:cs="Arial"/>
          <w:color w:val="000000" w:themeColor="text1"/>
        </w:rPr>
        <w:t xml:space="preserve">  (Accessed: 31 January 2026)</w:t>
      </w:r>
    </w:p>
    <w:p w14:paraId="7B78E1E9"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Debasish Samal, Jyotirmayee Turuk, Nayak, S.R., Pany, S., Pal, B.B. and Pati, S. (2025). Genomic insights into the dynamic antibiotic resistance landscape of Vibrio cholerae during the Cholera outbreak 2022 in Odisha, India. Scientific Reports, 15(1).  Available at: </w:t>
      </w:r>
      <w:hyperlink r:id="rId36">
        <w:r w:rsidRPr="00BA74BB">
          <w:rPr>
            <w:rFonts w:ascii="Roboto" w:eastAsia="Roboto" w:hAnsi="Roboto" w:cs="Roboto"/>
            <w:color w:val="000000" w:themeColor="text1"/>
            <w:sz w:val="24"/>
            <w:szCs w:val="24"/>
            <w:highlight w:val="white"/>
            <w:u w:val="single"/>
          </w:rPr>
          <w:t>https://doi.org/10.1038/s41598-024-81596-4</w:t>
        </w:r>
      </w:hyperlink>
      <w:r w:rsidRPr="00BA74BB">
        <w:rPr>
          <w:rFonts w:ascii="Roboto" w:eastAsia="Roboto" w:hAnsi="Roboto" w:cs="Roboto"/>
          <w:color w:val="000000" w:themeColor="text1"/>
          <w:sz w:val="24"/>
          <w:szCs w:val="24"/>
          <w:highlight w:val="white"/>
        </w:rPr>
        <w:t xml:space="preserve"> </w:t>
      </w:r>
      <w:r w:rsidRPr="00BA74BB">
        <w:rPr>
          <w:rFonts w:ascii="Arial" w:eastAsia="Arial" w:hAnsi="Arial" w:cs="Arial"/>
          <w:color w:val="000000" w:themeColor="text1"/>
        </w:rPr>
        <w:t xml:space="preserve"> (Accessed: 31 January 2026)</w:t>
      </w:r>
    </w:p>
    <w:p w14:paraId="677F99C2"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Devi, M.S., Prasenjit Paria, Kumar, V., Pranaya Kumar Parida, Praveen Maurye, Bijay Kumar Behera and Das, B.K. (2021). Molecular identification and pathogenicity study of virulent Vibrio cholerae non O1/O139 serotype associated with mortality of farmed Labeo rohita (Hamilton, 1822), in India. </w:t>
      </w:r>
      <w:r w:rsidRPr="00BA74BB">
        <w:rPr>
          <w:rFonts w:ascii="Arial" w:eastAsia="Arial" w:hAnsi="Arial" w:cs="Arial"/>
          <w:i/>
          <w:iCs/>
          <w:color w:val="000000" w:themeColor="text1"/>
        </w:rPr>
        <w:t>Aquaculture</w:t>
      </w:r>
      <w:r w:rsidRPr="00BA74BB">
        <w:rPr>
          <w:rFonts w:ascii="Arial" w:eastAsia="Arial" w:hAnsi="Arial" w:cs="Arial"/>
          <w:color w:val="000000" w:themeColor="text1"/>
        </w:rPr>
        <w:t xml:space="preserve">, 547, pp.737529–737529. Available at: </w:t>
      </w:r>
      <w:hyperlink r:id="rId37">
        <w:r w:rsidRPr="00BA74BB">
          <w:rPr>
            <w:rFonts w:ascii="Arial" w:eastAsia="Arial" w:hAnsi="Arial" w:cs="Arial"/>
            <w:color w:val="000000" w:themeColor="text1"/>
            <w:u w:val="single"/>
          </w:rPr>
          <w:t>https://doi.org/10.1016/j.aquaculture.2021.737529</w:t>
        </w:r>
      </w:hyperlink>
      <w:r w:rsidRPr="00BA74BB">
        <w:rPr>
          <w:rFonts w:ascii="Arial" w:eastAsia="Arial" w:hAnsi="Arial" w:cs="Arial"/>
          <w:color w:val="000000" w:themeColor="text1"/>
        </w:rPr>
        <w:t xml:space="preserve">  (Accessed: 31 January 2026)</w:t>
      </w:r>
    </w:p>
    <w:p w14:paraId="253A99E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Duault, H., Durand, B. and Canini, L. (2022). Methods Combining Genomic and Epidemiological Data in the Reconstruction of Transmission Trees: A Systematic Review. </w:t>
      </w:r>
      <w:r w:rsidRPr="00BA74BB">
        <w:rPr>
          <w:rFonts w:ascii="Arial" w:eastAsia="Arial" w:hAnsi="Arial" w:cs="Arial"/>
          <w:i/>
          <w:iCs/>
          <w:color w:val="000000" w:themeColor="text1"/>
        </w:rPr>
        <w:t>Pathogens</w:t>
      </w:r>
      <w:r w:rsidRPr="00BA74BB">
        <w:rPr>
          <w:rFonts w:ascii="Arial" w:eastAsia="Arial" w:hAnsi="Arial" w:cs="Arial"/>
          <w:color w:val="000000" w:themeColor="text1"/>
        </w:rPr>
        <w:t xml:space="preserve">, 11(2), p.252. Available at: </w:t>
      </w:r>
      <w:hyperlink r:id="rId38">
        <w:r w:rsidRPr="00BA74BB">
          <w:rPr>
            <w:rFonts w:ascii="Arial" w:eastAsia="Arial" w:hAnsi="Arial" w:cs="Arial"/>
            <w:color w:val="000000" w:themeColor="text1"/>
            <w:u w:val="single"/>
          </w:rPr>
          <w:t>https://doi.org/10.3390/pathogens11020252</w:t>
        </w:r>
      </w:hyperlink>
      <w:r w:rsidRPr="00BA74BB">
        <w:rPr>
          <w:rFonts w:ascii="Arial" w:eastAsia="Arial" w:hAnsi="Arial" w:cs="Arial"/>
          <w:color w:val="000000" w:themeColor="text1"/>
        </w:rPr>
        <w:t xml:space="preserve">  (Accessed: 31 January 2026)</w:t>
      </w:r>
    </w:p>
    <w:p w14:paraId="542EA7AE"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Ebenezer, A., Iyaniwura, S.A., Omame, A., Han, Q., Wang, X., Bragazzi, N.L., Woldegerima, W.A. and Kong, J.D. (2025). Understanding cholera dynamics in African countries with persistent outbreaks: a mathematical modeling approach. </w:t>
      </w:r>
      <w:r w:rsidRPr="00BA74BB">
        <w:rPr>
          <w:rFonts w:ascii="Arial" w:eastAsia="Arial" w:hAnsi="Arial" w:cs="Arial"/>
          <w:i/>
          <w:iCs/>
          <w:color w:val="000000" w:themeColor="text1"/>
        </w:rPr>
        <w:t>BMC Public Health</w:t>
      </w:r>
      <w:r w:rsidRPr="00BA74BB">
        <w:rPr>
          <w:rFonts w:ascii="Arial" w:eastAsia="Arial" w:hAnsi="Arial" w:cs="Arial"/>
          <w:color w:val="000000" w:themeColor="text1"/>
        </w:rPr>
        <w:t xml:space="preserve">, 25(1), p.3395. Available at: </w:t>
      </w:r>
      <w:hyperlink r:id="rId39">
        <w:r w:rsidRPr="00BA74BB">
          <w:rPr>
            <w:rFonts w:ascii="Arial" w:eastAsia="Arial" w:hAnsi="Arial" w:cs="Arial"/>
            <w:color w:val="000000" w:themeColor="text1"/>
            <w:sz w:val="24"/>
            <w:szCs w:val="24"/>
            <w:highlight w:val="white"/>
            <w:u w:val="single"/>
          </w:rPr>
          <w:t>https://doi.org/10.1186/s12889-025-24507-0</w:t>
        </w:r>
      </w:hyperlink>
      <w:r w:rsidRPr="00BA74BB">
        <w:rPr>
          <w:rFonts w:ascii="Arial" w:eastAsia="Arial" w:hAnsi="Arial" w:cs="Arial"/>
          <w:color w:val="000000" w:themeColor="text1"/>
          <w:sz w:val="24"/>
          <w:szCs w:val="24"/>
          <w:highlight w:val="white"/>
        </w:rPr>
        <w:t xml:space="preserve"> </w:t>
      </w:r>
      <w:r w:rsidRPr="00BA74BB">
        <w:rPr>
          <w:rFonts w:ascii="Arial" w:eastAsia="Arial" w:hAnsi="Arial" w:cs="Arial"/>
          <w:color w:val="000000" w:themeColor="text1"/>
        </w:rPr>
        <w:t xml:space="preserve"> (Accessed: 31 January 2026)</w:t>
      </w:r>
    </w:p>
    <w:p w14:paraId="1CE38E9D"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ECDC (2022).</w:t>
      </w:r>
      <w:r w:rsidRPr="00BA74BB">
        <w:rPr>
          <w:rFonts w:ascii="Arial" w:eastAsia="Arial" w:hAnsi="Arial" w:cs="Arial"/>
          <w:i/>
          <w:iCs/>
          <w:color w:val="000000" w:themeColor="text1"/>
        </w:rPr>
        <w:t>Cholera Annual Epidemiological Report for 2022.</w:t>
      </w:r>
      <w:r w:rsidRPr="00BA74BB">
        <w:rPr>
          <w:rFonts w:ascii="Arial" w:eastAsia="Arial" w:hAnsi="Arial" w:cs="Arial"/>
          <w:color w:val="000000" w:themeColor="text1"/>
        </w:rPr>
        <w:t xml:space="preserve"> Available at:</w:t>
      </w:r>
      <w:hyperlink r:id="rId40">
        <w:r w:rsidRPr="00BA74BB">
          <w:rPr>
            <w:rFonts w:ascii="Arial" w:eastAsia="Arial" w:hAnsi="Arial" w:cs="Arial"/>
            <w:color w:val="000000" w:themeColor="text1"/>
            <w:u w:val="single"/>
          </w:rPr>
          <w:t>https://www.ecdc.europa.eu/sites/default/files/documents/CHOL_AER_2022_Report.pdf</w:t>
        </w:r>
      </w:hyperlink>
      <w:r w:rsidRPr="00BA74BB">
        <w:rPr>
          <w:rFonts w:ascii="Arial" w:eastAsia="Arial" w:hAnsi="Arial" w:cs="Arial"/>
          <w:color w:val="000000" w:themeColor="text1"/>
        </w:rPr>
        <w:t xml:space="preserve"> (Accessed: 2 December 2025)</w:t>
      </w:r>
    </w:p>
    <w:p w14:paraId="60E2CCB0"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Eybpoosh, S., Haghdoost, A.A., Mostafavi, E., Bahrampour, A., Azadmanesh, K. and Zolala, F. (2017).Molecular epidemiology of infectious diseases.</w:t>
      </w:r>
      <w:r w:rsidRPr="00BA74BB">
        <w:rPr>
          <w:rFonts w:ascii="Arial" w:eastAsia="Arial" w:hAnsi="Arial" w:cs="Arial"/>
          <w:i/>
          <w:iCs/>
          <w:color w:val="000000" w:themeColor="text1"/>
        </w:rPr>
        <w:t>Electronic Physician</w:t>
      </w:r>
      <w:r w:rsidRPr="00BA74BB">
        <w:rPr>
          <w:rFonts w:ascii="Arial" w:eastAsia="Arial" w:hAnsi="Arial" w:cs="Arial"/>
          <w:color w:val="000000" w:themeColor="text1"/>
        </w:rPr>
        <w:t xml:space="preserve">, 9(8), pp.5149–5158. Available at: </w:t>
      </w:r>
      <w:hyperlink r:id="rId41">
        <w:r w:rsidRPr="00BA74BB">
          <w:rPr>
            <w:rFonts w:ascii="Arial" w:eastAsia="Arial" w:hAnsi="Arial" w:cs="Arial"/>
            <w:color w:val="000000" w:themeColor="text1"/>
            <w:u w:val="single"/>
          </w:rPr>
          <w:t>https://doi.org/10.19082/5149</w:t>
        </w:r>
      </w:hyperlink>
      <w:r w:rsidRPr="00BA74BB">
        <w:rPr>
          <w:rFonts w:ascii="Arial" w:eastAsia="Arial" w:hAnsi="Arial" w:cs="Arial"/>
          <w:color w:val="000000" w:themeColor="text1"/>
        </w:rPr>
        <w:t xml:space="preserve">  (Accessed: 31 January 2026)</w:t>
      </w:r>
    </w:p>
    <w:p w14:paraId="77D369DB"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Filik, N. and Filik, F., (2023). Escherichia coli: Germ Theory, A Bacterial Killer Mechanism, Virulence, Pathogenicity Islands (PAIs), Pathogenesis, Secretion Systems. </w:t>
      </w:r>
      <w:r w:rsidRPr="00BA74BB">
        <w:rPr>
          <w:rFonts w:ascii="Arial" w:eastAsia="Arial" w:hAnsi="Arial" w:cs="Arial"/>
          <w:i/>
          <w:iCs/>
          <w:color w:val="000000" w:themeColor="text1"/>
        </w:rPr>
        <w:t>ActaNatura&amp;Scientia</w:t>
      </w:r>
      <w:r w:rsidRPr="00BA74BB">
        <w:rPr>
          <w:rFonts w:ascii="Arial" w:eastAsia="Arial" w:hAnsi="Arial" w:cs="Arial"/>
          <w:color w:val="000000" w:themeColor="text1"/>
        </w:rPr>
        <w:t xml:space="preserve">, 4(1). Available at: </w:t>
      </w:r>
      <w:hyperlink r:id="rId42">
        <w:r w:rsidRPr="00BA74BB">
          <w:rPr>
            <w:rFonts w:ascii="Arial" w:eastAsia="Arial" w:hAnsi="Arial" w:cs="Arial"/>
            <w:color w:val="000000" w:themeColor="text1"/>
            <w:u w:val="single"/>
          </w:rPr>
          <w:t>https://openurl.ebsco.com/EPDB%3Agcd%3A9%3A25692409/detailv2?sid=ebsco%3Aplink%3Ascholar&amp;id=ebsco%3Agcd%3A164823467&amp;crl=c&amp;link_origin=scholar.google.com</w:t>
        </w:r>
      </w:hyperlink>
      <w:r w:rsidRPr="00BA74BB">
        <w:rPr>
          <w:rFonts w:ascii="Arial" w:eastAsia="Arial" w:hAnsi="Arial" w:cs="Arial"/>
          <w:color w:val="000000" w:themeColor="text1"/>
        </w:rPr>
        <w:t xml:space="preserve"> (Accessed: 31 January 2026)</w:t>
      </w:r>
    </w:p>
    <w:p w14:paraId="0490E24F"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GOV UK (2025).</w:t>
      </w:r>
      <w:r w:rsidRPr="00BA74BB">
        <w:rPr>
          <w:rFonts w:ascii="Arial" w:eastAsia="Arial" w:hAnsi="Arial" w:cs="Arial"/>
          <w:i/>
          <w:iCs/>
          <w:color w:val="000000" w:themeColor="text1"/>
        </w:rPr>
        <w:t>Improving Health</w:t>
      </w:r>
      <w:r w:rsidRPr="00BA74BB">
        <w:rPr>
          <w:rFonts w:ascii="Arial" w:eastAsia="Arial" w:hAnsi="Arial" w:cs="Arial"/>
          <w:color w:val="000000" w:themeColor="text1"/>
        </w:rPr>
        <w:t>. Available at:</w:t>
      </w:r>
      <w:hyperlink r:id="rId43">
        <w:r w:rsidRPr="00BA74BB">
          <w:rPr>
            <w:rFonts w:ascii="Arial" w:eastAsia="Arial" w:hAnsi="Arial" w:cs="Arial"/>
            <w:color w:val="000000" w:themeColor="text1"/>
            <w:u w:val="single"/>
          </w:rPr>
          <w:t>https://assets.publishing.service.gov.uk/media/57a08af940f0b649740008aa/Science_and_Innovation_chapter6.pdf</w:t>
        </w:r>
      </w:hyperlink>
      <w:r w:rsidRPr="00BA74BB">
        <w:rPr>
          <w:rFonts w:ascii="Arial" w:eastAsia="Arial" w:hAnsi="Arial" w:cs="Arial"/>
          <w:color w:val="000000" w:themeColor="text1"/>
        </w:rPr>
        <w:t xml:space="preserve"> (Accessed: 2 December 2025)</w:t>
      </w:r>
    </w:p>
    <w:p w14:paraId="4546ABF8"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Gov UK, (2025). </w:t>
      </w:r>
      <w:r w:rsidRPr="00BA74BB">
        <w:rPr>
          <w:rFonts w:ascii="Arial" w:eastAsia="Arial" w:hAnsi="Arial" w:cs="Arial"/>
          <w:i/>
          <w:iCs/>
          <w:color w:val="000000" w:themeColor="text1"/>
        </w:rPr>
        <w:t xml:space="preserve">Copyright Act. </w:t>
      </w:r>
      <w:r w:rsidRPr="00BA74BB">
        <w:rPr>
          <w:rFonts w:ascii="Arial" w:eastAsia="Arial" w:hAnsi="Arial" w:cs="Arial"/>
          <w:color w:val="000000" w:themeColor="text1"/>
        </w:rPr>
        <w:t>Available at:</w:t>
      </w:r>
      <w:hyperlink r:id="rId44" w:anchor=":~:text=Details,Act%201988%20(as%20amended)">
        <w:r w:rsidRPr="00BA74BB">
          <w:rPr>
            <w:rFonts w:ascii="Arial" w:eastAsia="Arial" w:hAnsi="Arial" w:cs="Arial"/>
            <w:color w:val="000000" w:themeColor="text1"/>
            <w:u w:val="single"/>
          </w:rPr>
          <w:t xml:space="preserve"> https://www.gov.uk/government/publications/copyright-acts-and-related-laws#:~:text=Details,Act%201988%20(as%20amended)</w:t>
        </w:r>
      </w:hyperlink>
      <w:r w:rsidRPr="00BA74BB">
        <w:rPr>
          <w:rFonts w:ascii="Arial" w:eastAsia="Arial" w:hAnsi="Arial" w:cs="Arial"/>
          <w:color w:val="000000" w:themeColor="text1"/>
        </w:rPr>
        <w:t xml:space="preserve"> (Accessed on: 17.01.2026)</w:t>
      </w:r>
    </w:p>
    <w:p w14:paraId="43401692"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Government of the UK (2023). </w:t>
      </w:r>
      <w:r w:rsidRPr="00BA74BB">
        <w:rPr>
          <w:rFonts w:ascii="Arial" w:eastAsia="Arial" w:hAnsi="Arial" w:cs="Arial"/>
          <w:i/>
          <w:iCs/>
          <w:color w:val="000000" w:themeColor="text1"/>
        </w:rPr>
        <w:t>Introducing Fundamental Standards Consultation on proposals to change CQC registration regulations.</w:t>
      </w:r>
      <w:r w:rsidRPr="00BA74BB">
        <w:rPr>
          <w:rFonts w:ascii="Arial" w:eastAsia="Arial" w:hAnsi="Arial" w:cs="Arial"/>
          <w:color w:val="000000" w:themeColor="text1"/>
        </w:rPr>
        <w:t xml:space="preserve"> Available at: </w:t>
      </w:r>
      <w:hyperlink r:id="rId45">
        <w:r w:rsidRPr="00BA74BB">
          <w:rPr>
            <w:rFonts w:ascii="Arial" w:eastAsia="Arial" w:hAnsi="Arial" w:cs="Arial"/>
            <w:color w:val="000000" w:themeColor="text1"/>
            <w:u w:val="single"/>
          </w:rPr>
          <w:t>https://assets.publishing.service.gov.uk/media/5a7c9ac7e5274a0bb7cb82a6/Introducing_Fundamental_Standards_-_a_Consultation.pdf</w:t>
        </w:r>
      </w:hyperlink>
      <w:r w:rsidRPr="00BA74BB">
        <w:rPr>
          <w:rFonts w:ascii="Arial" w:eastAsia="Arial" w:hAnsi="Arial" w:cs="Arial"/>
          <w:color w:val="000000" w:themeColor="text1"/>
        </w:rPr>
        <w:t>. (Accessed on: 17 January 2026)</w:t>
      </w:r>
    </w:p>
    <w:p w14:paraId="0CAEB1D7"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Grek, Å., Hartwig, F. and Dougherty, M. (2024). An Inductive Approach to Quantitative Methodology—Application of Novel Penalising Models in a Case Study of Target Debt Level in Swedish Listed Companies. </w:t>
      </w:r>
      <w:r w:rsidRPr="00BA74BB">
        <w:rPr>
          <w:rFonts w:ascii="Arial" w:eastAsia="Arial" w:hAnsi="Arial" w:cs="Arial"/>
          <w:i/>
          <w:iCs/>
          <w:color w:val="000000" w:themeColor="text1"/>
        </w:rPr>
        <w:t>Journal of Risk and Financial Management</w:t>
      </w:r>
      <w:r w:rsidRPr="00BA74BB">
        <w:rPr>
          <w:rFonts w:ascii="Arial" w:eastAsia="Arial" w:hAnsi="Arial" w:cs="Arial"/>
          <w:color w:val="000000" w:themeColor="text1"/>
        </w:rPr>
        <w:t xml:space="preserve">, 17(5), p.207. Available at: </w:t>
      </w:r>
      <w:hyperlink r:id="rId46">
        <w:r w:rsidRPr="00BA74BB">
          <w:rPr>
            <w:rFonts w:ascii="Arial" w:eastAsia="Arial" w:hAnsi="Arial" w:cs="Arial"/>
            <w:color w:val="000000" w:themeColor="text1"/>
            <w:u w:val="single"/>
          </w:rPr>
          <w:t>https://doi.org/10.3390/jrfm17050207</w:t>
        </w:r>
      </w:hyperlink>
      <w:r w:rsidRPr="00BA74BB">
        <w:rPr>
          <w:rFonts w:ascii="Arial" w:eastAsia="Arial" w:hAnsi="Arial" w:cs="Arial"/>
          <w:color w:val="000000" w:themeColor="text1"/>
        </w:rPr>
        <w:t xml:space="preserve">  (Accessed: 31 January 2026)</w:t>
      </w:r>
    </w:p>
    <w:p w14:paraId="24E92D92"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GTFCC (2025).</w:t>
      </w:r>
      <w:r w:rsidRPr="00BA74BB">
        <w:rPr>
          <w:rFonts w:ascii="Arial" w:eastAsia="Arial" w:hAnsi="Arial" w:cs="Arial"/>
          <w:i/>
          <w:iCs/>
          <w:color w:val="000000" w:themeColor="text1"/>
        </w:rPr>
        <w:t>Public health surveillance for cholera Acknowledgements</w:t>
      </w:r>
      <w:r w:rsidRPr="00BA74BB">
        <w:rPr>
          <w:rFonts w:ascii="Arial" w:eastAsia="Arial" w:hAnsi="Arial" w:cs="Arial"/>
          <w:color w:val="000000" w:themeColor="text1"/>
        </w:rPr>
        <w:t>. Available at:</w:t>
      </w:r>
      <w:hyperlink r:id="rId47">
        <w:r w:rsidRPr="00BA74BB">
          <w:rPr>
            <w:rFonts w:ascii="Arial" w:eastAsia="Arial" w:hAnsi="Arial" w:cs="Arial"/>
            <w:color w:val="000000" w:themeColor="text1"/>
            <w:u w:val="single"/>
          </w:rPr>
          <w:t>https://www.gtfcc.org/wp-content/uploads/2025/04/public-health-surveillance-for-cholera-guidance-document-2024.pdf</w:t>
        </w:r>
      </w:hyperlink>
      <w:r w:rsidRPr="00BA74BB">
        <w:rPr>
          <w:rFonts w:ascii="Arial" w:eastAsia="Arial" w:hAnsi="Arial" w:cs="Arial"/>
          <w:color w:val="000000" w:themeColor="text1"/>
        </w:rPr>
        <w:t xml:space="preserve"> (Accessed: 2 December 2025)</w:t>
      </w:r>
    </w:p>
    <w:p w14:paraId="2085F0D0"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 xml:space="preserve">Hassan, M.S., Abdulahi, M., Said, A.I., Osman, F.A., Elmi, H.S.A., Korse, A.H., Dahir, H.M. and Abdi, M.I., (2025). Knowledge of cholera, handwashing practice and its associated factors in Hayayaabe IDP camp, Borama, Somaliland: a community-based study. </w:t>
      </w:r>
      <w:r w:rsidRPr="00BA74BB">
        <w:rPr>
          <w:rFonts w:ascii="Arial" w:eastAsia="Arial" w:hAnsi="Arial" w:cs="Arial"/>
          <w:i/>
          <w:iCs/>
          <w:color w:val="000000" w:themeColor="text1"/>
        </w:rPr>
        <w:t>BMC Public Health</w:t>
      </w:r>
      <w:r w:rsidRPr="00BA74BB">
        <w:rPr>
          <w:rFonts w:ascii="Arial" w:eastAsia="Arial" w:hAnsi="Arial" w:cs="Arial"/>
          <w:color w:val="000000" w:themeColor="text1"/>
        </w:rPr>
        <w:t xml:space="preserve">, 25(1), p.3697. Available at: </w:t>
      </w:r>
      <w:hyperlink r:id="rId48">
        <w:r w:rsidRPr="00BA74BB">
          <w:rPr>
            <w:rFonts w:ascii="Arial" w:eastAsia="Arial" w:hAnsi="Arial" w:cs="Arial"/>
            <w:color w:val="000000" w:themeColor="text1"/>
            <w:highlight w:val="white"/>
            <w:u w:val="single"/>
          </w:rPr>
          <w:t>https://doi.org/10.1186/s12889-025-24980-7</w:t>
        </w:r>
      </w:hyperlink>
      <w:r w:rsidRPr="00BA74BB">
        <w:rPr>
          <w:rFonts w:ascii="Arial" w:eastAsia="Arial" w:hAnsi="Arial" w:cs="Arial"/>
          <w:color w:val="000000" w:themeColor="text1"/>
          <w:highlight w:val="white"/>
        </w:rPr>
        <w:t xml:space="preserve"> </w:t>
      </w:r>
      <w:r w:rsidRPr="00BA74BB">
        <w:rPr>
          <w:rFonts w:ascii="Arial" w:eastAsia="Arial" w:hAnsi="Arial" w:cs="Arial"/>
          <w:color w:val="000000" w:themeColor="text1"/>
        </w:rPr>
        <w:t>(Accessed: 31 January 2026)</w:t>
      </w:r>
    </w:p>
    <w:p w14:paraId="4D742CEF"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Horgan, J., (2023). Germ Theory.World History Encyclopedia. Available at</w:t>
      </w:r>
      <w:r w:rsidRPr="00BA74BB">
        <w:rPr>
          <w:rFonts w:ascii="Arial" w:eastAsia="Arial" w:hAnsi="Arial" w:cs="Arial"/>
          <w:color w:val="000000" w:themeColor="text1"/>
        </w:rPr>
        <w:br/>
        <w:t xml:space="preserve">: </w:t>
      </w:r>
      <w:hyperlink r:id="rId49">
        <w:r w:rsidRPr="00BA74BB">
          <w:rPr>
            <w:rFonts w:ascii="Arial" w:eastAsia="Arial" w:hAnsi="Arial" w:cs="Arial"/>
            <w:color w:val="000000" w:themeColor="text1"/>
            <w:u w:val="single"/>
          </w:rPr>
          <w:t>https://www.worldhistory.org/Germ_Theory/</w:t>
        </w:r>
      </w:hyperlink>
      <w:r w:rsidRPr="00BA74BB">
        <w:rPr>
          <w:rFonts w:ascii="Arial" w:eastAsia="Arial" w:hAnsi="Arial" w:cs="Arial"/>
          <w:color w:val="000000" w:themeColor="text1"/>
        </w:rPr>
        <w:t xml:space="preserve"> (Accessed: 31 January 2026)</w:t>
      </w:r>
    </w:p>
    <w:p w14:paraId="7CECB0B3"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Hossain, H., Chowdhury, M.S.R., Khan, S.S., Ahmad, T., Brishty, K.A., Rahman, M., Rahman, M.N., Akter, S., Nitu, A.S., Koly, J.S. and Haque, M.S., (2025). Emerging Zoonotic Diseases: Epidemiology, Public Health Impact, and the Urgent Need for a Unified" One Health" Approach. </w:t>
      </w:r>
      <w:r w:rsidRPr="00BA74BB">
        <w:rPr>
          <w:rFonts w:ascii="Arial" w:eastAsia="Arial" w:hAnsi="Arial" w:cs="Arial"/>
          <w:i/>
          <w:iCs/>
          <w:color w:val="000000" w:themeColor="text1"/>
        </w:rPr>
        <w:t>Pakistan Veterinary Journal</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45</w:t>
      </w:r>
      <w:r w:rsidRPr="00BA74BB">
        <w:rPr>
          <w:rFonts w:ascii="Arial" w:eastAsia="Arial" w:hAnsi="Arial" w:cs="Arial"/>
          <w:color w:val="000000" w:themeColor="text1"/>
        </w:rPr>
        <w:t xml:space="preserve">(1). Available at: </w:t>
      </w:r>
      <w:hyperlink r:id="rId50">
        <w:r w:rsidRPr="00BA74BB">
          <w:rPr>
            <w:rFonts w:ascii="Arial" w:eastAsia="Arial" w:hAnsi="Arial" w:cs="Arial"/>
            <w:color w:val="000000" w:themeColor="text1"/>
            <w:u w:val="single"/>
          </w:rPr>
          <w:t>https://doi.org/10.29261/pakvetj/2025.115</w:t>
        </w:r>
      </w:hyperlink>
      <w:r w:rsidRPr="00BA74BB">
        <w:rPr>
          <w:rFonts w:ascii="Arial" w:eastAsia="Arial" w:hAnsi="Arial" w:cs="Arial"/>
          <w:color w:val="000000" w:themeColor="text1"/>
        </w:rPr>
        <w:t xml:space="preserve"> (Accessed: 31 January 2026)</w:t>
      </w:r>
    </w:p>
    <w:p w14:paraId="1F43C81A"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Hovhannesyan, K., Helou, L., Benoit Charloteaux, Jacquemin, V., Piazzon, F., Mni, M., Flohimont, C., Fasquelle, C., Davood Mashhadizadeh, Dangouloff, T., Bours, V., Servais, L., Palmeira, L. and Boemer, F. (2025). Analytical Validation of a Genomic Newborn Screening Workflow. </w:t>
      </w:r>
      <w:r w:rsidRPr="00BA74BB">
        <w:rPr>
          <w:rFonts w:ascii="Arial" w:eastAsia="Arial" w:hAnsi="Arial" w:cs="Arial"/>
          <w:i/>
          <w:iCs/>
          <w:color w:val="000000" w:themeColor="text1"/>
        </w:rPr>
        <w:t>International Journal of Neonatal Screening</w:t>
      </w:r>
      <w:r w:rsidRPr="00BA74BB">
        <w:rPr>
          <w:rFonts w:ascii="Arial" w:eastAsia="Arial" w:hAnsi="Arial" w:cs="Arial"/>
          <w:color w:val="000000" w:themeColor="text1"/>
        </w:rPr>
        <w:t xml:space="preserve">, 11(4), pp.91–91. Available at: </w:t>
      </w:r>
      <w:hyperlink r:id="rId51">
        <w:r w:rsidRPr="00BA74BB">
          <w:rPr>
            <w:rFonts w:ascii="Arial" w:eastAsia="Arial" w:hAnsi="Arial" w:cs="Arial"/>
            <w:color w:val="000000" w:themeColor="text1"/>
            <w:u w:val="single"/>
          </w:rPr>
          <w:t>https://doi.org/10.3390/ijns11040091</w:t>
        </w:r>
      </w:hyperlink>
      <w:r w:rsidRPr="00BA74BB">
        <w:rPr>
          <w:rFonts w:ascii="Arial" w:eastAsia="Arial" w:hAnsi="Arial" w:cs="Arial"/>
          <w:color w:val="000000" w:themeColor="text1"/>
        </w:rPr>
        <w:t xml:space="preserve"> (Accessed: 31 January 2026)</w:t>
      </w:r>
    </w:p>
    <w:p w14:paraId="066057B4"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Howley, C., Haas, M.A., Al Muftah, W.A., Annan, R.B., Green, E.D., Lundgren, B., Scott, R.H., Stark, Z., Tan, P., North, K.N. and Boughtwood, T. (2025). The expanding global genomics landscape: Converging priorities from national genomics programs. </w:t>
      </w:r>
      <w:r w:rsidRPr="00BA74BB">
        <w:rPr>
          <w:rFonts w:ascii="Arial" w:eastAsia="Arial" w:hAnsi="Arial" w:cs="Arial"/>
          <w:i/>
          <w:iCs/>
          <w:color w:val="000000" w:themeColor="text1"/>
        </w:rPr>
        <w:t>The American Journal of Human Genetics</w:t>
      </w:r>
      <w:r w:rsidRPr="00BA74BB">
        <w:rPr>
          <w:rFonts w:ascii="Arial" w:eastAsia="Arial" w:hAnsi="Arial" w:cs="Arial"/>
          <w:color w:val="000000" w:themeColor="text1"/>
        </w:rPr>
        <w:t xml:space="preserve">, 112(4), pp.751–763.  Available at: </w:t>
      </w:r>
      <w:r w:rsidRPr="00BA74BB">
        <w:rPr>
          <w:rFonts w:ascii="Arial" w:eastAsia="Arial" w:hAnsi="Arial" w:cs="Arial"/>
          <w:color w:val="000000" w:themeColor="text1"/>
          <w:u w:val="single"/>
        </w:rPr>
        <w:t>https://doi.org/</w:t>
      </w:r>
      <w:hyperlink r:id="rId52">
        <w:r w:rsidRPr="00BA74BB">
          <w:rPr>
            <w:rFonts w:ascii="Arial" w:eastAsia="Arial" w:hAnsi="Arial" w:cs="Arial"/>
            <w:color w:val="000000" w:themeColor="text1"/>
            <w:u w:val="single"/>
          </w:rPr>
          <w:t xml:space="preserve">10.1016/j.ajhg.2025.02.008 </w:t>
        </w:r>
      </w:hyperlink>
      <w:r w:rsidRPr="00BA74BB">
        <w:rPr>
          <w:rFonts w:ascii="Arial" w:eastAsia="Arial" w:hAnsi="Arial" w:cs="Arial"/>
          <w:color w:val="000000" w:themeColor="text1"/>
        </w:rPr>
        <w:t>(Accessed: 31 January 2026)</w:t>
      </w:r>
    </w:p>
    <w:p w14:paraId="39114818"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Igere, B.E. and Nwodo, U.U., (2024). Molecular and Genomic Epidemiology of Non-O1/Non-O139 and O1/O139 Vibrio cholerae: A Molecular typo-genomics strategy for studying Emerging Potential Environmental Bacterial Pathogens. </w:t>
      </w:r>
      <w:r w:rsidRPr="00BA74BB">
        <w:rPr>
          <w:rFonts w:ascii="Arial" w:eastAsia="Arial" w:hAnsi="Arial" w:cs="Arial"/>
          <w:i/>
          <w:iCs/>
          <w:color w:val="000000" w:themeColor="text1"/>
        </w:rPr>
        <w:t>Journal of Applied Health Sciences and Medicine</w:t>
      </w:r>
      <w:r w:rsidRPr="00BA74BB">
        <w:rPr>
          <w:rFonts w:ascii="Arial" w:eastAsia="Arial" w:hAnsi="Arial" w:cs="Arial"/>
          <w:color w:val="000000" w:themeColor="text1"/>
        </w:rPr>
        <w:t xml:space="preserve">, 4(6), pp.1-8. Available at: </w:t>
      </w:r>
      <w:r w:rsidRPr="00BA74BB">
        <w:rPr>
          <w:rFonts w:ascii="Arial" w:eastAsia="Arial" w:hAnsi="Arial" w:cs="Arial"/>
          <w:color w:val="000000" w:themeColor="text1"/>
          <w:u w:val="single"/>
        </w:rPr>
        <w:t xml:space="preserve"> </w:t>
      </w:r>
      <w:hyperlink r:id="rId53">
        <w:r w:rsidRPr="00BA74BB">
          <w:rPr>
            <w:rFonts w:ascii="Arial" w:eastAsia="Arial" w:hAnsi="Arial" w:cs="Arial"/>
            <w:color w:val="000000" w:themeColor="text1"/>
            <w:u w:val="single"/>
          </w:rPr>
          <w:t>https://doi.org/10.58614/jahsm461</w:t>
        </w:r>
      </w:hyperlink>
      <w:r w:rsidRPr="00BA74BB">
        <w:rPr>
          <w:rFonts w:ascii="Arial" w:eastAsia="Arial" w:hAnsi="Arial" w:cs="Arial"/>
          <w:color w:val="000000" w:themeColor="text1"/>
          <w:u w:val="single"/>
        </w:rPr>
        <w:t xml:space="preserve"> </w:t>
      </w:r>
      <w:r w:rsidRPr="00BA74BB">
        <w:rPr>
          <w:rFonts w:ascii="Arial" w:eastAsia="Arial" w:hAnsi="Arial" w:cs="Arial"/>
          <w:color w:val="000000" w:themeColor="text1"/>
        </w:rPr>
        <w:t>(Accessed: 31 January 2026)</w:t>
      </w:r>
    </w:p>
    <w:p w14:paraId="670780EE"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Islam, M.T., Nasreen, T., Kirchberger, P.C., Liang, K.Y.H., Orata, F.D., Johura, F.-T., Hussain, N.A.S., Im, M.S., Tarr, C.L., Alam, M. and Boucher, Y.F. (2021). Population Analysis of Vibrio cholerae in Aquatic Reservoirs Reveals a Novel Sister Species ( </w:t>
      </w:r>
      <w:r w:rsidRPr="00BA74BB">
        <w:rPr>
          <w:rFonts w:ascii="Arial" w:eastAsia="Arial" w:hAnsi="Arial" w:cs="Arial"/>
          <w:i/>
          <w:iCs/>
          <w:color w:val="000000" w:themeColor="text1"/>
        </w:rPr>
        <w:t>Vibrioparacholerae</w:t>
      </w:r>
      <w:r w:rsidRPr="00BA74BB">
        <w:rPr>
          <w:rFonts w:ascii="Arial" w:eastAsia="Arial" w:hAnsi="Arial" w:cs="Arial"/>
          <w:color w:val="000000" w:themeColor="text1"/>
        </w:rPr>
        <w:t xml:space="preserve"> sp. nov.) with </w:t>
      </w:r>
      <w:r w:rsidRPr="00BA74BB">
        <w:rPr>
          <w:rFonts w:ascii="Arial" w:eastAsia="Arial" w:hAnsi="Arial" w:cs="Arial"/>
          <w:color w:val="000000" w:themeColor="text1"/>
        </w:rPr>
        <w:lastRenderedPageBreak/>
        <w:t xml:space="preserve">a History of Association with Humans. </w:t>
      </w:r>
      <w:r w:rsidRPr="00BA74BB">
        <w:rPr>
          <w:rFonts w:ascii="Arial" w:eastAsia="Arial" w:hAnsi="Arial" w:cs="Arial"/>
          <w:i/>
          <w:iCs/>
          <w:color w:val="000000" w:themeColor="text1"/>
        </w:rPr>
        <w:t>Applied and Environmental Microbiology</w:t>
      </w:r>
      <w:r w:rsidRPr="00BA74BB">
        <w:rPr>
          <w:rFonts w:ascii="Arial" w:eastAsia="Arial" w:hAnsi="Arial" w:cs="Arial"/>
          <w:color w:val="000000" w:themeColor="text1"/>
        </w:rPr>
        <w:t xml:space="preserve">, 87(17). Available at: </w:t>
      </w:r>
      <w:hyperlink r:id="rId54">
        <w:r w:rsidRPr="00BA74BB">
          <w:rPr>
            <w:rFonts w:ascii="Arial" w:eastAsia="Arial" w:hAnsi="Arial" w:cs="Arial"/>
            <w:color w:val="000000" w:themeColor="text1"/>
            <w:u w:val="single"/>
          </w:rPr>
          <w:t>https://doi.org/10.1128/AEM.00422-21</w:t>
        </w:r>
      </w:hyperlink>
      <w:r w:rsidRPr="00BA74BB">
        <w:rPr>
          <w:rFonts w:ascii="Arial" w:eastAsia="Arial" w:hAnsi="Arial" w:cs="Arial"/>
          <w:color w:val="000000" w:themeColor="text1"/>
        </w:rPr>
        <w:t xml:space="preserve"> (Accessed: 31 January 2026)</w:t>
      </w:r>
    </w:p>
    <w:p w14:paraId="25EA1DDA"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Ismail, E.M., Kadry, M., Elshafiee, E.A., Ragab, E., Morsy, E.A., Rizk, O. and Zaki, M.M. (2021).Ecoepidemiology and Potential Transmission of Vibrio cholerae among Different Environmental Niches: An Upcoming Threat in Egypt. </w:t>
      </w:r>
      <w:r w:rsidRPr="00BA74BB">
        <w:rPr>
          <w:rFonts w:ascii="Arial" w:eastAsia="Arial" w:hAnsi="Arial" w:cs="Arial"/>
          <w:i/>
          <w:iCs/>
          <w:color w:val="000000" w:themeColor="text1"/>
        </w:rPr>
        <w:t>Pathogens</w:t>
      </w:r>
      <w:r w:rsidRPr="00BA74BB">
        <w:rPr>
          <w:rFonts w:ascii="Arial" w:eastAsia="Arial" w:hAnsi="Arial" w:cs="Arial"/>
          <w:color w:val="000000" w:themeColor="text1"/>
        </w:rPr>
        <w:t xml:space="preserve">, 10(2), p.190. Available at: </w:t>
      </w:r>
      <w:hyperlink r:id="rId55">
        <w:r w:rsidRPr="00BA74BB">
          <w:rPr>
            <w:rFonts w:ascii="Arial" w:eastAsia="Arial" w:hAnsi="Arial" w:cs="Arial"/>
            <w:color w:val="000000" w:themeColor="text1"/>
            <w:u w:val="single"/>
          </w:rPr>
          <w:t>https://doi.org/10.3390/pathogens10020190</w:t>
        </w:r>
      </w:hyperlink>
      <w:r w:rsidRPr="00BA74BB">
        <w:rPr>
          <w:rFonts w:ascii="Arial" w:eastAsia="Arial" w:hAnsi="Arial" w:cs="Arial"/>
          <w:color w:val="000000" w:themeColor="text1"/>
        </w:rPr>
        <w:t xml:space="preserve"> (Accessed: 31 January 2026)</w:t>
      </w:r>
    </w:p>
    <w:p w14:paraId="2188038C"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Jiang, Y., Zhao, W., Yang, X., Fan, F., Li, Z., Pang, B. and Kan, B. (2025). Revisiting the Genomic Epidemiology of Distinct Phage-Type Vibrio cholerae Strains Reveals Restricted Spatiotemporal Dissemination During an Epidemic. </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xml:space="preserve">, 13(7), p.1585. Available at: </w:t>
      </w:r>
      <w:hyperlink r:id="rId56">
        <w:r w:rsidRPr="00BA74BB">
          <w:rPr>
            <w:rFonts w:ascii="Arial" w:eastAsia="Arial" w:hAnsi="Arial" w:cs="Arial"/>
            <w:color w:val="000000" w:themeColor="text1"/>
            <w:u w:val="single"/>
          </w:rPr>
          <w:t>https://doi.org/10.3390/microorganisms13071585</w:t>
        </w:r>
      </w:hyperlink>
      <w:r w:rsidRPr="00BA74BB">
        <w:rPr>
          <w:rFonts w:ascii="Arial" w:eastAsia="Arial" w:hAnsi="Arial" w:cs="Arial"/>
          <w:color w:val="000000" w:themeColor="text1"/>
        </w:rPr>
        <w:t xml:space="preserve"> (Accessed: 31 January 2026)</w:t>
      </w:r>
    </w:p>
    <w:p w14:paraId="79FCD30B"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Jin, J., Jian, D., Zhou, X., Chen, Q. and Li, Y. (2025).Impact of El Niño–Southern Oscillation on Global Vegetation.</w:t>
      </w:r>
      <w:r w:rsidRPr="00BA74BB">
        <w:rPr>
          <w:rFonts w:ascii="Arial" w:eastAsia="Arial" w:hAnsi="Arial" w:cs="Arial"/>
          <w:i/>
          <w:iCs/>
          <w:color w:val="000000" w:themeColor="text1"/>
        </w:rPr>
        <w:t>Atmosphere</w:t>
      </w:r>
      <w:r w:rsidRPr="00BA74BB">
        <w:rPr>
          <w:rFonts w:ascii="Arial" w:eastAsia="Arial" w:hAnsi="Arial" w:cs="Arial"/>
          <w:color w:val="000000" w:themeColor="text1"/>
        </w:rPr>
        <w:t xml:space="preserve">, 16(6), p.701. Available at: </w:t>
      </w:r>
      <w:hyperlink r:id="rId57">
        <w:r w:rsidRPr="00BA74BB">
          <w:rPr>
            <w:rFonts w:ascii="Arial" w:eastAsia="Arial" w:hAnsi="Arial" w:cs="Arial"/>
            <w:color w:val="000000" w:themeColor="text1"/>
            <w:highlight w:val="white"/>
            <w:u w:val="single"/>
          </w:rPr>
          <w:t>https://doi.org/10.3390/atmos16060701</w:t>
        </w:r>
      </w:hyperlink>
      <w:r w:rsidRPr="00BA74BB">
        <w:rPr>
          <w:rFonts w:ascii="Arial" w:eastAsia="Arial" w:hAnsi="Arial" w:cs="Arial"/>
          <w:color w:val="000000" w:themeColor="text1"/>
          <w:sz w:val="24"/>
          <w:szCs w:val="24"/>
          <w:u w:val="single"/>
        </w:rPr>
        <w:t xml:space="preserve"> </w:t>
      </w:r>
      <w:r w:rsidRPr="00BA74BB">
        <w:rPr>
          <w:rFonts w:ascii="Arial" w:eastAsia="Arial" w:hAnsi="Arial" w:cs="Arial"/>
          <w:color w:val="000000" w:themeColor="text1"/>
        </w:rPr>
        <w:t>(Accessed: 31 January 2026)</w:t>
      </w:r>
    </w:p>
    <w:p w14:paraId="73394E3F"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‌Joseph, N.K., Mumo, E., Morlighem, C., Macharia, P.M., Snow, R.W. and Linard, C. (2024). Mosquito-borne diseases in urban East Africa: a scoping review of urban typology research and mosquito population, 2000-2024. </w:t>
      </w:r>
      <w:r w:rsidRPr="00BA74BB">
        <w:rPr>
          <w:rFonts w:ascii="Arial" w:eastAsia="Arial" w:hAnsi="Arial" w:cs="Arial"/>
          <w:i/>
          <w:iCs/>
          <w:color w:val="000000" w:themeColor="text1"/>
        </w:rPr>
        <w:t>Frontiers in Tropical Diseases</w:t>
      </w:r>
      <w:r w:rsidRPr="00BA74BB">
        <w:rPr>
          <w:rFonts w:ascii="Arial" w:eastAsia="Arial" w:hAnsi="Arial" w:cs="Arial"/>
          <w:color w:val="000000" w:themeColor="text1"/>
        </w:rPr>
        <w:t xml:space="preserve">, 5. Available at: </w:t>
      </w:r>
      <w:r w:rsidRPr="00BA74BB">
        <w:rPr>
          <w:rFonts w:ascii="Arial" w:eastAsia="Arial" w:hAnsi="Arial" w:cs="Arial"/>
          <w:color w:val="000000" w:themeColor="text1"/>
          <w:sz w:val="18"/>
          <w:szCs w:val="18"/>
          <w:shd w:val="clear" w:color="auto" w:fill="F7F7F7"/>
        </w:rPr>
        <w:t xml:space="preserve"> </w:t>
      </w:r>
      <w:hyperlink r:id="rId58">
        <w:r w:rsidRPr="00BA74BB">
          <w:rPr>
            <w:rFonts w:ascii="Arial" w:eastAsia="Arial" w:hAnsi="Arial" w:cs="Arial"/>
            <w:color w:val="000000" w:themeColor="text1"/>
            <w:u w:val="single"/>
            <w:shd w:val="clear" w:color="auto" w:fill="F7F7F7"/>
          </w:rPr>
          <w:t>https://doi.org/10.3389/fitd.2024.1499520</w:t>
        </w:r>
      </w:hyperlink>
      <w:r w:rsidRPr="00BA74BB">
        <w:rPr>
          <w:rFonts w:ascii="Arial" w:eastAsia="Arial" w:hAnsi="Arial" w:cs="Arial"/>
          <w:color w:val="000000" w:themeColor="text1"/>
        </w:rPr>
        <w:t xml:space="preserve"> (Accessed: 31 January 2026)</w:t>
      </w:r>
    </w:p>
    <w:p w14:paraId="787BAD76"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‌Jung, Y.-J., Khant, N.A., Kim, H. and Namkoong, S. (2023). Impact of Climate Change on Waterborne Diseases: Directions towards Sustainability. </w:t>
      </w:r>
      <w:r w:rsidRPr="00BA74BB">
        <w:rPr>
          <w:rFonts w:ascii="Arial" w:eastAsia="Arial" w:hAnsi="Arial" w:cs="Arial"/>
          <w:i/>
          <w:iCs/>
          <w:color w:val="000000" w:themeColor="text1"/>
        </w:rPr>
        <w:t>Water</w:t>
      </w:r>
      <w:r w:rsidRPr="00BA74BB">
        <w:rPr>
          <w:rFonts w:ascii="Arial" w:eastAsia="Arial" w:hAnsi="Arial" w:cs="Arial"/>
          <w:color w:val="000000" w:themeColor="text1"/>
        </w:rPr>
        <w:t xml:space="preserve">, 15(7), p.1298. Available at: </w:t>
      </w:r>
      <w:r w:rsidRPr="00BA74BB">
        <w:rPr>
          <w:rFonts w:ascii="Arial" w:eastAsia="Arial" w:hAnsi="Arial" w:cs="Arial"/>
          <w:color w:val="000000" w:themeColor="text1"/>
          <w:sz w:val="18"/>
          <w:szCs w:val="18"/>
          <w:shd w:val="clear" w:color="auto" w:fill="F7F7F7"/>
        </w:rPr>
        <w:t xml:space="preserve"> </w:t>
      </w:r>
      <w:r w:rsidRPr="00BA74BB">
        <w:rPr>
          <w:rFonts w:ascii="Arial" w:eastAsia="Arial" w:hAnsi="Arial" w:cs="Arial"/>
          <w:color w:val="000000" w:themeColor="text1"/>
          <w:sz w:val="20"/>
          <w:szCs w:val="20"/>
          <w:highlight w:val="white"/>
        </w:rPr>
        <w:t xml:space="preserve"> </w:t>
      </w:r>
      <w:hyperlink r:id="rId59">
        <w:r w:rsidRPr="00BA74BB">
          <w:rPr>
            <w:rFonts w:ascii="Arial" w:eastAsia="Arial" w:hAnsi="Arial" w:cs="Arial"/>
            <w:color w:val="000000" w:themeColor="text1"/>
            <w:u w:val="single"/>
          </w:rPr>
          <w:t>https://doi.org/10.3390/w15071298</w:t>
        </w:r>
      </w:hyperlink>
      <w:r w:rsidRPr="00BA74BB">
        <w:rPr>
          <w:rFonts w:ascii="Arial" w:eastAsia="Arial" w:hAnsi="Arial" w:cs="Arial"/>
          <w:color w:val="000000" w:themeColor="text1"/>
        </w:rPr>
        <w:t xml:space="preserve"> (Accessed: 31 January 2026)</w:t>
      </w:r>
    </w:p>
    <w:p w14:paraId="3BBA7B5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Kabengele Mpinga, E., Chebbaa, S., Pittet, A.-L. and Kayumbi, G. (2025). Scientific Evidence in Public Health Decision-Making: A Systematic Literature Review of the Past 50 Years. </w:t>
      </w:r>
      <w:r w:rsidRPr="00BA74BB">
        <w:rPr>
          <w:rFonts w:ascii="Arial" w:eastAsia="Arial" w:hAnsi="Arial" w:cs="Arial"/>
          <w:i/>
          <w:iCs/>
          <w:color w:val="000000" w:themeColor="text1"/>
        </w:rPr>
        <w:t>International Journal of Environmental Research and Public Health</w:t>
      </w:r>
      <w:r w:rsidRPr="00BA74BB">
        <w:rPr>
          <w:rFonts w:ascii="Arial" w:eastAsia="Arial" w:hAnsi="Arial" w:cs="Arial"/>
          <w:color w:val="000000" w:themeColor="text1"/>
        </w:rPr>
        <w:t xml:space="preserve">, 22(9), p.1343.  Available at: </w:t>
      </w:r>
      <w:r w:rsidRPr="00BA74BB">
        <w:rPr>
          <w:rFonts w:ascii="Arial" w:eastAsia="Arial" w:hAnsi="Arial" w:cs="Arial"/>
          <w:color w:val="000000" w:themeColor="text1"/>
          <w:sz w:val="18"/>
          <w:szCs w:val="18"/>
          <w:shd w:val="clear" w:color="auto" w:fill="F7F7F7"/>
        </w:rPr>
        <w:t xml:space="preserve"> </w:t>
      </w:r>
      <w:r w:rsidRPr="00BA74BB">
        <w:rPr>
          <w:rFonts w:ascii="Arial" w:eastAsia="Arial" w:hAnsi="Arial" w:cs="Arial"/>
          <w:color w:val="000000" w:themeColor="text1"/>
          <w:sz w:val="20"/>
          <w:szCs w:val="20"/>
          <w:highlight w:val="white"/>
        </w:rPr>
        <w:t xml:space="preserve"> </w:t>
      </w:r>
      <w:hyperlink r:id="rId60">
        <w:r w:rsidRPr="00BA74BB">
          <w:rPr>
            <w:rFonts w:ascii="Arial" w:eastAsia="Arial" w:hAnsi="Arial" w:cs="Arial"/>
            <w:color w:val="000000" w:themeColor="text1"/>
            <w:u w:val="single"/>
          </w:rPr>
          <w:t>https://doi.org/10.3390/ijerph22091343</w:t>
        </w:r>
      </w:hyperlink>
      <w:r w:rsidRPr="00BA74BB">
        <w:rPr>
          <w:rFonts w:ascii="Arial" w:eastAsia="Arial" w:hAnsi="Arial" w:cs="Arial"/>
          <w:color w:val="000000" w:themeColor="text1"/>
        </w:rPr>
        <w:t xml:space="preserve"> (Accessed: 31 January 2026)</w:t>
      </w:r>
    </w:p>
    <w:p w14:paraId="7C1A424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Ke, B., Pang, B., He, D., Xu, J., Chen, Q., Liang, J., Chen, J., Li, Z., Zhou, H., Deng, X. and Kan, B., (2022).Phylogenetic analysis of serogroup O5 Vibrio cholerae that caused successive cholera outbreaks—Guangdong Province, China, 2020–2021.</w:t>
      </w:r>
      <w:r w:rsidRPr="00BA74BB">
        <w:rPr>
          <w:rFonts w:ascii="Arial" w:eastAsia="Arial" w:hAnsi="Arial" w:cs="Arial"/>
          <w:i/>
          <w:iCs/>
          <w:color w:val="000000" w:themeColor="text1"/>
        </w:rPr>
        <w:t>China CDC Weekly</w:t>
      </w:r>
      <w:r w:rsidRPr="00BA74BB">
        <w:rPr>
          <w:rFonts w:ascii="Arial" w:eastAsia="Arial" w:hAnsi="Arial" w:cs="Arial"/>
          <w:color w:val="000000" w:themeColor="text1"/>
        </w:rPr>
        <w:t xml:space="preserve">, 4(12), p.238. Available at: </w:t>
      </w:r>
      <w:r w:rsidRPr="00BA74BB">
        <w:rPr>
          <w:rFonts w:ascii="Arial" w:eastAsia="Arial" w:hAnsi="Arial" w:cs="Arial"/>
          <w:color w:val="000000" w:themeColor="text1"/>
          <w:sz w:val="18"/>
          <w:szCs w:val="18"/>
          <w:shd w:val="clear" w:color="auto" w:fill="F7F7F7"/>
        </w:rPr>
        <w:t xml:space="preserve"> </w:t>
      </w:r>
      <w:r w:rsidRPr="00BA74BB">
        <w:rPr>
          <w:rFonts w:ascii="Arial" w:eastAsia="Arial" w:hAnsi="Arial" w:cs="Arial"/>
          <w:color w:val="000000" w:themeColor="text1"/>
          <w:sz w:val="20"/>
          <w:szCs w:val="20"/>
          <w:highlight w:val="white"/>
        </w:rPr>
        <w:t xml:space="preserve"> </w:t>
      </w:r>
      <w:hyperlink r:id="rId61">
        <w:r w:rsidRPr="00BA74BB">
          <w:rPr>
            <w:rFonts w:ascii="Arial" w:eastAsia="Arial" w:hAnsi="Arial" w:cs="Arial"/>
            <w:color w:val="000000" w:themeColor="text1"/>
            <w:u w:val="single"/>
          </w:rPr>
          <w:t>https://doi.org/10.46234/ccdcw2022.061</w:t>
        </w:r>
      </w:hyperlink>
      <w:r w:rsidRPr="00BA74BB">
        <w:rPr>
          <w:rFonts w:ascii="Arial" w:eastAsia="Arial" w:hAnsi="Arial" w:cs="Arial"/>
          <w:color w:val="000000" w:themeColor="text1"/>
        </w:rPr>
        <w:t xml:space="preserve"> (Accessed: 31 January 2026)</w:t>
      </w:r>
    </w:p>
    <w:p w14:paraId="166D3B78"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 xml:space="preserve">Kelly, M.M., Peters, T.M. and Farber, J.S. (2024). Secondary data analysis: Using existing data to answer new questions. </w:t>
      </w:r>
      <w:r w:rsidRPr="00BA74BB">
        <w:rPr>
          <w:rFonts w:ascii="Arial" w:eastAsia="Arial" w:hAnsi="Arial" w:cs="Arial"/>
          <w:i/>
          <w:iCs/>
          <w:color w:val="000000" w:themeColor="text1"/>
        </w:rPr>
        <w:t>Journal of Pediatric Health Care</w:t>
      </w:r>
      <w:r w:rsidRPr="00BA74BB">
        <w:rPr>
          <w:rFonts w:ascii="Arial" w:eastAsia="Arial" w:hAnsi="Arial" w:cs="Arial"/>
          <w:color w:val="000000" w:themeColor="text1"/>
        </w:rPr>
        <w:t xml:space="preserve">, 38(4), pp.615–618. Available at: </w:t>
      </w:r>
      <w:r w:rsidRPr="00BA74BB">
        <w:rPr>
          <w:rFonts w:ascii="Arial" w:eastAsia="Arial" w:hAnsi="Arial" w:cs="Arial"/>
          <w:color w:val="000000" w:themeColor="text1"/>
          <w:sz w:val="18"/>
          <w:szCs w:val="18"/>
          <w:shd w:val="clear" w:color="auto" w:fill="F7F7F7"/>
        </w:rPr>
        <w:t xml:space="preserve"> </w:t>
      </w:r>
      <w:r w:rsidRPr="00BA74BB">
        <w:rPr>
          <w:rFonts w:ascii="Arial" w:eastAsia="Arial" w:hAnsi="Arial" w:cs="Arial"/>
          <w:color w:val="000000" w:themeColor="text1"/>
          <w:sz w:val="20"/>
          <w:szCs w:val="20"/>
          <w:highlight w:val="white"/>
        </w:rPr>
        <w:t xml:space="preserve"> </w:t>
      </w:r>
      <w:hyperlink r:id="rId62">
        <w:r w:rsidRPr="00BA74BB">
          <w:rPr>
            <w:rFonts w:ascii="Arial" w:eastAsia="Arial" w:hAnsi="Arial" w:cs="Arial"/>
            <w:color w:val="000000" w:themeColor="text1"/>
            <w:sz w:val="21"/>
            <w:szCs w:val="21"/>
            <w:u w:val="single"/>
          </w:rPr>
          <w:t>https://doi.org/10.1016/j.pedhc.2024.03.005</w:t>
        </w:r>
      </w:hyperlink>
      <w:r w:rsidRPr="00BA74BB">
        <w:rPr>
          <w:rFonts w:ascii="Arial" w:eastAsia="Arial" w:hAnsi="Arial" w:cs="Arial"/>
          <w:color w:val="000000" w:themeColor="text1"/>
        </w:rPr>
        <w:t xml:space="preserve"> (Accessed: 31 January 2026)</w:t>
      </w:r>
    </w:p>
    <w:p w14:paraId="778F1B5E"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‌Kolaski, K., Logan, L.R. and Ioannidis, J.P.A. (2023). Guidance to best tools and practices for systematic reviews. </w:t>
      </w:r>
      <w:r w:rsidRPr="00BA74BB">
        <w:rPr>
          <w:rFonts w:ascii="Arial" w:eastAsia="Arial" w:hAnsi="Arial" w:cs="Arial"/>
          <w:i/>
          <w:iCs/>
          <w:color w:val="000000" w:themeColor="text1"/>
        </w:rPr>
        <w:t>Systematic Reviews</w:t>
      </w:r>
      <w:r w:rsidRPr="00BA74BB">
        <w:rPr>
          <w:rFonts w:ascii="Arial" w:eastAsia="Arial" w:hAnsi="Arial" w:cs="Arial"/>
          <w:color w:val="000000" w:themeColor="text1"/>
        </w:rPr>
        <w:t xml:space="preserve">, 12(1), pp.1–29.  Available at: </w:t>
      </w:r>
      <w:hyperlink r:id="rId63">
        <w:r w:rsidRPr="00BA74BB">
          <w:rPr>
            <w:rFonts w:ascii="Arial" w:eastAsia="Arial" w:hAnsi="Arial" w:cs="Arial"/>
            <w:color w:val="000000" w:themeColor="text1"/>
            <w:u w:val="single"/>
          </w:rPr>
          <w:t>https://doi.org/10.3233/PRM-230019</w:t>
        </w:r>
      </w:hyperlink>
      <w:r w:rsidRPr="00BA74BB">
        <w:rPr>
          <w:rFonts w:ascii="Arial" w:eastAsia="Arial" w:hAnsi="Arial" w:cs="Arial"/>
          <w:color w:val="000000" w:themeColor="text1"/>
        </w:rPr>
        <w:t xml:space="preserve">(Accessed: 31 January 2026) </w:t>
      </w:r>
    </w:p>
    <w:p w14:paraId="4819EEDE"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KristynaKorena, MiroslavaKrzyzankova, Florianova, M., Karasova, D., Babak, V., Strakova, N. and Juricova, H. (2023).Microbial Succession in the Cheese Ripening Process—Competition of the Starter Cultures and the Microbiota of the Cheese Plant Environment.</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11(7), pp.1735–1735. Available at:</w:t>
      </w:r>
      <w:r w:rsidRPr="00BA74BB">
        <w:rPr>
          <w:rFonts w:ascii="Arial" w:eastAsia="Arial" w:hAnsi="Arial" w:cs="Arial"/>
          <w:color w:val="000000" w:themeColor="text1"/>
          <w:u w:val="single"/>
        </w:rPr>
        <w:t xml:space="preserve"> </w:t>
      </w:r>
      <w:hyperlink r:id="rId64">
        <w:r w:rsidRPr="00BA74BB">
          <w:rPr>
            <w:rFonts w:ascii="Arial" w:eastAsia="Arial" w:hAnsi="Arial" w:cs="Arial"/>
            <w:color w:val="000000" w:themeColor="text1"/>
            <w:highlight w:val="white"/>
            <w:u w:val="single"/>
          </w:rPr>
          <w:t>https://doi.org/10.3390/microorganisms11071735</w:t>
        </w:r>
      </w:hyperlink>
      <w:r w:rsidRPr="00BA74BB">
        <w:rPr>
          <w:rFonts w:ascii="Arial" w:eastAsia="Arial" w:hAnsi="Arial" w:cs="Arial"/>
          <w:color w:val="000000" w:themeColor="text1"/>
        </w:rPr>
        <w:t xml:space="preserve"> (Accessed: 31 January 2026)</w:t>
      </w:r>
    </w:p>
    <w:p w14:paraId="25ED8F18"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Lanrewaju, A.A., Enitan-Folami, A.M., Sabiu, S., Edokpayi, J.N. and Swalaha, F.M., (2022). Global public health implications of human exposure to viral contaminated water</w:t>
      </w:r>
      <w:r w:rsidRPr="00BA74BB">
        <w:rPr>
          <w:rFonts w:ascii="Arial" w:eastAsia="Arial" w:hAnsi="Arial" w:cs="Arial"/>
          <w:i/>
          <w:iCs/>
          <w:color w:val="000000" w:themeColor="text1"/>
        </w:rPr>
        <w:t>.Frontiers in Microbiology</w:t>
      </w:r>
      <w:r w:rsidRPr="00BA74BB">
        <w:rPr>
          <w:rFonts w:ascii="Arial" w:eastAsia="Arial" w:hAnsi="Arial" w:cs="Arial"/>
          <w:color w:val="000000" w:themeColor="text1"/>
        </w:rPr>
        <w:t>, 13, p.981896. Available at:</w:t>
      </w:r>
      <w:r w:rsidRPr="00BA74BB">
        <w:rPr>
          <w:rFonts w:ascii="Arial" w:eastAsia="Arial" w:hAnsi="Arial" w:cs="Arial"/>
          <w:color w:val="000000" w:themeColor="text1"/>
          <w:u w:val="single"/>
        </w:rPr>
        <w:t xml:space="preserve"> </w:t>
      </w:r>
      <w:hyperlink r:id="rId65">
        <w:r w:rsidRPr="00BA74BB">
          <w:rPr>
            <w:rFonts w:ascii="Arial" w:eastAsia="Arial" w:hAnsi="Arial" w:cs="Arial"/>
            <w:color w:val="000000" w:themeColor="text1"/>
            <w:u w:val="single"/>
          </w:rPr>
          <w:t>https://doi.org/10.3389/fmicb.2022.981896</w:t>
        </w:r>
      </w:hyperlink>
      <w:r w:rsidRPr="00BA74BB">
        <w:rPr>
          <w:rFonts w:ascii="Arial" w:eastAsia="Arial" w:hAnsi="Arial" w:cs="Arial"/>
          <w:color w:val="000000" w:themeColor="text1"/>
        </w:rPr>
        <w:t xml:space="preserve"> (Accessed: 31 January 2026)</w:t>
      </w:r>
    </w:p>
    <w:p w14:paraId="25975A6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Ling-Hu, T., Rios-Guzman, E., Lorenzo-Redondo, R., Ozer, E.A. and Hultquist, J.F. (2022). Challenges and Opportunities for Global Genomic Surveillance Strategies in the COVID-19 Era. </w:t>
      </w:r>
      <w:r w:rsidRPr="00BA74BB">
        <w:rPr>
          <w:rFonts w:ascii="Arial" w:eastAsia="Arial" w:hAnsi="Arial" w:cs="Arial"/>
          <w:i/>
          <w:iCs/>
          <w:color w:val="000000" w:themeColor="text1"/>
        </w:rPr>
        <w:t>Viruses</w:t>
      </w:r>
      <w:r w:rsidRPr="00BA74BB">
        <w:rPr>
          <w:rFonts w:ascii="Arial" w:eastAsia="Arial" w:hAnsi="Arial" w:cs="Arial"/>
          <w:color w:val="000000" w:themeColor="text1"/>
        </w:rPr>
        <w:t xml:space="preserve">,14(11), p.2532. Available at: </w:t>
      </w:r>
      <w:hyperlink r:id="rId66">
        <w:r w:rsidRPr="00BA74BB">
          <w:rPr>
            <w:rFonts w:ascii="Arial" w:eastAsia="Arial" w:hAnsi="Arial" w:cs="Arial"/>
            <w:color w:val="000000" w:themeColor="text1"/>
            <w:u w:val="single"/>
          </w:rPr>
          <w:t>https://doi.org/10.3390/v14112532</w:t>
        </w:r>
      </w:hyperlink>
      <w:r w:rsidRPr="00BA74BB">
        <w:rPr>
          <w:rFonts w:ascii="Arial" w:eastAsia="Arial" w:hAnsi="Arial" w:cs="Arial"/>
          <w:color w:val="000000" w:themeColor="text1"/>
        </w:rPr>
        <w:t xml:space="preserve"> (Accessed: 31 January 2026) </w:t>
      </w:r>
    </w:p>
    <w:p w14:paraId="3A73A3E4"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Lotoux, A., Milohanic, E. and Bierne, H. (2022). The Viable But Non-Culturable State of Listeria monocytogenes in the One-Health Continuum. </w:t>
      </w:r>
      <w:r w:rsidRPr="00BA74BB">
        <w:rPr>
          <w:rFonts w:ascii="Arial" w:eastAsia="Arial" w:hAnsi="Arial" w:cs="Arial"/>
          <w:i/>
          <w:iCs/>
          <w:color w:val="000000" w:themeColor="text1"/>
        </w:rPr>
        <w:t>Frontiers in Cellular and Infection Microbiology</w:t>
      </w:r>
      <w:r w:rsidRPr="00BA74BB">
        <w:rPr>
          <w:rFonts w:ascii="Arial" w:eastAsia="Arial" w:hAnsi="Arial" w:cs="Arial"/>
          <w:color w:val="000000" w:themeColor="text1"/>
        </w:rPr>
        <w:t xml:space="preserve">, 12. Available at:  (Accessed: 31 January 2026) </w:t>
      </w:r>
    </w:p>
    <w:p w14:paraId="01633B72"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Lotoux, A., Milohanic, E. and Bierne, H., (2022). The viable but non-culturable state of listeria monocytogenes in the one-health continuum.</w:t>
      </w:r>
      <w:r w:rsidRPr="00BA74BB">
        <w:rPr>
          <w:rFonts w:ascii="Arial" w:eastAsia="Arial" w:hAnsi="Arial" w:cs="Arial"/>
          <w:i/>
          <w:iCs/>
          <w:color w:val="000000" w:themeColor="text1"/>
        </w:rPr>
        <w:t>Frontiers in Cellular and Infection Microbiology</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12</w:t>
      </w:r>
      <w:r w:rsidRPr="00BA74BB">
        <w:rPr>
          <w:rFonts w:ascii="Arial" w:eastAsia="Arial" w:hAnsi="Arial" w:cs="Arial"/>
          <w:color w:val="000000" w:themeColor="text1"/>
        </w:rPr>
        <w:t xml:space="preserve">, p.849915. Available at: </w:t>
      </w:r>
      <w:hyperlink r:id="rId67">
        <w:r w:rsidRPr="00BA74BB">
          <w:rPr>
            <w:rFonts w:ascii="Arial" w:eastAsia="Arial" w:hAnsi="Arial" w:cs="Arial"/>
            <w:color w:val="000000" w:themeColor="text1"/>
            <w:u w:val="single"/>
          </w:rPr>
          <w:t>https://doi.org/10.3389/fcimb.2022.849915</w:t>
        </w:r>
      </w:hyperlink>
      <w:r w:rsidRPr="00BA74BB">
        <w:rPr>
          <w:rFonts w:ascii="Arial" w:eastAsia="Arial" w:hAnsi="Arial" w:cs="Arial"/>
          <w:color w:val="000000" w:themeColor="text1"/>
        </w:rPr>
        <w:t xml:space="preserve"> (Accessed: 31 January 2026) </w:t>
      </w:r>
    </w:p>
    <w:p w14:paraId="56EC412E"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Mageto, L.M., Aboge, G.O., Mekuria, Z.H., Gathura, P., Juma, J., Mugo, M., Kebenei, C.K., Imoli, D., Ongadi, B.A., Kering, K., Mbae, C.K. and Kariuki, S. (2025). Genomic characterization of Vibrio cholerae isolated from clinical and environmental sources during the 2022–2023 cholera outbreak in Kenya. </w:t>
      </w:r>
      <w:r w:rsidRPr="00BA74BB">
        <w:rPr>
          <w:rFonts w:ascii="Arial" w:eastAsia="Arial" w:hAnsi="Arial" w:cs="Arial"/>
          <w:i/>
          <w:iCs/>
          <w:color w:val="000000" w:themeColor="text1"/>
        </w:rPr>
        <w:t>Frontiers in Microbiology</w:t>
      </w:r>
      <w:r w:rsidRPr="00BA74BB">
        <w:rPr>
          <w:rFonts w:ascii="Arial" w:eastAsia="Arial" w:hAnsi="Arial" w:cs="Arial"/>
          <w:color w:val="000000" w:themeColor="text1"/>
        </w:rPr>
        <w:t xml:space="preserve">, 16. Available at: </w:t>
      </w:r>
      <w:hyperlink r:id="rId68">
        <w:r w:rsidRPr="00BA74BB">
          <w:rPr>
            <w:rFonts w:ascii="Arial" w:eastAsia="Arial" w:hAnsi="Arial" w:cs="Arial"/>
            <w:color w:val="000000" w:themeColor="text1"/>
            <w:u w:val="single"/>
          </w:rPr>
          <w:t>https://doi.org/10.3389/fmicb.2025.1603736</w:t>
        </w:r>
      </w:hyperlink>
      <w:r w:rsidRPr="00BA74BB">
        <w:rPr>
          <w:rFonts w:ascii="Arial" w:eastAsia="Arial" w:hAnsi="Arial" w:cs="Arial"/>
          <w:color w:val="000000" w:themeColor="text1"/>
        </w:rPr>
        <w:t xml:space="preserve"> (Accessed: 31 January 2026) </w:t>
      </w:r>
    </w:p>
    <w:p w14:paraId="408D6777"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 xml:space="preserve">Mageto, L.M., Aboge, G.O., Mekuria, Z.H., Gathura, P., Juma, J., Mugo, M., Collins KipkorirKebenei, Imoli, D., Ongadi, B.A., Kering, K., Mbae, C.K. and Kariuki, S. (2025). Genomic characterization of Vibrio cholerae isolated from clinical and environmental sources during the 2022–2023 cholera outbreak in Kenya. </w:t>
      </w:r>
      <w:r w:rsidRPr="00BA74BB">
        <w:rPr>
          <w:rFonts w:ascii="Arial" w:eastAsia="Arial" w:hAnsi="Arial" w:cs="Arial"/>
          <w:i/>
          <w:iCs/>
          <w:color w:val="000000" w:themeColor="text1"/>
        </w:rPr>
        <w:t>Frontiers in Microbiology</w:t>
      </w:r>
      <w:r w:rsidRPr="00BA74BB">
        <w:rPr>
          <w:rFonts w:ascii="Arial" w:eastAsia="Arial" w:hAnsi="Arial" w:cs="Arial"/>
          <w:color w:val="000000" w:themeColor="text1"/>
        </w:rPr>
        <w:t xml:space="preserve">, 16, p.1603736. Available at:  </w:t>
      </w:r>
      <w:hyperlink r:id="rId69">
        <w:r w:rsidRPr="00BA74BB">
          <w:rPr>
            <w:rFonts w:ascii="Arial" w:eastAsia="Arial" w:hAnsi="Arial" w:cs="Arial"/>
            <w:color w:val="000000" w:themeColor="text1"/>
            <w:u w:val="single"/>
          </w:rPr>
          <w:t>https://doi.org/10.3389/fmicb.2025.1603736</w:t>
        </w:r>
      </w:hyperlink>
      <w:r w:rsidRPr="00BA74BB">
        <w:rPr>
          <w:rFonts w:ascii="Arial" w:eastAsia="Arial" w:hAnsi="Arial" w:cs="Arial"/>
          <w:color w:val="000000" w:themeColor="text1"/>
        </w:rPr>
        <w:t xml:space="preserve"> (Accessed: 31 January 2026) </w:t>
      </w:r>
    </w:p>
    <w:p w14:paraId="0BC718CD"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MajaGaborov, Stojanov, Z., Popov, S., Stojanov, J., Kavalić, M., DraganaKovač and Igor Vecštejn (2024). Development and Validation of a Theoretical Model for Addressing Problems in Agile Meetings: A Systematic Literature Review and a Qualitative Study. </w:t>
      </w:r>
      <w:r w:rsidRPr="00BA74BB">
        <w:rPr>
          <w:rFonts w:ascii="Arial" w:eastAsia="Arial" w:hAnsi="Arial" w:cs="Arial"/>
          <w:i/>
          <w:iCs/>
          <w:color w:val="000000" w:themeColor="text1"/>
        </w:rPr>
        <w:t>Applied Sciences</w:t>
      </w:r>
      <w:r w:rsidRPr="00BA74BB">
        <w:rPr>
          <w:rFonts w:ascii="Arial" w:eastAsia="Arial" w:hAnsi="Arial" w:cs="Arial"/>
          <w:color w:val="000000" w:themeColor="text1"/>
        </w:rPr>
        <w:t xml:space="preserve">, 14(21), pp.9689–9689. Available at: </w:t>
      </w:r>
      <w:hyperlink r:id="rId70">
        <w:r w:rsidRPr="00BA74BB">
          <w:rPr>
            <w:rFonts w:ascii="Arial" w:eastAsia="Arial" w:hAnsi="Arial" w:cs="Arial"/>
            <w:color w:val="000000" w:themeColor="text1"/>
            <w:u w:val="single"/>
          </w:rPr>
          <w:t>https://doi.org/10.3390/app14219689</w:t>
        </w:r>
      </w:hyperlink>
      <w:r w:rsidRPr="00BA74BB">
        <w:rPr>
          <w:rFonts w:ascii="Arial" w:eastAsia="Arial" w:hAnsi="Arial" w:cs="Arial"/>
          <w:color w:val="000000" w:themeColor="text1"/>
        </w:rPr>
        <w:t xml:space="preserve"> (Accessed: 31 January 2026) </w:t>
      </w:r>
    </w:p>
    <w:p w14:paraId="700F1868"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Meagher, K.M., Watson, S., Suh, G.A. and Virk, A. (2022). The New Precision Stewards? </w:t>
      </w:r>
      <w:r w:rsidRPr="00BA74BB">
        <w:rPr>
          <w:rFonts w:ascii="Arial" w:eastAsia="Arial" w:hAnsi="Arial" w:cs="Arial"/>
          <w:i/>
          <w:iCs/>
          <w:color w:val="000000" w:themeColor="text1"/>
        </w:rPr>
        <w:t>Journal of Personalized Medicine</w:t>
      </w:r>
      <w:r w:rsidRPr="00BA74BB">
        <w:rPr>
          <w:rFonts w:ascii="Arial" w:eastAsia="Arial" w:hAnsi="Arial" w:cs="Arial"/>
          <w:color w:val="000000" w:themeColor="text1"/>
        </w:rPr>
        <w:t xml:space="preserve">, 12(8), p.1308. Available at: </w:t>
      </w:r>
      <w:hyperlink r:id="rId71">
        <w:r w:rsidRPr="00BA74BB">
          <w:rPr>
            <w:rFonts w:ascii="Arial" w:eastAsia="Arial" w:hAnsi="Arial" w:cs="Arial"/>
            <w:color w:val="000000" w:themeColor="text1"/>
            <w:u w:val="single"/>
          </w:rPr>
          <w:t>https://doi.org/10.3390/jpm12081308</w:t>
        </w:r>
      </w:hyperlink>
      <w:r w:rsidRPr="00BA74BB">
        <w:rPr>
          <w:rFonts w:ascii="Arial" w:eastAsia="Arial" w:hAnsi="Arial" w:cs="Arial"/>
          <w:color w:val="000000" w:themeColor="text1"/>
        </w:rPr>
        <w:t xml:space="preserve"> (Accessed: 31 January 2026) </w:t>
      </w:r>
    </w:p>
    <w:p w14:paraId="0E2846DE"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Meradji, S., Basher, N. S., Sassi, A., Ibrahim, N. A., Idres, T., &amp; Touati, A. (2025). The Role of Water as a Reservoir for Antibiotic-Resistant Bacteria. </w:t>
      </w:r>
      <w:r w:rsidRPr="00BA74BB">
        <w:rPr>
          <w:rFonts w:ascii="Arial" w:eastAsia="Arial" w:hAnsi="Arial" w:cs="Arial"/>
          <w:i/>
          <w:iCs/>
          <w:color w:val="000000" w:themeColor="text1"/>
        </w:rPr>
        <w:t>Antibiotics</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14</w:t>
      </w:r>
      <w:r w:rsidRPr="00BA74BB">
        <w:rPr>
          <w:rFonts w:ascii="Arial" w:eastAsia="Arial" w:hAnsi="Arial" w:cs="Arial"/>
          <w:color w:val="000000" w:themeColor="text1"/>
        </w:rPr>
        <w:t xml:space="preserve">(8), 763. Available at: </w:t>
      </w:r>
      <w:hyperlink r:id="rId72">
        <w:r w:rsidRPr="00BA74BB">
          <w:rPr>
            <w:rFonts w:ascii="Arial" w:eastAsia="Arial" w:hAnsi="Arial" w:cs="Arial"/>
            <w:color w:val="000000" w:themeColor="text1"/>
            <w:u w:val="single"/>
          </w:rPr>
          <w:t>https://doi.org/10.3390/antibiotics14080763</w:t>
        </w:r>
      </w:hyperlink>
      <w:r w:rsidRPr="00BA74BB">
        <w:rPr>
          <w:rFonts w:ascii="Arial" w:eastAsia="Arial" w:hAnsi="Arial" w:cs="Arial"/>
          <w:color w:val="000000" w:themeColor="text1"/>
        </w:rPr>
        <w:t xml:space="preserve"> (Accessed: 31 January 2026)   </w:t>
      </w:r>
    </w:p>
    <w:p w14:paraId="3A337A81"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Mevada, V., Patel, R., Dudhagara, P., Chaudhari, R., Vohra, M., Khan, V., Shyu, D.J.H., Chen, Y.-Y. andZala, D. (2023). Whole Genome Sequencing and Pan-Genomic Analysis of Multidrug-Resistant Vibrio cholerae VC01 Isolated from a Clinical Sample. </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xml:space="preserve">, 11(8), p.2030. Available at: </w:t>
      </w:r>
      <w:hyperlink r:id="rId73">
        <w:r w:rsidRPr="00BA74BB">
          <w:rPr>
            <w:rFonts w:ascii="Arial" w:eastAsia="Arial" w:hAnsi="Arial" w:cs="Arial"/>
            <w:color w:val="000000" w:themeColor="text1"/>
            <w:u w:val="single"/>
          </w:rPr>
          <w:t>https://doi.org/10.3390/microorganisms11082030</w:t>
        </w:r>
      </w:hyperlink>
      <w:r w:rsidRPr="00BA74BB">
        <w:rPr>
          <w:rFonts w:ascii="Arial" w:eastAsia="Arial" w:hAnsi="Arial" w:cs="Arial"/>
          <w:color w:val="000000" w:themeColor="text1"/>
        </w:rPr>
        <w:t xml:space="preserve"> (Accessed: 31 January 2026) </w:t>
      </w:r>
    </w:p>
    <w:p w14:paraId="63EF881E"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Mohamed, M.G., Dabou, A., Abdelsamad, S. and Elsalous, S.H. (2025). Cholera outbreaks: Public health implications, economic burden, and preventive strategies. </w:t>
      </w:r>
      <w:r w:rsidRPr="00BA74BB">
        <w:rPr>
          <w:rFonts w:ascii="Arial" w:eastAsia="Arial" w:hAnsi="Arial" w:cs="Arial"/>
          <w:i/>
          <w:iCs/>
          <w:color w:val="000000" w:themeColor="text1"/>
        </w:rPr>
        <w:t>AIMS Public Health</w:t>
      </w:r>
      <w:r w:rsidRPr="00BA74BB">
        <w:rPr>
          <w:rFonts w:ascii="Arial" w:eastAsia="Arial" w:hAnsi="Arial" w:cs="Arial"/>
          <w:color w:val="000000" w:themeColor="text1"/>
        </w:rPr>
        <w:t xml:space="preserve">, 12(3), pp.767–795. Available at: </w:t>
      </w:r>
      <w:hyperlink r:id="rId74">
        <w:r w:rsidRPr="00BA74BB">
          <w:rPr>
            <w:rFonts w:ascii="Arial" w:eastAsia="Arial" w:hAnsi="Arial" w:cs="Arial"/>
            <w:color w:val="000000" w:themeColor="text1"/>
            <w:u w:val="single"/>
          </w:rPr>
          <w:t>https://doi.org/10.3934/publichealth.2025039</w:t>
        </w:r>
      </w:hyperlink>
      <w:r w:rsidRPr="00BA74BB">
        <w:rPr>
          <w:rFonts w:ascii="Arial" w:eastAsia="Arial" w:hAnsi="Arial" w:cs="Arial"/>
          <w:color w:val="000000" w:themeColor="text1"/>
        </w:rPr>
        <w:t xml:space="preserve"> (Accessed: 31 January 2026) </w:t>
      </w:r>
    </w:p>
    <w:p w14:paraId="7745DE42"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Montero, D.A., Vidal, R.M., Velasco, J., George, S., Lucero, Y., Gómez, L.A., Carreño, L.J., García-Betancourt, R. and O’Ryan, M. (2023). Vibrio cholerae, classification, pathogenesis, immune response, and trends in vaccine development. </w:t>
      </w:r>
      <w:r w:rsidRPr="00BA74BB">
        <w:rPr>
          <w:rFonts w:ascii="Arial" w:eastAsia="Arial" w:hAnsi="Arial" w:cs="Arial"/>
          <w:i/>
          <w:iCs/>
          <w:color w:val="000000" w:themeColor="text1"/>
        </w:rPr>
        <w:t>Frontiers in Medicine</w:t>
      </w:r>
      <w:r w:rsidRPr="00BA74BB">
        <w:rPr>
          <w:rFonts w:ascii="Arial" w:eastAsia="Arial" w:hAnsi="Arial" w:cs="Arial"/>
          <w:color w:val="000000" w:themeColor="text1"/>
        </w:rPr>
        <w:t xml:space="preserve">, 10, pp.1155751–1155751. Available at: </w:t>
      </w:r>
      <w:hyperlink r:id="rId75">
        <w:r w:rsidRPr="00BA74BB">
          <w:rPr>
            <w:rFonts w:ascii="Arial" w:eastAsia="Arial" w:hAnsi="Arial" w:cs="Arial"/>
            <w:color w:val="000000" w:themeColor="text1"/>
            <w:u w:val="single"/>
          </w:rPr>
          <w:t>https://doi.org/10.3389/fmed.2023.1155751</w:t>
        </w:r>
      </w:hyperlink>
      <w:r w:rsidRPr="00BA74BB">
        <w:rPr>
          <w:rFonts w:ascii="Arial" w:eastAsia="Arial" w:hAnsi="Arial" w:cs="Arial"/>
          <w:color w:val="000000" w:themeColor="text1"/>
        </w:rPr>
        <w:t xml:space="preserve"> (Accessed: 31 January 2026)  </w:t>
      </w:r>
    </w:p>
    <w:p w14:paraId="4E6C7161"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Nur, E., Irekeola, A. A., Elmi, A. H., Chua, W. C., &amp; Chan, Y. Y. (2024). Global prevalence patterns and distribution of Vibrio cholerae: A systematic review and meta-analysis of 176,740 of samples. </w:t>
      </w:r>
      <w:r w:rsidRPr="00BA74BB">
        <w:rPr>
          <w:rFonts w:ascii="Arial" w:eastAsia="Arial" w:hAnsi="Arial" w:cs="Arial"/>
          <w:color w:val="000000" w:themeColor="text1"/>
        </w:rPr>
        <w:lastRenderedPageBreak/>
        <w:t xml:space="preserve">Journal of Infection and Public Health, 17(11), 102558–102558. Available at: </w:t>
      </w:r>
      <w:hyperlink r:id="rId76">
        <w:r w:rsidRPr="00BA74BB">
          <w:rPr>
            <w:rFonts w:ascii="Arial" w:eastAsia="Arial" w:hAnsi="Arial" w:cs="Arial"/>
            <w:color w:val="000000" w:themeColor="text1"/>
            <w:u w:val="single"/>
          </w:rPr>
          <w:t>https://doi.org/10.1016/j.jiph.2024.102558</w:t>
        </w:r>
      </w:hyperlink>
      <w:r w:rsidRPr="00BA74BB">
        <w:rPr>
          <w:rFonts w:ascii="Arial" w:eastAsia="Arial" w:hAnsi="Arial" w:cs="Arial"/>
          <w:color w:val="000000" w:themeColor="text1"/>
        </w:rPr>
        <w:t xml:space="preserve"> (Accessed: 31 January 2026) </w:t>
      </w:r>
    </w:p>
    <w:p w14:paraId="31466331"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Odoi, J.O., Anuntawirun, S., Roongrojmongkhon, N., Singchat, W., Panthum, T., Roberts, T.M., Clark, T.G., Srikulnath, K. and Jeamsripong, S., (2025). Genetic insights into antimicrobial resistance and virulence characteristics of Salmonella enterica isolated from Nile tilapia sourced from retail markets in Thailand. </w:t>
      </w:r>
      <w:r w:rsidRPr="00BA74BB">
        <w:rPr>
          <w:rFonts w:ascii="Arial" w:eastAsia="Arial" w:hAnsi="Arial" w:cs="Arial"/>
          <w:i/>
          <w:iCs/>
          <w:color w:val="000000" w:themeColor="text1"/>
        </w:rPr>
        <w:t>BMC microbiology</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25</w:t>
      </w:r>
      <w:r w:rsidRPr="00BA74BB">
        <w:rPr>
          <w:rFonts w:ascii="Arial" w:eastAsia="Arial" w:hAnsi="Arial" w:cs="Arial"/>
          <w:color w:val="000000" w:themeColor="text1"/>
        </w:rPr>
        <w:t xml:space="preserve">(1), p.777. Available at: </w:t>
      </w:r>
      <w:hyperlink r:id="rId77">
        <w:r w:rsidRPr="00BA74BB">
          <w:rPr>
            <w:rFonts w:ascii="Arial" w:eastAsia="Arial" w:hAnsi="Arial" w:cs="Arial"/>
            <w:color w:val="000000" w:themeColor="text1"/>
            <w:u w:val="single"/>
          </w:rPr>
          <w:t>https://doi.org/10.1186/s12866-025-04451-0</w:t>
        </w:r>
      </w:hyperlink>
      <w:r w:rsidRPr="00BA74BB">
        <w:rPr>
          <w:rFonts w:ascii="Arial" w:eastAsia="Arial" w:hAnsi="Arial" w:cs="Arial"/>
          <w:color w:val="000000" w:themeColor="text1"/>
        </w:rPr>
        <w:t xml:space="preserve"> (Accessed: 31 January 2026) </w:t>
      </w:r>
    </w:p>
    <w:p w14:paraId="7458172E"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‌Oon, Y.-L., Oon, Y.-S., Ayaz, M., Deng, M., Li, L. and Song, K. (2023). Waterborne pathogens detection technologies: advances, challenges, and future perspectives. </w:t>
      </w:r>
      <w:r w:rsidRPr="00BA74BB">
        <w:rPr>
          <w:rFonts w:ascii="Arial" w:eastAsia="Arial" w:hAnsi="Arial" w:cs="Arial"/>
          <w:i/>
          <w:iCs/>
          <w:color w:val="000000" w:themeColor="text1"/>
        </w:rPr>
        <w:t>Frontiers in Microbiology</w:t>
      </w:r>
      <w:r w:rsidRPr="00BA74BB">
        <w:rPr>
          <w:rFonts w:ascii="Arial" w:eastAsia="Arial" w:hAnsi="Arial" w:cs="Arial"/>
          <w:color w:val="000000" w:themeColor="text1"/>
        </w:rPr>
        <w:t xml:space="preserve">, 14. Available at: </w:t>
      </w:r>
      <w:hyperlink r:id="rId78">
        <w:r w:rsidRPr="00BA74BB">
          <w:rPr>
            <w:rFonts w:ascii="Arial" w:eastAsia="Arial" w:hAnsi="Arial" w:cs="Arial"/>
            <w:color w:val="000000" w:themeColor="text1"/>
            <w:u w:val="single"/>
          </w:rPr>
          <w:t>https://doi.org/10.3389/fmicb.2023.1286923</w:t>
        </w:r>
      </w:hyperlink>
      <w:r w:rsidRPr="00BA74BB">
        <w:rPr>
          <w:rFonts w:ascii="Arial" w:eastAsia="Arial" w:hAnsi="Arial" w:cs="Arial"/>
          <w:color w:val="000000" w:themeColor="text1"/>
        </w:rPr>
        <w:t xml:space="preserve"> (Accessed: 31 January 2026)  </w:t>
      </w:r>
    </w:p>
    <w:p w14:paraId="727E2B61"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Pal, B.B., Samal, D., Nayak, S.R. and Pany, S. (2023). Spectrum of ctxB genotypes, antibiogram profiles and virulence genes of Vibrio choleraeserogroups isolated from environmental water sources from Odisha, India. </w:t>
      </w:r>
      <w:r w:rsidRPr="00BA74BB">
        <w:rPr>
          <w:rFonts w:ascii="Arial" w:eastAsia="Arial" w:hAnsi="Arial" w:cs="Arial"/>
          <w:i/>
          <w:iCs/>
          <w:color w:val="000000" w:themeColor="text1"/>
        </w:rPr>
        <w:t>BMC Microbiology</w:t>
      </w:r>
      <w:r w:rsidRPr="00BA74BB">
        <w:rPr>
          <w:rFonts w:ascii="Arial" w:eastAsia="Arial" w:hAnsi="Arial" w:cs="Arial"/>
          <w:color w:val="000000" w:themeColor="text1"/>
        </w:rPr>
        <w:t xml:space="preserve">, 23(1). Available at: </w:t>
      </w:r>
      <w:hyperlink r:id="rId79">
        <w:r w:rsidRPr="00BA74BB">
          <w:rPr>
            <w:rFonts w:ascii="Arial" w:eastAsia="Arial" w:hAnsi="Arial" w:cs="Arial"/>
            <w:color w:val="000000" w:themeColor="text1"/>
            <w:u w:val="single"/>
          </w:rPr>
          <w:t>https://doi.org/10.1186/s12866-023-02811-2</w:t>
        </w:r>
      </w:hyperlink>
      <w:r w:rsidRPr="00BA74BB">
        <w:rPr>
          <w:rFonts w:ascii="Arial" w:eastAsia="Arial" w:hAnsi="Arial" w:cs="Arial"/>
          <w:color w:val="000000" w:themeColor="text1"/>
        </w:rPr>
        <w:t xml:space="preserve"> (Accessed: 31 January 2026) </w:t>
      </w:r>
    </w:p>
    <w:p w14:paraId="6D532930"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Pal, B.B., Samal, D., Nayak, S.R. and Pany, S., (2023). Spectrum of ctx B genotypes, antibiogram profiles and virulence genes of Vibrio choleraeserogroups isolated from environmental water sources from Odisha, India. </w:t>
      </w:r>
      <w:r w:rsidRPr="00BA74BB">
        <w:rPr>
          <w:rFonts w:ascii="Arial" w:eastAsia="Arial" w:hAnsi="Arial" w:cs="Arial"/>
          <w:i/>
          <w:iCs/>
          <w:color w:val="000000" w:themeColor="text1"/>
        </w:rPr>
        <w:t>BMC microbiology</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23</w:t>
      </w:r>
      <w:r w:rsidRPr="00BA74BB">
        <w:rPr>
          <w:rFonts w:ascii="Arial" w:eastAsia="Arial" w:hAnsi="Arial" w:cs="Arial"/>
          <w:color w:val="000000" w:themeColor="text1"/>
        </w:rPr>
        <w:t xml:space="preserve">(1), p.75. Available at: </w:t>
      </w:r>
      <w:hyperlink r:id="rId80">
        <w:r w:rsidRPr="00BA74BB">
          <w:rPr>
            <w:rFonts w:ascii="Arial" w:eastAsia="Arial" w:hAnsi="Arial" w:cs="Arial"/>
            <w:color w:val="000000" w:themeColor="text1"/>
            <w:u w:val="single"/>
          </w:rPr>
          <w:t>https://doi.org/10.1186/s12866-023-02811-2</w:t>
        </w:r>
      </w:hyperlink>
      <w:r w:rsidRPr="00BA74BB">
        <w:rPr>
          <w:rFonts w:ascii="Arial" w:eastAsia="Arial" w:hAnsi="Arial" w:cs="Arial"/>
          <w:color w:val="000000" w:themeColor="text1"/>
        </w:rPr>
        <w:t xml:space="preserve"> (Accessed: 31 January 2026) </w:t>
      </w:r>
    </w:p>
    <w:p w14:paraId="2A600782"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Paul, S., Salunkhe, S., Mane, S.V., Kale, S. and Paul, S., (2024). William Budd: Revolutionizing Epidemiology and Public Health in the 19th Century. </w:t>
      </w:r>
      <w:r w:rsidRPr="00BA74BB">
        <w:rPr>
          <w:rFonts w:ascii="Arial" w:eastAsia="Arial" w:hAnsi="Arial" w:cs="Arial"/>
          <w:i/>
          <w:iCs/>
          <w:color w:val="000000" w:themeColor="text1"/>
        </w:rPr>
        <w:t>Cureus,</w:t>
      </w:r>
      <w:r w:rsidRPr="00BA74BB">
        <w:rPr>
          <w:rFonts w:ascii="Arial" w:eastAsia="Arial" w:hAnsi="Arial" w:cs="Arial"/>
          <w:color w:val="000000" w:themeColor="text1"/>
        </w:rPr>
        <w:t xml:space="preserve"> 16(12). Available at: </w:t>
      </w:r>
      <w:hyperlink r:id="rId81">
        <w:r w:rsidRPr="00BA74BB">
          <w:rPr>
            <w:rFonts w:ascii="Arial" w:eastAsia="Arial" w:hAnsi="Arial" w:cs="Arial"/>
            <w:color w:val="000000" w:themeColor="text1"/>
            <w:u w:val="single"/>
          </w:rPr>
          <w:t>https://doi.org/10.7759/cureus.76278</w:t>
        </w:r>
      </w:hyperlink>
      <w:r w:rsidRPr="00BA74BB">
        <w:rPr>
          <w:rFonts w:ascii="Arial" w:eastAsia="Arial" w:hAnsi="Arial" w:cs="Arial"/>
          <w:color w:val="000000" w:themeColor="text1"/>
        </w:rPr>
        <w:t xml:space="preserve"> (Accessed: 31 January 2026) </w:t>
      </w:r>
    </w:p>
    <w:p w14:paraId="410CBD73"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Pérez-Duque, A., Gonzalez-Muñoz, A., Arboleda-Valencia, J., Vivas-Aguas, L.J., Córdoba-Meza, T., Ghennie Tatiana Rodriguez-Rey, Díaz-Guevara, P., Martinez-Urtaza, J. and Wiesner-Reyes, M. (2021). Comparative Genomics of Clinical and Environmental Isolates of Vibrio spp. of Colombia: Implications of Traits Associated with Virulence and Resistance. </w:t>
      </w:r>
      <w:r w:rsidRPr="00BA74BB">
        <w:rPr>
          <w:rFonts w:ascii="Arial" w:eastAsia="Arial" w:hAnsi="Arial" w:cs="Arial"/>
          <w:i/>
          <w:iCs/>
          <w:color w:val="000000" w:themeColor="text1"/>
        </w:rPr>
        <w:t>Pathogens</w:t>
      </w:r>
      <w:r w:rsidRPr="00BA74BB">
        <w:rPr>
          <w:rFonts w:ascii="Arial" w:eastAsia="Arial" w:hAnsi="Arial" w:cs="Arial"/>
          <w:color w:val="000000" w:themeColor="text1"/>
        </w:rPr>
        <w:t xml:space="preserve">, 10(12), pp.1605–1605. Available at: </w:t>
      </w:r>
      <w:hyperlink r:id="rId82">
        <w:r w:rsidRPr="00BA74BB">
          <w:rPr>
            <w:rFonts w:ascii="Arial" w:eastAsia="Arial" w:hAnsi="Arial" w:cs="Arial"/>
            <w:color w:val="000000" w:themeColor="text1"/>
            <w:u w:val="single"/>
          </w:rPr>
          <w:t>https://doi.org/10.3390/pathogens10121605</w:t>
        </w:r>
      </w:hyperlink>
      <w:r w:rsidRPr="00BA74BB">
        <w:rPr>
          <w:rFonts w:ascii="Arial" w:eastAsia="Arial" w:hAnsi="Arial" w:cs="Arial"/>
          <w:color w:val="000000" w:themeColor="text1"/>
        </w:rPr>
        <w:t xml:space="preserve"> (Accessed: 31 January 2026) </w:t>
      </w:r>
    </w:p>
    <w:p w14:paraId="20CCB999"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Popoola, B.M., Adeyemi, O.A. and Samson, O.J. (2025). Antibiotic-resistant bacteria in tropical freshwater ecosystems: A review of occurrence, distribution and environmental implications. </w:t>
      </w:r>
      <w:r w:rsidRPr="00BA74BB">
        <w:rPr>
          <w:rFonts w:ascii="Arial" w:eastAsia="Arial" w:hAnsi="Arial" w:cs="Arial"/>
          <w:i/>
          <w:iCs/>
          <w:color w:val="000000" w:themeColor="text1"/>
        </w:rPr>
        <w:t xml:space="preserve">The </w:t>
      </w:r>
      <w:r w:rsidRPr="00BA74BB">
        <w:rPr>
          <w:rFonts w:ascii="Arial" w:eastAsia="Arial" w:hAnsi="Arial" w:cs="Arial"/>
          <w:i/>
          <w:iCs/>
          <w:color w:val="000000" w:themeColor="text1"/>
        </w:rPr>
        <w:lastRenderedPageBreak/>
        <w:t>Microbe</w:t>
      </w:r>
      <w:r w:rsidRPr="00BA74BB">
        <w:rPr>
          <w:rFonts w:ascii="Arial" w:eastAsia="Arial" w:hAnsi="Arial" w:cs="Arial"/>
          <w:color w:val="000000" w:themeColor="text1"/>
        </w:rPr>
        <w:t xml:space="preserve">, 8, p.100457. Available at: </w:t>
      </w:r>
      <w:hyperlink r:id="rId83">
        <w:r w:rsidRPr="00BA74BB">
          <w:rPr>
            <w:rFonts w:ascii="Arial" w:eastAsia="Arial" w:hAnsi="Arial" w:cs="Arial"/>
            <w:color w:val="000000" w:themeColor="text1"/>
            <w:u w:val="single"/>
          </w:rPr>
          <w:t>https://doi.org/10.1016/j.microb.2025.100457</w:t>
        </w:r>
      </w:hyperlink>
      <w:r w:rsidRPr="00BA74BB">
        <w:rPr>
          <w:rFonts w:ascii="Arial" w:eastAsia="Arial" w:hAnsi="Arial" w:cs="Arial"/>
          <w:color w:val="000000" w:themeColor="text1"/>
        </w:rPr>
        <w:t xml:space="preserve"> (Accessed: 31 January 2026)  </w:t>
      </w:r>
    </w:p>
    <w:p w14:paraId="68F8EDBC"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Price, V., Ngwira, L.G., Lewis, J.M., Baker, K.S., Peacock, S.J., Jauneikaite, E. and Feasey, N., (2023).A systematic review of economic evaluations of whole-genome sequencing for the surveillance of bacterial pathogens.</w:t>
      </w:r>
      <w:r w:rsidRPr="00BA74BB">
        <w:rPr>
          <w:rFonts w:ascii="Arial" w:eastAsia="Arial" w:hAnsi="Arial" w:cs="Arial"/>
          <w:i/>
          <w:iCs/>
          <w:color w:val="000000" w:themeColor="text1"/>
        </w:rPr>
        <w:t>Microbial genomics</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9</w:t>
      </w:r>
      <w:r w:rsidRPr="00BA74BB">
        <w:rPr>
          <w:rFonts w:ascii="Arial" w:eastAsia="Arial" w:hAnsi="Arial" w:cs="Arial"/>
          <w:color w:val="000000" w:themeColor="text1"/>
        </w:rPr>
        <w:t xml:space="preserve">(2), p.000947. Available at: </w:t>
      </w:r>
      <w:hyperlink r:id="rId84">
        <w:r w:rsidRPr="00BA74BB">
          <w:rPr>
            <w:rFonts w:ascii="Arial" w:eastAsia="Arial" w:hAnsi="Arial" w:cs="Arial"/>
            <w:color w:val="000000" w:themeColor="text1"/>
            <w:u w:val="single"/>
          </w:rPr>
          <w:t>https://doi.org/10.1099/mgen.0.000947</w:t>
        </w:r>
      </w:hyperlink>
      <w:r w:rsidRPr="00BA74BB">
        <w:rPr>
          <w:rFonts w:ascii="Arial" w:eastAsia="Arial" w:hAnsi="Arial" w:cs="Arial"/>
          <w:color w:val="000000" w:themeColor="text1"/>
        </w:rPr>
        <w:t xml:space="preserve"> (Accessed: 31 January 2026) </w:t>
      </w:r>
    </w:p>
    <w:p w14:paraId="30C52641"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Qin, X., Yang, L., Xu, Y., Xie, L., Wang, Y. and Chen, L. (2024). Growth and Genome Features of Non-O1/O139 Vibrio cholerae Isolated from Three Species of Common Freshwater Fish. </w:t>
      </w:r>
      <w:r w:rsidRPr="00BA74BB">
        <w:rPr>
          <w:rFonts w:ascii="Arial" w:eastAsia="Arial" w:hAnsi="Arial" w:cs="Arial"/>
          <w:i/>
          <w:iCs/>
          <w:color w:val="000000" w:themeColor="text1"/>
        </w:rPr>
        <w:t>Diversity</w:t>
      </w:r>
      <w:r w:rsidRPr="00BA74BB">
        <w:rPr>
          <w:rFonts w:ascii="Arial" w:eastAsia="Arial" w:hAnsi="Arial" w:cs="Arial"/>
          <w:color w:val="000000" w:themeColor="text1"/>
        </w:rPr>
        <w:t xml:space="preserve">, 16(5), pp.268–268. Available at: </w:t>
      </w:r>
      <w:hyperlink r:id="rId85">
        <w:r w:rsidRPr="00BA74BB">
          <w:rPr>
            <w:rFonts w:ascii="Arial" w:eastAsia="Arial" w:hAnsi="Arial" w:cs="Arial"/>
            <w:color w:val="000000" w:themeColor="text1"/>
            <w:u w:val="single"/>
          </w:rPr>
          <w:t>https://doi.org/10.3390/d16050268</w:t>
        </w:r>
      </w:hyperlink>
      <w:r w:rsidRPr="00BA74BB">
        <w:rPr>
          <w:rFonts w:ascii="Arial" w:eastAsia="Arial" w:hAnsi="Arial" w:cs="Arial"/>
          <w:color w:val="000000" w:themeColor="text1"/>
        </w:rPr>
        <w:t xml:space="preserve"> (Accessed: 31 January 2026) </w:t>
      </w:r>
    </w:p>
    <w:p w14:paraId="1659671B"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Rache, L., Blondin, L., Diaz Tatis, P., Flores, C., Camargo, A., Kante, M., Wonni, I., López, C., Szurek, B., Dupas, S. and Pruvost, O., (2023).A minisatellite-based MLVA for deciphering the global epidemiology of the bacterial cassava pathogen Xanthomonasphaseolipv.manihotis. </w:t>
      </w:r>
      <w:r w:rsidRPr="00BA74BB">
        <w:rPr>
          <w:rFonts w:ascii="Arial" w:eastAsia="Arial" w:hAnsi="Arial" w:cs="Arial"/>
          <w:i/>
          <w:iCs/>
          <w:color w:val="000000" w:themeColor="text1"/>
        </w:rPr>
        <w:t>Plos one</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18</w:t>
      </w:r>
      <w:r w:rsidRPr="00BA74BB">
        <w:rPr>
          <w:rFonts w:ascii="Arial" w:eastAsia="Arial" w:hAnsi="Arial" w:cs="Arial"/>
          <w:color w:val="000000" w:themeColor="text1"/>
        </w:rPr>
        <w:t xml:space="preserve">(5), p.e0285491. Available at: </w:t>
      </w:r>
      <w:hyperlink r:id="rId86">
        <w:r w:rsidRPr="00BA74BB">
          <w:rPr>
            <w:rFonts w:ascii="Arial" w:eastAsia="Arial" w:hAnsi="Arial" w:cs="Arial"/>
            <w:color w:val="000000" w:themeColor="text1"/>
            <w:u w:val="single"/>
          </w:rPr>
          <w:t>https://doi.org/10.1371/journal.pone.0285491</w:t>
        </w:r>
      </w:hyperlink>
      <w:r w:rsidRPr="00BA74BB">
        <w:rPr>
          <w:rFonts w:ascii="Arial" w:eastAsia="Arial" w:hAnsi="Arial" w:cs="Arial"/>
          <w:color w:val="000000" w:themeColor="text1"/>
        </w:rPr>
        <w:t xml:space="preserve"> (Accessed: 31 January 2026) </w:t>
      </w:r>
    </w:p>
    <w:p w14:paraId="7ED521F7"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Rana, K., Poudel, P. and Chimoriya, R. (2023). Qualitative Methodology in Translational Health Research: Current Practices and Future Directions. </w:t>
      </w:r>
      <w:r w:rsidRPr="00BA74BB">
        <w:rPr>
          <w:rFonts w:ascii="Arial" w:eastAsia="Arial" w:hAnsi="Arial" w:cs="Arial"/>
          <w:i/>
          <w:iCs/>
          <w:color w:val="000000" w:themeColor="text1"/>
        </w:rPr>
        <w:t>Healthcare</w:t>
      </w:r>
      <w:r w:rsidRPr="00BA74BB">
        <w:rPr>
          <w:rFonts w:ascii="Arial" w:eastAsia="Arial" w:hAnsi="Arial" w:cs="Arial"/>
          <w:color w:val="000000" w:themeColor="text1"/>
        </w:rPr>
        <w:t xml:space="preserve">, 11(19), p.2665. Available at: </w:t>
      </w:r>
      <w:hyperlink r:id="rId87">
        <w:r w:rsidRPr="00BA74BB">
          <w:rPr>
            <w:rFonts w:ascii="Arial" w:eastAsia="Arial" w:hAnsi="Arial" w:cs="Arial"/>
            <w:color w:val="000000" w:themeColor="text1"/>
            <w:u w:val="single"/>
          </w:rPr>
          <w:t>https://doi.org/10.3390/healthcare11192665</w:t>
        </w:r>
      </w:hyperlink>
      <w:r w:rsidRPr="00BA74BB">
        <w:rPr>
          <w:rFonts w:ascii="Arial" w:eastAsia="Arial" w:hAnsi="Arial" w:cs="Arial"/>
          <w:color w:val="000000" w:themeColor="text1"/>
        </w:rPr>
        <w:t xml:space="preserve"> (Accessed: 31 January 2026) </w:t>
      </w:r>
    </w:p>
    <w:p w14:paraId="5184F28C"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Rouard, C., Greig, D.R., Tauhid, T., Dupke, S., Njamkepo, E., Amato, E., van der Putten, B., Naseer, U., Blaschitz, M., Mandilara, G.D., Cohen Stuart, J., Indra, A., Noël, H., Sideroglou, T., Heger, F., van den Beld, M., Wester, A.L., Quilici, M.-L., Scholz, H.C. and Fröding, I. (2024). Genomic analysis of Vibrio cholerae O1 isolates from cholera cases, Europe, 2022. </w:t>
      </w:r>
      <w:r w:rsidRPr="00BA74BB">
        <w:rPr>
          <w:rFonts w:ascii="Arial" w:eastAsia="Arial" w:hAnsi="Arial" w:cs="Arial"/>
          <w:i/>
          <w:iCs/>
          <w:color w:val="000000" w:themeColor="text1"/>
        </w:rPr>
        <w:t>Eurosurveillance</w:t>
      </w:r>
      <w:r w:rsidRPr="00BA74BB">
        <w:rPr>
          <w:rFonts w:ascii="Arial" w:eastAsia="Arial" w:hAnsi="Arial" w:cs="Arial"/>
          <w:color w:val="000000" w:themeColor="text1"/>
        </w:rPr>
        <w:t xml:space="preserve">, 29(36). Available at: </w:t>
      </w:r>
      <w:hyperlink r:id="rId88">
        <w:r w:rsidRPr="00BA74BB">
          <w:rPr>
            <w:rFonts w:ascii="Arial" w:eastAsia="Arial" w:hAnsi="Arial" w:cs="Arial"/>
            <w:color w:val="000000" w:themeColor="text1"/>
            <w:u w:val="single"/>
          </w:rPr>
          <w:t>https://doi.org/10.2807/1560-7917.ES.2024.29.36.2400069</w:t>
        </w:r>
      </w:hyperlink>
      <w:r w:rsidRPr="00BA74BB">
        <w:rPr>
          <w:rFonts w:ascii="Arial" w:eastAsia="Arial" w:hAnsi="Arial" w:cs="Arial"/>
          <w:color w:val="000000" w:themeColor="text1"/>
        </w:rPr>
        <w:t xml:space="preserve"> (Accessed: 31 January 2026) </w:t>
      </w:r>
    </w:p>
    <w:p w14:paraId="7459BB66"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Salamé, L., Bogardi, J.J., Sebesvari, Z., Tockner, K., Yazici, B., Turan, F., Calli, B., Kerç, A., Ünver, O. and Walz, Y., (2021). Drivers, pressures and stressors: The societal framework of water resources management. In </w:t>
      </w:r>
      <w:r w:rsidRPr="00BA74BB">
        <w:rPr>
          <w:rFonts w:ascii="Arial" w:eastAsia="Arial" w:hAnsi="Arial" w:cs="Arial"/>
          <w:i/>
          <w:iCs/>
          <w:color w:val="000000" w:themeColor="text1"/>
        </w:rPr>
        <w:t>Handbook of Water Resources Management: Discourses, Concepts and Examples</w:t>
      </w:r>
      <w:r w:rsidRPr="00BA74BB">
        <w:rPr>
          <w:rFonts w:ascii="Arial" w:eastAsia="Arial" w:hAnsi="Arial" w:cs="Arial"/>
          <w:color w:val="000000" w:themeColor="text1"/>
        </w:rPr>
        <w:t xml:space="preserve">, pp. 329-364. Available at: </w:t>
      </w:r>
      <w:hyperlink r:id="rId89">
        <w:r w:rsidRPr="00BA74BB">
          <w:rPr>
            <w:rFonts w:ascii="Arial" w:eastAsia="Arial" w:hAnsi="Arial" w:cs="Arial"/>
            <w:color w:val="000000" w:themeColor="text1"/>
            <w:u w:val="single"/>
          </w:rPr>
          <w:t>https://doi.org/10.1007/978-3-030-60147-8_11</w:t>
        </w:r>
      </w:hyperlink>
      <w:r w:rsidRPr="00BA74BB">
        <w:rPr>
          <w:rFonts w:ascii="Arial" w:eastAsia="Arial" w:hAnsi="Arial" w:cs="Arial"/>
          <w:color w:val="000000" w:themeColor="text1"/>
        </w:rPr>
        <w:t xml:space="preserve"> (Accessed: 31 January 2026) </w:t>
      </w:r>
    </w:p>
    <w:p w14:paraId="31773064"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 xml:space="preserve">Salzmann-Erikson, M. (2024). The intersection between logical empiricism and qualitative nursing research: a post-structuralist analysis. </w:t>
      </w:r>
      <w:r w:rsidRPr="00BA74BB">
        <w:rPr>
          <w:rFonts w:ascii="Arial" w:eastAsia="Arial" w:hAnsi="Arial" w:cs="Arial"/>
          <w:i/>
          <w:iCs/>
          <w:color w:val="000000" w:themeColor="text1"/>
        </w:rPr>
        <w:t>International Journal of Qualitative Studies on Health and Well-being</w:t>
      </w:r>
      <w:r w:rsidRPr="00BA74BB">
        <w:rPr>
          <w:rFonts w:ascii="Arial" w:eastAsia="Arial" w:hAnsi="Arial" w:cs="Arial"/>
          <w:color w:val="000000" w:themeColor="text1"/>
        </w:rPr>
        <w:t xml:space="preserve">, 19(1). Available at: </w:t>
      </w:r>
      <w:hyperlink r:id="rId90">
        <w:r w:rsidRPr="00BA74BB">
          <w:rPr>
            <w:rFonts w:ascii="Arial" w:eastAsia="Arial" w:hAnsi="Arial" w:cs="Arial"/>
            <w:color w:val="000000" w:themeColor="text1"/>
            <w:u w:val="single"/>
          </w:rPr>
          <w:t>https://doi.org/10.1080/17482631.2024.2315636</w:t>
        </w:r>
      </w:hyperlink>
      <w:r w:rsidRPr="00BA74BB">
        <w:rPr>
          <w:rFonts w:ascii="Arial" w:eastAsia="Arial" w:hAnsi="Arial" w:cs="Arial"/>
          <w:color w:val="000000" w:themeColor="text1"/>
        </w:rPr>
        <w:t xml:space="preserve"> (Accessed: 31 January 2026) </w:t>
      </w:r>
    </w:p>
    <w:p w14:paraId="44883B61"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‌Sauerborn, E., Nancy Carolina Corredor, Reska, T., Perlas, A., Vargas, S., Goldman, N., Wantia, N., Prazeres, C., Ebenezer Foster-Nyarko and Urban, L. (2024). Detection of hidden antibiotic resistance through real-time genomics. </w:t>
      </w:r>
      <w:r w:rsidRPr="00BA74BB">
        <w:rPr>
          <w:rFonts w:ascii="Arial" w:eastAsia="Arial" w:hAnsi="Arial" w:cs="Arial"/>
          <w:i/>
          <w:iCs/>
          <w:color w:val="000000" w:themeColor="text1"/>
        </w:rPr>
        <w:t>Nature communications</w:t>
      </w:r>
      <w:r w:rsidRPr="00BA74BB">
        <w:rPr>
          <w:rFonts w:ascii="Arial" w:eastAsia="Arial" w:hAnsi="Arial" w:cs="Arial"/>
          <w:color w:val="000000" w:themeColor="text1"/>
        </w:rPr>
        <w:t xml:space="preserve">, 15(1). Available at: </w:t>
      </w:r>
      <w:hyperlink r:id="rId91">
        <w:r w:rsidRPr="00BA74BB">
          <w:rPr>
            <w:rFonts w:ascii="Arial" w:eastAsia="Arial" w:hAnsi="Arial" w:cs="Arial"/>
            <w:color w:val="000000" w:themeColor="text1"/>
            <w:u w:val="single"/>
          </w:rPr>
          <w:t>https://doi.org/10.1080/17482631.2024.2315636</w:t>
        </w:r>
      </w:hyperlink>
      <w:r w:rsidRPr="00BA74BB">
        <w:rPr>
          <w:rFonts w:ascii="Arial" w:eastAsia="Arial" w:hAnsi="Arial" w:cs="Arial"/>
          <w:color w:val="000000" w:themeColor="text1"/>
        </w:rPr>
        <w:t xml:space="preserve"> (Accessed: 31 January 2026)</w:t>
      </w:r>
    </w:p>
    <w:p w14:paraId="395AC3EB"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Seethalakshmi, P.S., Anas, A., Devika Raj, K., Jasmin, C., Menon, N., George, G. and Sathyendranath, S. (2025). Genomic insights into antibiotic-resistant Vibrio species from clinical and coastal environmental sources in India. </w:t>
      </w:r>
      <w:r w:rsidRPr="00BA74BB">
        <w:rPr>
          <w:rFonts w:ascii="Arial" w:eastAsia="Arial" w:hAnsi="Arial" w:cs="Arial"/>
          <w:i/>
          <w:iCs/>
          <w:color w:val="000000" w:themeColor="text1"/>
        </w:rPr>
        <w:t>Marine Pollution Bulletin</w:t>
      </w:r>
      <w:r w:rsidRPr="00BA74BB">
        <w:rPr>
          <w:rFonts w:ascii="Arial" w:eastAsia="Arial" w:hAnsi="Arial" w:cs="Arial"/>
          <w:color w:val="000000" w:themeColor="text1"/>
        </w:rPr>
        <w:t xml:space="preserve">, 221, p.118496.   Available at: </w:t>
      </w:r>
      <w:hyperlink r:id="rId92">
        <w:r w:rsidRPr="00BA74BB">
          <w:rPr>
            <w:rFonts w:ascii="Arial" w:eastAsia="Arial" w:hAnsi="Arial" w:cs="Arial"/>
            <w:color w:val="000000" w:themeColor="text1"/>
            <w:u w:val="single"/>
          </w:rPr>
          <w:t>https://doi.org/10.1016/j.marpolbul.2025.118496</w:t>
        </w:r>
      </w:hyperlink>
      <w:r w:rsidRPr="00BA74BB">
        <w:rPr>
          <w:rFonts w:ascii="Arial" w:eastAsia="Arial" w:hAnsi="Arial" w:cs="Arial"/>
          <w:color w:val="000000" w:themeColor="text1"/>
        </w:rPr>
        <w:t xml:space="preserve"> (Accessed: 31 January 2026)</w:t>
      </w:r>
    </w:p>
    <w:p w14:paraId="6A1AD361"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Shackleton, D., Memon, F.A., Nichols, G., Phalkey, R. and Chen, A.S., (2024). Mechanisms of cholera transmission via environment in India and Bangladesh: state of the science review. </w:t>
      </w:r>
      <w:r w:rsidRPr="00BA74BB">
        <w:rPr>
          <w:rFonts w:ascii="Arial" w:eastAsia="Arial" w:hAnsi="Arial" w:cs="Arial"/>
          <w:i/>
          <w:iCs/>
          <w:color w:val="000000" w:themeColor="text1"/>
        </w:rPr>
        <w:t>Reviews on Environmental Health</w:t>
      </w:r>
      <w:r w:rsidRPr="00BA74BB">
        <w:rPr>
          <w:rFonts w:ascii="Arial" w:eastAsia="Arial" w:hAnsi="Arial" w:cs="Arial"/>
          <w:color w:val="000000" w:themeColor="text1"/>
        </w:rPr>
        <w:t xml:space="preserve">, 39(2), pp.313-329. Available at: </w:t>
      </w:r>
      <w:hyperlink r:id="rId93">
        <w:r w:rsidRPr="00BA74BB">
          <w:rPr>
            <w:rFonts w:ascii="Arial" w:eastAsia="Arial" w:hAnsi="Arial" w:cs="Arial"/>
            <w:color w:val="000000" w:themeColor="text1"/>
            <w:u w:val="single"/>
          </w:rPr>
          <w:t>https://doi.org/10.1515/reveh-2022-0201</w:t>
        </w:r>
      </w:hyperlink>
      <w:r w:rsidRPr="00BA74BB">
        <w:rPr>
          <w:rFonts w:ascii="Arial" w:eastAsia="Arial" w:hAnsi="Arial" w:cs="Arial"/>
          <w:color w:val="000000" w:themeColor="text1"/>
        </w:rPr>
        <w:t xml:space="preserve"> (Accessed: 31 January 2026)</w:t>
      </w:r>
    </w:p>
    <w:p w14:paraId="222C153E"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Shafii, N.Z., Saudi, A.S.M., Pang, J.C., Abu, I.F., Sapawe, N., Kamarudin, M.K.A. and Mohamad, M.H.N. (2023). Association of Flood Risk Patterns with Waterborne Bacterial Diseases in Malaysia. </w:t>
      </w:r>
      <w:r w:rsidRPr="00BA74BB">
        <w:rPr>
          <w:rFonts w:ascii="Arial" w:eastAsia="Arial" w:hAnsi="Arial" w:cs="Arial"/>
          <w:i/>
          <w:iCs/>
          <w:color w:val="000000" w:themeColor="text1"/>
        </w:rPr>
        <w:t>Water</w:t>
      </w:r>
      <w:r w:rsidRPr="00BA74BB">
        <w:rPr>
          <w:rFonts w:ascii="Arial" w:eastAsia="Arial" w:hAnsi="Arial" w:cs="Arial"/>
          <w:color w:val="000000" w:themeColor="text1"/>
        </w:rPr>
        <w:t>, 15(11), p.2121. Available at:  </w:t>
      </w:r>
      <w:hyperlink r:id="rId94">
        <w:r w:rsidRPr="00BA74BB">
          <w:rPr>
            <w:rFonts w:ascii="Arial" w:eastAsia="Arial" w:hAnsi="Arial" w:cs="Arial"/>
            <w:color w:val="000000" w:themeColor="text1"/>
            <w:u w:val="single"/>
          </w:rPr>
          <w:t>https://doi.org/10.3390/w15112121</w:t>
        </w:r>
      </w:hyperlink>
      <w:r w:rsidRPr="00BA74BB">
        <w:rPr>
          <w:rFonts w:ascii="Arial" w:eastAsia="Arial" w:hAnsi="Arial" w:cs="Arial"/>
          <w:color w:val="000000" w:themeColor="text1"/>
        </w:rPr>
        <w:t xml:space="preserve"> (Accessed: 31 January 2026)</w:t>
      </w:r>
    </w:p>
    <w:p w14:paraId="1037BFAC" w14:textId="77777777" w:rsidR="00550FCC" w:rsidRPr="00BA74BB" w:rsidRDefault="00550FCC">
      <w:pPr>
        <w:spacing w:after="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Stulberg, A.J., Cheng, T.L., Parise, K.L., Norquay, K.J.O., Fletcher, Q.E., Mau, R.L., Lindner, D.L., Foster, J.T., Overton, B.E., Frick, W.F. and Willis, C.K.R. (2026). Ultraviolet light and polyethylene glycol as environmental cleaning agents to reduce contamination of Pseudogymnoascus destructans in bat hibernacula. </w:t>
      </w:r>
      <w:r w:rsidRPr="00BA74BB">
        <w:rPr>
          <w:rFonts w:ascii="Arial" w:eastAsia="Arial" w:hAnsi="Arial" w:cs="Arial"/>
          <w:i/>
          <w:iCs/>
          <w:color w:val="000000" w:themeColor="text1"/>
        </w:rPr>
        <w:t>PLoS ONE</w:t>
      </w:r>
      <w:r w:rsidRPr="00BA74BB">
        <w:rPr>
          <w:rFonts w:ascii="Arial" w:eastAsia="Arial" w:hAnsi="Arial" w:cs="Arial"/>
          <w:color w:val="000000" w:themeColor="text1"/>
        </w:rPr>
        <w:t xml:space="preserve">, 21(1), pp.e0341213–e0341213. Available at: </w:t>
      </w:r>
      <w:hyperlink r:id="rId95">
        <w:r w:rsidRPr="00BA74BB">
          <w:rPr>
            <w:rFonts w:ascii="Arial" w:eastAsia="Arial" w:hAnsi="Arial" w:cs="Arial"/>
            <w:color w:val="000000" w:themeColor="text1"/>
            <w:u w:val="single"/>
          </w:rPr>
          <w:t>https://doi.org/10.1371/journal.pone.0341213</w:t>
        </w:r>
      </w:hyperlink>
      <w:r w:rsidRPr="00BA74BB">
        <w:rPr>
          <w:rFonts w:ascii="Arial" w:eastAsia="Arial" w:hAnsi="Arial" w:cs="Arial"/>
          <w:color w:val="000000" w:themeColor="text1"/>
        </w:rPr>
        <w:t xml:space="preserve"> (Accessed: 31 January 2026)</w:t>
      </w:r>
    </w:p>
    <w:p w14:paraId="45C0DC49"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Sundermann, A.J., Kumar, P., Griffith, M.P., Waggle, K.D., Srinivasa, V.R., Raabe, N., Mills, E.G., Coyle, H., Ereifej, D., Creager, H.M., Ayres, A., Van Tyne, D., Pless, L.L., Snyder, G.M., Roberts, M. and Harrison, L.H. (2024). Genomic Surveillance for Enhanced Healthcare Outbreak Detection and Control. </w:t>
      </w:r>
      <w:r w:rsidRPr="00BA74BB">
        <w:rPr>
          <w:rFonts w:ascii="Arial" w:eastAsia="Arial" w:hAnsi="Arial" w:cs="Arial"/>
          <w:i/>
          <w:iCs/>
          <w:color w:val="000000" w:themeColor="text1"/>
        </w:rPr>
        <w:t>medRxiv : the preprint server for health sciences</w:t>
      </w:r>
      <w:r w:rsidRPr="00BA74BB">
        <w:rPr>
          <w:rFonts w:ascii="Arial" w:eastAsia="Arial" w:hAnsi="Arial" w:cs="Arial"/>
          <w:color w:val="000000" w:themeColor="text1"/>
        </w:rPr>
        <w:t xml:space="preserve">, p.2024.09.19.24313985. Available at: </w:t>
      </w:r>
      <w:hyperlink r:id="rId96">
        <w:r w:rsidRPr="00BA74BB">
          <w:rPr>
            <w:rFonts w:ascii="Arial" w:eastAsia="Arial" w:hAnsi="Arial" w:cs="Arial"/>
            <w:color w:val="000000" w:themeColor="text1"/>
            <w:u w:val="single"/>
          </w:rPr>
          <w:t>https://doi.org/10.1101/2024.09.19.24313985</w:t>
        </w:r>
      </w:hyperlink>
      <w:r w:rsidRPr="00BA74BB">
        <w:rPr>
          <w:rFonts w:ascii="Arial" w:eastAsia="Arial" w:hAnsi="Arial" w:cs="Arial"/>
          <w:color w:val="000000" w:themeColor="text1"/>
        </w:rPr>
        <w:t xml:space="preserve"> (Accessed: 31 January 2026)</w:t>
      </w:r>
    </w:p>
    <w:p w14:paraId="12CFBC3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 xml:space="preserve">Tang, X., Zeng, Z., Huang, H. and Symonds, J., (2025). Quality appraisal tools for quantitative, qualitative, and mixed-methods studies: A review and a brief new checklist. </w:t>
      </w:r>
      <w:r w:rsidRPr="00BA74BB">
        <w:rPr>
          <w:rFonts w:ascii="Arial" w:eastAsia="Arial" w:hAnsi="Arial" w:cs="Arial"/>
          <w:i/>
          <w:iCs/>
          <w:color w:val="000000" w:themeColor="text1"/>
        </w:rPr>
        <w:t>ECNU Review of Education</w:t>
      </w:r>
      <w:r w:rsidRPr="00BA74BB">
        <w:rPr>
          <w:rFonts w:ascii="Arial" w:eastAsia="Arial" w:hAnsi="Arial" w:cs="Arial"/>
          <w:color w:val="000000" w:themeColor="text1"/>
        </w:rPr>
        <w:t xml:space="preserve">, p.20965311251371227. Available at: </w:t>
      </w:r>
      <w:hyperlink r:id="rId97">
        <w:r w:rsidRPr="00BA74BB">
          <w:rPr>
            <w:rFonts w:ascii="Arial" w:eastAsia="Arial" w:hAnsi="Arial" w:cs="Arial"/>
            <w:color w:val="000000" w:themeColor="text1"/>
            <w:u w:val="single"/>
          </w:rPr>
          <w:t>https://journals.sagepub.com/doi/pdf/10.1177/20965311251371227</w:t>
        </w:r>
      </w:hyperlink>
      <w:r w:rsidRPr="00BA74BB">
        <w:rPr>
          <w:rFonts w:ascii="Arial" w:eastAsia="Arial" w:hAnsi="Arial" w:cs="Arial"/>
          <w:color w:val="000000" w:themeColor="text1"/>
        </w:rPr>
        <w:t xml:space="preserve"> (Accessed: 31 January 2026)</w:t>
      </w:r>
    </w:p>
    <w:p w14:paraId="4673EF02"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Tiwari, S., Dhakal, T., Kim, B.-J., Jang, G.S. and Oh, Y. (2025). Genomics in Epidemiology and Disease Surveillance: An Exploratory Analysis. Life, 15(12), p.1848. Available at: </w:t>
      </w:r>
      <w:hyperlink r:id="rId98">
        <w:r w:rsidRPr="00BA74BB">
          <w:rPr>
            <w:rFonts w:ascii="Arial" w:eastAsia="Arial" w:hAnsi="Arial" w:cs="Arial"/>
            <w:color w:val="000000" w:themeColor="text1"/>
            <w:u w:val="single"/>
          </w:rPr>
          <w:t>https://doi.org/10.3390/life15121848</w:t>
        </w:r>
      </w:hyperlink>
      <w:r w:rsidRPr="00BA74BB">
        <w:rPr>
          <w:rFonts w:ascii="Arial" w:eastAsia="Arial" w:hAnsi="Arial" w:cs="Arial"/>
          <w:color w:val="000000" w:themeColor="text1"/>
        </w:rPr>
        <w:t xml:space="preserve"> (Accessed: 31 January 2026)</w:t>
      </w:r>
    </w:p>
    <w:p w14:paraId="68A4EA94"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UK Health and Security Agency (2023).</w:t>
      </w:r>
      <w:r w:rsidRPr="00BA74BB">
        <w:rPr>
          <w:rFonts w:ascii="Arial" w:eastAsia="Arial" w:hAnsi="Arial" w:cs="Arial"/>
          <w:i/>
          <w:iCs/>
          <w:color w:val="000000" w:themeColor="text1"/>
        </w:rPr>
        <w:t>UKHSA Advisory Board: preparedness for infectious disease threats</w:t>
      </w:r>
      <w:r w:rsidRPr="00BA74BB">
        <w:rPr>
          <w:rFonts w:ascii="Arial" w:eastAsia="Arial" w:hAnsi="Arial" w:cs="Arial"/>
          <w:color w:val="000000" w:themeColor="text1"/>
        </w:rPr>
        <w:t>. Available at:</w:t>
      </w:r>
      <w:hyperlink r:id="rId99">
        <w:r w:rsidRPr="00BA74BB">
          <w:rPr>
            <w:rFonts w:ascii="Arial" w:eastAsia="Arial" w:hAnsi="Arial" w:cs="Arial"/>
            <w:color w:val="000000" w:themeColor="text1"/>
            <w:u w:val="single"/>
          </w:rPr>
          <w:t>https://www.gov.uk/government/publications/ukhsa-board-meeting-papers-january-2023/ukhsa-advisory-board-preparedness-for-infectious-disease-threats</w:t>
        </w:r>
      </w:hyperlink>
      <w:r w:rsidRPr="00BA74BB">
        <w:rPr>
          <w:rFonts w:ascii="Arial" w:eastAsia="Arial" w:hAnsi="Arial" w:cs="Arial"/>
          <w:color w:val="000000" w:themeColor="text1"/>
        </w:rPr>
        <w:t xml:space="preserve"> (Accessed: 2 December 2025)</w:t>
      </w:r>
    </w:p>
    <w:p w14:paraId="19C81B37"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UK Health Security Agency (2024).</w:t>
      </w:r>
      <w:r w:rsidRPr="00BA74BB">
        <w:rPr>
          <w:rFonts w:ascii="Arial" w:eastAsia="Arial" w:hAnsi="Arial" w:cs="Arial"/>
          <w:i/>
          <w:iCs/>
          <w:color w:val="000000" w:themeColor="text1"/>
        </w:rPr>
        <w:t>UKHSA Pathogen Genomics Strategy</w:t>
      </w:r>
      <w:r w:rsidRPr="00BA74BB">
        <w:rPr>
          <w:rFonts w:ascii="Arial" w:eastAsia="Arial" w:hAnsi="Arial" w:cs="Arial"/>
          <w:color w:val="000000" w:themeColor="text1"/>
        </w:rPr>
        <w:t xml:space="preserve">. Available at: </w:t>
      </w:r>
      <w:hyperlink r:id="rId100">
        <w:r w:rsidRPr="00BA74BB">
          <w:rPr>
            <w:rFonts w:ascii="Arial" w:eastAsia="Arial" w:hAnsi="Arial" w:cs="Arial"/>
            <w:color w:val="000000" w:themeColor="text1"/>
            <w:u w:val="single"/>
          </w:rPr>
          <w:t>https://assets.publishing.service.gov.uk/media/65aff68ef2718c000dfb1bd8/Pathogen_Genomics_Strategy_2024.pdf</w:t>
        </w:r>
      </w:hyperlink>
      <w:r w:rsidRPr="00BA74BB">
        <w:rPr>
          <w:rFonts w:ascii="Arial" w:eastAsia="Arial" w:hAnsi="Arial" w:cs="Arial"/>
          <w:color w:val="000000" w:themeColor="text1"/>
        </w:rPr>
        <w:t xml:space="preserve"> (Accessed: 2 December 2025)</w:t>
      </w:r>
    </w:p>
    <w:p w14:paraId="2CC8D297"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Usmani, M., Brumfield, K.D., Jamal, Y., Huq, A., Colwell, R.R. and Jutla, A. (2021). A Review of the Environmental Trigger and Transmission Components for Prediction of Cholera.</w:t>
      </w:r>
      <w:r w:rsidRPr="00BA74BB">
        <w:rPr>
          <w:rFonts w:ascii="Arial" w:eastAsia="Arial" w:hAnsi="Arial" w:cs="Arial"/>
          <w:i/>
          <w:iCs/>
          <w:color w:val="000000" w:themeColor="text1"/>
        </w:rPr>
        <w:t>Tropical Medicine and Infectious Disease</w:t>
      </w:r>
      <w:r w:rsidRPr="00BA74BB">
        <w:rPr>
          <w:rFonts w:ascii="Arial" w:eastAsia="Arial" w:hAnsi="Arial" w:cs="Arial"/>
          <w:color w:val="000000" w:themeColor="text1"/>
        </w:rPr>
        <w:t xml:space="preserve">, 6(3), p.147. Available at: </w:t>
      </w:r>
      <w:hyperlink r:id="rId101">
        <w:r w:rsidRPr="00BA74BB">
          <w:rPr>
            <w:rFonts w:ascii="Arial" w:eastAsia="Arial" w:hAnsi="Arial" w:cs="Arial"/>
            <w:color w:val="000000" w:themeColor="text1"/>
            <w:u w:val="single"/>
          </w:rPr>
          <w:t>https://doi.org/10.3390/tropicalmed6030147</w:t>
        </w:r>
      </w:hyperlink>
      <w:r w:rsidRPr="00BA74BB">
        <w:rPr>
          <w:rFonts w:ascii="Arial" w:eastAsia="Arial" w:hAnsi="Arial" w:cs="Arial"/>
          <w:color w:val="000000" w:themeColor="text1"/>
        </w:rPr>
        <w:t xml:space="preserve"> (Accessed: 2 December 2025)</w:t>
      </w:r>
    </w:p>
    <w:p w14:paraId="2F43BAE1"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Vezzulli, L., Oliveri, C., Borello, A., Gregory, L., Kimirei, I., Brunetta, M., Stern, R., Coco, S., Longo, L., Taviani, E., Santos, A., Martinez-Urtaza, J., Wilson, W.H., Colwell, R.R., Pruzzo, C. and Plisnier, P.-D. (2021). Aquatic reservoir of Vibrio cholerae in an African Great Lake assessed by large scale plankton sampling and ultrasensitive molecular methods. </w:t>
      </w:r>
      <w:r w:rsidRPr="00BA74BB">
        <w:rPr>
          <w:rFonts w:ascii="Arial" w:eastAsia="Arial" w:hAnsi="Arial" w:cs="Arial"/>
          <w:i/>
          <w:iCs/>
          <w:color w:val="000000" w:themeColor="text1"/>
        </w:rPr>
        <w:t>ISME Communications</w:t>
      </w:r>
      <w:r w:rsidRPr="00BA74BB">
        <w:rPr>
          <w:rFonts w:ascii="Arial" w:eastAsia="Arial" w:hAnsi="Arial" w:cs="Arial"/>
          <w:color w:val="000000" w:themeColor="text1"/>
        </w:rPr>
        <w:t xml:space="preserve">, 1(1), pp.1–4. Available at: </w:t>
      </w:r>
      <w:hyperlink r:id="rId102">
        <w:r w:rsidRPr="00BA74BB">
          <w:rPr>
            <w:rFonts w:ascii="Arial" w:eastAsia="Arial" w:hAnsi="Arial" w:cs="Arial"/>
            <w:color w:val="000000" w:themeColor="text1"/>
            <w:u w:val="single"/>
          </w:rPr>
          <w:t>https://www.nature.com/articles/s43705-021-00023-1.pdf</w:t>
        </w:r>
      </w:hyperlink>
      <w:r w:rsidRPr="00BA74BB">
        <w:rPr>
          <w:rFonts w:ascii="Arial" w:eastAsia="Arial" w:hAnsi="Arial" w:cs="Arial"/>
          <w:color w:val="000000" w:themeColor="text1"/>
        </w:rPr>
        <w:t xml:space="preserve"> (Accessed: 2 December 2025)</w:t>
      </w:r>
    </w:p>
    <w:p w14:paraId="54652347"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Vishal Mevada, Patel, R., PravinDudhagara, Chaudhari, R., Vohra, M., Khan, V., Douglas, Chen, Y.-Y.andZala, D. (2023). Whole Genome Sequencing and Pan-Genomic Analysis of Multidrug-Resistant Vibrio cholerae VC01 Isolated from a Clinical Sample. </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xml:space="preserve">, 11(8), pp.2030–2030. Available at: </w:t>
      </w:r>
      <w:hyperlink r:id="rId103">
        <w:r w:rsidRPr="00BA74BB">
          <w:rPr>
            <w:rFonts w:ascii="Arial" w:eastAsia="Arial" w:hAnsi="Arial" w:cs="Arial"/>
            <w:color w:val="000000" w:themeColor="text1"/>
            <w:u w:val="single"/>
          </w:rPr>
          <w:t>https://doi.org/10.3390/microorganisms11082030</w:t>
        </w:r>
      </w:hyperlink>
      <w:r w:rsidRPr="00BA74BB">
        <w:rPr>
          <w:rFonts w:ascii="Arial" w:eastAsia="Arial" w:hAnsi="Arial" w:cs="Arial"/>
          <w:color w:val="000000" w:themeColor="text1"/>
        </w:rPr>
        <w:t xml:space="preserve"> (Accessed: 2 December 2025)</w:t>
      </w:r>
    </w:p>
    <w:p w14:paraId="470736F4"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lastRenderedPageBreak/>
        <w:t xml:space="preserve">Walton, M.G., Cubillejo, I., Nag, D. and Withey, J.H., (2023). Advances in cholera research: from molecular biology to public health initiatives. </w:t>
      </w:r>
      <w:r w:rsidRPr="00BA74BB">
        <w:rPr>
          <w:rFonts w:ascii="Arial" w:eastAsia="Arial" w:hAnsi="Arial" w:cs="Arial"/>
          <w:i/>
          <w:iCs/>
          <w:color w:val="000000" w:themeColor="text1"/>
        </w:rPr>
        <w:t>Frontiers in Microbiology</w:t>
      </w:r>
      <w:r w:rsidRPr="00BA74BB">
        <w:rPr>
          <w:rFonts w:ascii="Arial" w:eastAsia="Arial" w:hAnsi="Arial" w:cs="Arial"/>
          <w:color w:val="000000" w:themeColor="text1"/>
        </w:rPr>
        <w:t xml:space="preserve">, </w:t>
      </w:r>
      <w:r w:rsidRPr="00BA74BB">
        <w:rPr>
          <w:rFonts w:ascii="Arial" w:eastAsia="Arial" w:hAnsi="Arial" w:cs="Arial"/>
          <w:i/>
          <w:iCs/>
          <w:color w:val="000000" w:themeColor="text1"/>
        </w:rPr>
        <w:t>14</w:t>
      </w:r>
      <w:r w:rsidRPr="00BA74BB">
        <w:rPr>
          <w:rFonts w:ascii="Arial" w:eastAsia="Arial" w:hAnsi="Arial" w:cs="Arial"/>
          <w:color w:val="000000" w:themeColor="text1"/>
        </w:rPr>
        <w:t xml:space="preserve">, p.1178538. Available at: </w:t>
      </w:r>
      <w:hyperlink r:id="rId104">
        <w:r w:rsidRPr="00BA74BB">
          <w:rPr>
            <w:rFonts w:ascii="Arial" w:eastAsia="Arial" w:hAnsi="Arial" w:cs="Arial"/>
            <w:color w:val="000000" w:themeColor="text1"/>
            <w:u w:val="single"/>
          </w:rPr>
          <w:t>https://doi.org/10.3389/fmicb.2023.1178538</w:t>
        </w:r>
      </w:hyperlink>
      <w:r w:rsidRPr="00BA74BB">
        <w:rPr>
          <w:rFonts w:ascii="Arial" w:eastAsia="Arial" w:hAnsi="Arial" w:cs="Arial"/>
          <w:color w:val="000000" w:themeColor="text1"/>
        </w:rPr>
        <w:t xml:space="preserve"> (Accessed: 2 December 2025)</w:t>
      </w:r>
    </w:p>
    <w:p w14:paraId="7AD41883"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Wang, J. (2022). Mathematical Models for Cholera Dynamics—A Review. </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xml:space="preserve">, 10(12), p.2358. Available at: </w:t>
      </w:r>
      <w:hyperlink r:id="rId105">
        <w:r w:rsidRPr="00BA74BB">
          <w:rPr>
            <w:rFonts w:ascii="Arial" w:eastAsia="Arial" w:hAnsi="Arial" w:cs="Arial"/>
            <w:color w:val="000000" w:themeColor="text1"/>
            <w:u w:val="single"/>
          </w:rPr>
          <w:t>https://doi.org/10.3390/microorganisms10122358</w:t>
        </w:r>
      </w:hyperlink>
      <w:r w:rsidRPr="00BA74BB">
        <w:rPr>
          <w:rFonts w:ascii="Arial" w:eastAsia="Arial" w:hAnsi="Arial" w:cs="Arial"/>
          <w:color w:val="000000" w:themeColor="text1"/>
        </w:rPr>
        <w:t xml:space="preserve"> (Accessed: 2 December 2025)</w:t>
      </w:r>
    </w:p>
    <w:p w14:paraId="35BD4CAE"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Wardi, M., Belmouden, A., Aghrouch, M., Lotfy, A., Idaghdour, Y. and Lemkhente, Z. (2024). Wastewater genomic surveillance to track infectious disease-causing pathogens in low-income countries: Advantages, limitations, and perspectives. </w:t>
      </w:r>
      <w:r w:rsidRPr="00BA74BB">
        <w:rPr>
          <w:rFonts w:ascii="Arial" w:eastAsia="Arial" w:hAnsi="Arial" w:cs="Arial"/>
          <w:i/>
          <w:iCs/>
          <w:color w:val="000000" w:themeColor="text1"/>
        </w:rPr>
        <w:t>Environment International</w:t>
      </w:r>
      <w:r w:rsidRPr="00BA74BB">
        <w:rPr>
          <w:rFonts w:ascii="Arial" w:eastAsia="Arial" w:hAnsi="Arial" w:cs="Arial"/>
          <w:color w:val="000000" w:themeColor="text1"/>
        </w:rPr>
        <w:t xml:space="preserve">, 192, p.109029. Available at:  </w:t>
      </w:r>
      <w:hyperlink r:id="rId106">
        <w:r w:rsidRPr="00BA74BB">
          <w:rPr>
            <w:rFonts w:ascii="Arial" w:eastAsia="Arial" w:hAnsi="Arial" w:cs="Arial"/>
            <w:color w:val="000000" w:themeColor="text1"/>
            <w:u w:val="single"/>
          </w:rPr>
          <w:t>https://doi.org/10.1016/j.envint.2024.109029</w:t>
        </w:r>
      </w:hyperlink>
      <w:r w:rsidRPr="00BA74BB">
        <w:rPr>
          <w:rFonts w:ascii="Arial" w:eastAsia="Arial" w:hAnsi="Arial" w:cs="Arial"/>
          <w:color w:val="000000" w:themeColor="text1"/>
        </w:rPr>
        <w:t xml:space="preserve"> (Accessed: 2 December 2025)</w:t>
      </w:r>
    </w:p>
    <w:p w14:paraId="3A33890D"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Watanabe, Y., Ishiga, Y., and Sakata, N. (2025). The Role of Genomic Islands in the Pathogenicity and Evolution of Plant-Pathogenic Gammaproteobacteria. </w:t>
      </w:r>
      <w:r w:rsidRPr="00BA74BB">
        <w:rPr>
          <w:rFonts w:ascii="Arial" w:eastAsia="Arial" w:hAnsi="Arial" w:cs="Arial"/>
          <w:i/>
          <w:iCs/>
          <w:color w:val="000000" w:themeColor="text1"/>
        </w:rPr>
        <w:t>Microorganisms</w:t>
      </w:r>
      <w:r w:rsidRPr="00BA74BB">
        <w:rPr>
          <w:rFonts w:ascii="Arial" w:eastAsia="Arial" w:hAnsi="Arial" w:cs="Arial"/>
          <w:color w:val="000000" w:themeColor="text1"/>
        </w:rPr>
        <w:t xml:space="preserve">, 13(8), p.1803. Available at: </w:t>
      </w:r>
      <w:hyperlink r:id="rId107">
        <w:r w:rsidRPr="00BA74BB">
          <w:rPr>
            <w:rFonts w:ascii="Arial" w:eastAsia="Arial" w:hAnsi="Arial" w:cs="Arial"/>
            <w:color w:val="000000" w:themeColor="text1"/>
            <w:u w:val="single"/>
          </w:rPr>
          <w:t>https://doi.org/10.3390/microorganisms13081803</w:t>
        </w:r>
      </w:hyperlink>
      <w:r w:rsidRPr="00BA74BB">
        <w:rPr>
          <w:rFonts w:ascii="Arial" w:eastAsia="Arial" w:hAnsi="Arial" w:cs="Arial"/>
          <w:color w:val="000000" w:themeColor="text1"/>
        </w:rPr>
        <w:t xml:space="preserve"> (Accessed: 2 December 2025)</w:t>
      </w:r>
    </w:p>
    <w:p w14:paraId="661D8964"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WHO (2024) .</w:t>
      </w:r>
      <w:r w:rsidRPr="00BA74BB">
        <w:rPr>
          <w:rFonts w:ascii="Arial" w:eastAsia="Arial" w:hAnsi="Arial" w:cs="Arial"/>
          <w:i/>
          <w:iCs/>
          <w:color w:val="000000" w:themeColor="text1"/>
        </w:rPr>
        <w:t>Data show marked increase in annual cholera deaths</w:t>
      </w:r>
      <w:r w:rsidRPr="00BA74BB">
        <w:rPr>
          <w:rFonts w:ascii="Arial" w:eastAsia="Arial" w:hAnsi="Arial" w:cs="Arial"/>
          <w:color w:val="000000" w:themeColor="text1"/>
        </w:rPr>
        <w:t xml:space="preserve">. Available at: </w:t>
      </w:r>
      <w:hyperlink r:id="rId108">
        <w:r w:rsidRPr="00BA74BB">
          <w:rPr>
            <w:rFonts w:ascii="Arial" w:eastAsia="Arial" w:hAnsi="Arial" w:cs="Arial"/>
            <w:color w:val="000000" w:themeColor="text1"/>
            <w:u w:val="single"/>
          </w:rPr>
          <w:t>https://www.who.int/news/item/04-09-2024-data-show-marked-increase-in-annual-cholera-deaths</w:t>
        </w:r>
      </w:hyperlink>
      <w:r w:rsidRPr="00BA74BB">
        <w:rPr>
          <w:rFonts w:ascii="Arial" w:eastAsia="Arial" w:hAnsi="Arial" w:cs="Arial"/>
          <w:color w:val="000000" w:themeColor="text1"/>
        </w:rPr>
        <w:t xml:space="preserve"> (Accessed: 2 December 2025)</w:t>
      </w:r>
    </w:p>
    <w:p w14:paraId="162CC115"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Wood, A.J., Benton, C.H., Delahay, R.J., Marion, G., Palkopoulou, E., Pooley, C.M., Smith, G.C. and Kao, R.R. (2024). The utility of whole-genome sequencing to identify likely transmission pairs for pathogens with slow and variable evolution. </w:t>
      </w:r>
      <w:r w:rsidRPr="00BA74BB">
        <w:rPr>
          <w:rFonts w:ascii="Arial" w:eastAsia="Arial" w:hAnsi="Arial" w:cs="Arial"/>
          <w:i/>
          <w:iCs/>
          <w:color w:val="000000" w:themeColor="text1"/>
        </w:rPr>
        <w:t>Epidemics</w:t>
      </w:r>
      <w:r w:rsidRPr="00BA74BB">
        <w:rPr>
          <w:rFonts w:ascii="Arial" w:eastAsia="Arial" w:hAnsi="Arial" w:cs="Arial"/>
          <w:color w:val="000000" w:themeColor="text1"/>
        </w:rPr>
        <w:t xml:space="preserve">, 48, p.100787. Available at: </w:t>
      </w:r>
      <w:hyperlink r:id="rId109">
        <w:r w:rsidRPr="00BA74BB">
          <w:rPr>
            <w:rFonts w:ascii="Arial" w:eastAsia="Arial" w:hAnsi="Arial" w:cs="Arial"/>
            <w:color w:val="000000" w:themeColor="text1"/>
            <w:u w:val="single"/>
          </w:rPr>
          <w:t>https://doi.org/10.1016/j.epidem.2024.100787</w:t>
        </w:r>
      </w:hyperlink>
      <w:r w:rsidRPr="00BA74BB">
        <w:rPr>
          <w:rFonts w:ascii="Arial" w:eastAsia="Arial" w:hAnsi="Arial" w:cs="Arial"/>
          <w:color w:val="000000" w:themeColor="text1"/>
        </w:rPr>
        <w:t xml:space="preserve"> (Accessed: 2 December 2025)</w:t>
      </w:r>
    </w:p>
    <w:p w14:paraId="4DF810DB" w14:textId="77777777" w:rsidR="00550FCC" w:rsidRPr="00BA74BB" w:rsidRDefault="00550FCC">
      <w:pPr>
        <w:spacing w:before="240" w:line="360" w:lineRule="auto"/>
        <w:jc w:val="both"/>
        <w:rPr>
          <w:rFonts w:ascii="Arial" w:eastAsia="Arial" w:hAnsi="Arial" w:cs="Arial"/>
          <w:color w:val="000000" w:themeColor="text1"/>
        </w:rPr>
      </w:pPr>
      <w:r w:rsidRPr="00BA74BB">
        <w:rPr>
          <w:rFonts w:ascii="Arial" w:eastAsia="Arial" w:hAnsi="Arial" w:cs="Arial"/>
          <w:color w:val="000000" w:themeColor="text1"/>
        </w:rPr>
        <w:t xml:space="preserve">World Health Organisation (2022). </w:t>
      </w:r>
      <w:r w:rsidRPr="00BA74BB">
        <w:rPr>
          <w:rFonts w:ascii="Arial" w:eastAsia="Arial" w:hAnsi="Arial" w:cs="Arial"/>
          <w:i/>
          <w:iCs/>
          <w:color w:val="000000" w:themeColor="text1"/>
        </w:rPr>
        <w:t xml:space="preserve">Microbial fact sheets. </w:t>
      </w:r>
      <w:r w:rsidRPr="00BA74BB">
        <w:rPr>
          <w:rFonts w:ascii="Arial" w:eastAsia="Arial" w:hAnsi="Arial" w:cs="Arial"/>
          <w:color w:val="000000" w:themeColor="text1"/>
        </w:rPr>
        <w:t xml:space="preserve">Available at: </w:t>
      </w:r>
      <w:hyperlink r:id="rId110">
        <w:r w:rsidRPr="00BA74BB">
          <w:rPr>
            <w:rFonts w:ascii="Arial" w:eastAsia="Arial" w:hAnsi="Arial" w:cs="Arial"/>
            <w:color w:val="000000" w:themeColor="text1"/>
            <w:u w:val="single"/>
          </w:rPr>
          <w:t>https://www.ncbi.nlm.nih.gov/books/NBK579445/</w:t>
        </w:r>
      </w:hyperlink>
      <w:r w:rsidRPr="00BA74BB">
        <w:rPr>
          <w:rFonts w:ascii="Arial" w:eastAsia="Arial" w:hAnsi="Arial" w:cs="Arial"/>
          <w:color w:val="000000" w:themeColor="text1"/>
        </w:rPr>
        <w:t xml:space="preserve"> (Accessed: 2 December 2025)</w:t>
      </w:r>
    </w:p>
    <w:p w14:paraId="40AB6D50"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sz w:val="24"/>
          <w:szCs w:val="24"/>
        </w:rPr>
      </w:pPr>
      <w:r w:rsidRPr="00BA74BB">
        <w:rPr>
          <w:rFonts w:ascii="Arial" w:eastAsia="Arial" w:hAnsi="Arial" w:cs="Arial"/>
          <w:color w:val="000000" w:themeColor="text1"/>
          <w:sz w:val="24"/>
          <w:szCs w:val="24"/>
        </w:rPr>
        <w:t xml:space="preserve">World Health Organization. (2023). </w:t>
      </w:r>
      <w:r w:rsidRPr="00BA74BB">
        <w:rPr>
          <w:rFonts w:ascii="Arial" w:eastAsia="Arial" w:hAnsi="Arial" w:cs="Arial"/>
          <w:i/>
          <w:iCs/>
          <w:color w:val="000000" w:themeColor="text1"/>
          <w:sz w:val="24"/>
          <w:szCs w:val="24"/>
        </w:rPr>
        <w:t>Water, sanitation and hygiene (WASH)</w:t>
      </w:r>
      <w:r w:rsidRPr="00BA74BB">
        <w:rPr>
          <w:rFonts w:ascii="Arial" w:eastAsia="Arial" w:hAnsi="Arial" w:cs="Arial"/>
          <w:color w:val="000000" w:themeColor="text1"/>
          <w:sz w:val="24"/>
          <w:szCs w:val="24"/>
        </w:rPr>
        <w:t xml:space="preserve">. Available at: </w:t>
      </w:r>
      <w:hyperlink r:id="rId111">
        <w:r w:rsidRPr="00BA74BB">
          <w:rPr>
            <w:rFonts w:ascii="Arial" w:eastAsia="Arial" w:hAnsi="Arial" w:cs="Arial"/>
            <w:color w:val="000000" w:themeColor="text1"/>
            <w:sz w:val="24"/>
            <w:szCs w:val="24"/>
            <w:u w:val="single"/>
          </w:rPr>
          <w:t>https://www.who.int/health-topics/water-sanitation-and-hygiene-wash</w:t>
        </w:r>
      </w:hyperlink>
      <w:r w:rsidRPr="00BA74BB">
        <w:rPr>
          <w:rFonts w:ascii="Arial" w:eastAsia="Arial" w:hAnsi="Arial" w:cs="Arial"/>
          <w:color w:val="000000" w:themeColor="text1"/>
          <w:sz w:val="24"/>
          <w:szCs w:val="24"/>
        </w:rPr>
        <w:t xml:space="preserve"> </w:t>
      </w:r>
      <w:r w:rsidRPr="00BA74BB">
        <w:rPr>
          <w:rFonts w:ascii="Arial" w:eastAsia="Arial" w:hAnsi="Arial" w:cs="Arial"/>
          <w:color w:val="000000" w:themeColor="text1"/>
        </w:rPr>
        <w:t>(Accessed: 2 December 2025)</w:t>
      </w:r>
    </w:p>
    <w:p w14:paraId="0B8D620B" w14:textId="77777777" w:rsidR="00550FCC" w:rsidRPr="00BA74BB" w:rsidRDefault="00550FCC">
      <w:pPr>
        <w:spacing w:before="240" w:line="360" w:lineRule="auto"/>
        <w:jc w:val="both"/>
        <w:rPr>
          <w:rFonts w:ascii="Arial" w:eastAsia="Arial" w:hAnsi="Arial" w:cs="Arial"/>
          <w:color w:val="000000" w:themeColor="text1"/>
          <w:sz w:val="24"/>
          <w:szCs w:val="24"/>
        </w:rPr>
      </w:pPr>
      <w:r w:rsidRPr="00BA74BB">
        <w:rPr>
          <w:rFonts w:ascii="Arial" w:eastAsia="Arial" w:hAnsi="Arial" w:cs="Arial"/>
          <w:color w:val="000000" w:themeColor="text1"/>
          <w:sz w:val="24"/>
          <w:szCs w:val="24"/>
        </w:rPr>
        <w:t xml:space="preserve">Wu, Y., Pei, S., Wu, J., Tu, X., Ren, L., Ji, Y., Yao, Y. and Liu, Y. (2023). The Abnormal Accumulation of Lipopolysaccharide Secreted by Enriched Gram-Negative Bacteria Increases the Risk of Rotavirus Colonization in Young Adults. </w:t>
      </w:r>
      <w:r w:rsidRPr="00BA74BB">
        <w:rPr>
          <w:rFonts w:ascii="Arial" w:eastAsia="Arial" w:hAnsi="Arial" w:cs="Arial"/>
          <w:i/>
          <w:iCs/>
          <w:color w:val="000000" w:themeColor="text1"/>
          <w:sz w:val="24"/>
          <w:szCs w:val="24"/>
        </w:rPr>
        <w:t>Microorganisms</w:t>
      </w:r>
      <w:r w:rsidRPr="00BA74BB">
        <w:rPr>
          <w:rFonts w:ascii="Arial" w:eastAsia="Arial" w:hAnsi="Arial" w:cs="Arial"/>
          <w:color w:val="000000" w:themeColor="text1"/>
          <w:sz w:val="24"/>
          <w:szCs w:val="24"/>
        </w:rPr>
        <w:t xml:space="preserve">, 11(9), </w:t>
      </w:r>
      <w:r w:rsidRPr="00BA74BB">
        <w:rPr>
          <w:rFonts w:ascii="Arial" w:eastAsia="Arial" w:hAnsi="Arial" w:cs="Arial"/>
          <w:color w:val="000000" w:themeColor="text1"/>
          <w:sz w:val="24"/>
          <w:szCs w:val="24"/>
        </w:rPr>
        <w:lastRenderedPageBreak/>
        <w:t xml:space="preserve">pp.2280–2280. Available at: </w:t>
      </w:r>
      <w:hyperlink r:id="rId112">
        <w:r w:rsidRPr="00BA74BB">
          <w:rPr>
            <w:rFonts w:ascii="Arial" w:eastAsia="Arial" w:hAnsi="Arial" w:cs="Arial"/>
            <w:color w:val="000000" w:themeColor="text1"/>
            <w:sz w:val="24"/>
            <w:szCs w:val="24"/>
            <w:u w:val="single"/>
          </w:rPr>
          <w:t>https://doi.org/10.3390/microorganisms11092280</w:t>
        </w:r>
      </w:hyperlink>
      <w:r w:rsidRPr="00BA74BB">
        <w:rPr>
          <w:rFonts w:ascii="Arial" w:eastAsia="Arial" w:hAnsi="Arial" w:cs="Arial"/>
          <w:color w:val="000000" w:themeColor="text1"/>
          <w:sz w:val="24"/>
          <w:szCs w:val="24"/>
        </w:rPr>
        <w:t xml:space="preserve"> </w:t>
      </w:r>
      <w:r w:rsidRPr="00BA74BB">
        <w:rPr>
          <w:rFonts w:ascii="Arial" w:eastAsia="Arial" w:hAnsi="Arial" w:cs="Arial"/>
          <w:color w:val="000000" w:themeColor="text1"/>
        </w:rPr>
        <w:t>(Accessed: 2 December 2025)</w:t>
      </w:r>
    </w:p>
    <w:p w14:paraId="49F6FA84"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sz w:val="24"/>
          <w:szCs w:val="24"/>
        </w:rPr>
      </w:pPr>
      <w:r w:rsidRPr="00BA74BB">
        <w:rPr>
          <w:rFonts w:ascii="Arial" w:eastAsia="Arial" w:hAnsi="Arial" w:cs="Arial"/>
          <w:color w:val="000000" w:themeColor="text1"/>
          <w:sz w:val="24"/>
          <w:szCs w:val="24"/>
        </w:rPr>
        <w:t xml:space="preserve">Yaqub, M.O., Joseph, C.E., Jain, A. and Edison, L.K. (2024). ResistomeMapping in Foodborne Pathogens: Understanding Role in the Transmission Dynamics of Resistance Genes. </w:t>
      </w:r>
      <w:r w:rsidRPr="00BA74BB">
        <w:rPr>
          <w:rFonts w:ascii="Arial" w:eastAsia="Arial" w:hAnsi="Arial" w:cs="Arial"/>
          <w:i/>
          <w:iCs/>
          <w:color w:val="000000" w:themeColor="text1"/>
          <w:sz w:val="24"/>
          <w:szCs w:val="24"/>
        </w:rPr>
        <w:t>Applied Microbiology</w:t>
      </w:r>
      <w:r w:rsidRPr="00BA74BB">
        <w:rPr>
          <w:rFonts w:ascii="Arial" w:eastAsia="Arial" w:hAnsi="Arial" w:cs="Arial"/>
          <w:color w:val="000000" w:themeColor="text1"/>
          <w:sz w:val="24"/>
          <w:szCs w:val="24"/>
        </w:rPr>
        <w:t xml:space="preserve">, 4(4), pp.1476–1492. Available at: </w:t>
      </w:r>
      <w:hyperlink r:id="rId113">
        <w:r w:rsidRPr="00BA74BB">
          <w:rPr>
            <w:rFonts w:ascii="Arial" w:eastAsia="Arial" w:hAnsi="Arial" w:cs="Arial"/>
            <w:color w:val="000000" w:themeColor="text1"/>
            <w:sz w:val="24"/>
            <w:szCs w:val="24"/>
            <w:u w:val="single"/>
          </w:rPr>
          <w:t>https://doi.org/10.3390/applmicrobiol4040102</w:t>
        </w:r>
      </w:hyperlink>
      <w:r w:rsidRPr="00BA74BB">
        <w:rPr>
          <w:rFonts w:ascii="Arial" w:eastAsia="Arial" w:hAnsi="Arial" w:cs="Arial"/>
          <w:color w:val="000000" w:themeColor="text1"/>
          <w:sz w:val="24"/>
          <w:szCs w:val="24"/>
        </w:rPr>
        <w:t xml:space="preserve"> </w:t>
      </w:r>
      <w:r w:rsidRPr="00BA74BB">
        <w:rPr>
          <w:rFonts w:ascii="Arial" w:eastAsia="Arial" w:hAnsi="Arial" w:cs="Arial"/>
          <w:color w:val="000000" w:themeColor="text1"/>
        </w:rPr>
        <w:t>(Accessed: 2 December 2025)</w:t>
      </w:r>
    </w:p>
    <w:p w14:paraId="22F56E79" w14:textId="77777777" w:rsidR="00550FCC" w:rsidRPr="00BA74BB" w:rsidRDefault="00550FCC">
      <w:pPr>
        <w:pBdr>
          <w:top w:val="nil"/>
          <w:left w:val="nil"/>
          <w:bottom w:val="nil"/>
          <w:right w:val="nil"/>
          <w:between w:val="nil"/>
        </w:pBdr>
        <w:spacing w:before="240" w:line="360" w:lineRule="auto"/>
        <w:jc w:val="both"/>
        <w:rPr>
          <w:rFonts w:ascii="Arial" w:eastAsia="Arial" w:hAnsi="Arial" w:cs="Arial"/>
          <w:color w:val="000000" w:themeColor="text1"/>
          <w:sz w:val="24"/>
          <w:szCs w:val="24"/>
        </w:rPr>
      </w:pPr>
      <w:r w:rsidRPr="00BA74BB">
        <w:rPr>
          <w:rFonts w:ascii="Arial" w:eastAsia="Arial" w:hAnsi="Arial" w:cs="Arial"/>
          <w:color w:val="000000" w:themeColor="text1"/>
          <w:sz w:val="24"/>
          <w:szCs w:val="24"/>
        </w:rPr>
        <w:t xml:space="preserve">Zhang, J., Yang, H., Li, J., Hu, J., Lin, G., Tan, B.K. and Lin, S., (2023). Current perspectives on viable but non-culturable foodborne pathogenic bacteria: a review. </w:t>
      </w:r>
      <w:r w:rsidRPr="00BA74BB">
        <w:rPr>
          <w:rFonts w:ascii="Arial" w:eastAsia="Arial" w:hAnsi="Arial" w:cs="Arial"/>
          <w:i/>
          <w:iCs/>
          <w:color w:val="000000" w:themeColor="text1"/>
          <w:sz w:val="24"/>
          <w:szCs w:val="24"/>
        </w:rPr>
        <w:t>Foods</w:t>
      </w:r>
      <w:r w:rsidRPr="00BA74BB">
        <w:rPr>
          <w:rFonts w:ascii="Arial" w:eastAsia="Arial" w:hAnsi="Arial" w:cs="Arial"/>
          <w:color w:val="000000" w:themeColor="text1"/>
          <w:sz w:val="24"/>
          <w:szCs w:val="24"/>
        </w:rPr>
        <w:t xml:space="preserve">, </w:t>
      </w:r>
      <w:r w:rsidRPr="00BA74BB">
        <w:rPr>
          <w:rFonts w:ascii="Arial" w:eastAsia="Arial" w:hAnsi="Arial" w:cs="Arial"/>
          <w:i/>
          <w:iCs/>
          <w:color w:val="000000" w:themeColor="text1"/>
          <w:sz w:val="24"/>
          <w:szCs w:val="24"/>
        </w:rPr>
        <w:t>12</w:t>
      </w:r>
      <w:r w:rsidRPr="00BA74BB">
        <w:rPr>
          <w:rFonts w:ascii="Arial" w:eastAsia="Arial" w:hAnsi="Arial" w:cs="Arial"/>
          <w:color w:val="000000" w:themeColor="text1"/>
          <w:sz w:val="24"/>
          <w:szCs w:val="24"/>
        </w:rPr>
        <w:t xml:space="preserve">(6), p.1179. Available at: </w:t>
      </w:r>
      <w:hyperlink r:id="rId114">
        <w:r w:rsidRPr="00BA74BB">
          <w:rPr>
            <w:rFonts w:ascii="Arial" w:eastAsia="Arial" w:hAnsi="Arial" w:cs="Arial"/>
            <w:color w:val="000000" w:themeColor="text1"/>
            <w:sz w:val="24"/>
            <w:szCs w:val="24"/>
            <w:u w:val="single"/>
          </w:rPr>
          <w:t>https://doi.org/10.3390/foods12061179</w:t>
        </w:r>
      </w:hyperlink>
      <w:r w:rsidRPr="00BA74BB">
        <w:rPr>
          <w:rFonts w:ascii="Arial" w:eastAsia="Arial" w:hAnsi="Arial" w:cs="Arial"/>
          <w:color w:val="000000" w:themeColor="text1"/>
          <w:sz w:val="24"/>
          <w:szCs w:val="24"/>
        </w:rPr>
        <w:t xml:space="preserve"> </w:t>
      </w:r>
      <w:r w:rsidRPr="00BA74BB">
        <w:rPr>
          <w:rFonts w:ascii="Arial" w:eastAsia="Arial" w:hAnsi="Arial" w:cs="Arial"/>
          <w:color w:val="000000" w:themeColor="text1"/>
        </w:rPr>
        <w:t>(Accessed: 2 December 2025)</w:t>
      </w:r>
    </w:p>
    <w:p w14:paraId="3C9BED9A" w14:textId="77777777" w:rsidR="00550FCC" w:rsidRPr="00BA74BB" w:rsidRDefault="00550FCC">
      <w:pPr>
        <w:spacing w:before="240" w:line="360" w:lineRule="auto"/>
        <w:jc w:val="both"/>
        <w:rPr>
          <w:rFonts w:ascii="Arial" w:eastAsia="Arial" w:hAnsi="Arial" w:cs="Arial"/>
          <w:color w:val="000000" w:themeColor="text1"/>
          <w:sz w:val="24"/>
          <w:szCs w:val="24"/>
        </w:rPr>
      </w:pPr>
      <w:r w:rsidRPr="00BA74BB">
        <w:rPr>
          <w:rFonts w:ascii="Arial" w:eastAsia="Arial" w:hAnsi="Arial" w:cs="Arial"/>
          <w:color w:val="000000" w:themeColor="text1"/>
          <w:sz w:val="24"/>
          <w:szCs w:val="24"/>
        </w:rPr>
        <w:t xml:space="preserve">Zhong, T., Wu, H., Hu, J., Liu, Y., Zheng, Y., Li, N., Sun, Z., Yin, X.-F., He, Q.-Y. and Sun, X. (2024). Two synonymous single-nucleotide polymorphisms promoting fluoroquinolone resistance of Escherichia coli in the environment. </w:t>
      </w:r>
      <w:r w:rsidRPr="00BA74BB">
        <w:rPr>
          <w:rFonts w:ascii="Arial" w:eastAsia="Arial" w:hAnsi="Arial" w:cs="Arial"/>
          <w:i/>
          <w:iCs/>
          <w:color w:val="000000" w:themeColor="text1"/>
          <w:sz w:val="24"/>
          <w:szCs w:val="24"/>
        </w:rPr>
        <w:t>Journal of Hazardous Materials</w:t>
      </w:r>
      <w:r w:rsidRPr="00BA74BB">
        <w:rPr>
          <w:rFonts w:ascii="Arial" w:eastAsia="Arial" w:hAnsi="Arial" w:cs="Arial"/>
          <w:color w:val="000000" w:themeColor="text1"/>
          <w:sz w:val="24"/>
          <w:szCs w:val="24"/>
        </w:rPr>
        <w:t xml:space="preserve">, 469, pp.133849–133849. Available at: </w:t>
      </w:r>
      <w:hyperlink r:id="rId115">
        <w:r w:rsidRPr="00BA74BB">
          <w:rPr>
            <w:rFonts w:ascii="Arial" w:eastAsia="Arial" w:hAnsi="Arial" w:cs="Arial"/>
            <w:color w:val="000000" w:themeColor="text1"/>
            <w:sz w:val="24"/>
            <w:szCs w:val="24"/>
            <w:u w:val="single"/>
          </w:rPr>
          <w:t>https://doi.org/10.1016/j.jhazmat.2024.133849</w:t>
        </w:r>
      </w:hyperlink>
      <w:r w:rsidRPr="00BA74BB">
        <w:rPr>
          <w:rFonts w:ascii="Arial" w:eastAsia="Arial" w:hAnsi="Arial" w:cs="Arial"/>
          <w:color w:val="000000" w:themeColor="text1"/>
          <w:sz w:val="24"/>
          <w:szCs w:val="24"/>
        </w:rPr>
        <w:t xml:space="preserve"> </w:t>
      </w:r>
      <w:r w:rsidRPr="00BA74BB">
        <w:rPr>
          <w:rFonts w:ascii="Arial" w:eastAsia="Arial" w:hAnsi="Arial" w:cs="Arial"/>
          <w:color w:val="000000" w:themeColor="text1"/>
        </w:rPr>
        <w:t>(Accessed: 2 December 2025)</w:t>
      </w:r>
    </w:p>
    <w:p w14:paraId="44F6F806" w14:textId="77777777" w:rsidR="00550FCC" w:rsidRPr="00BA74BB" w:rsidRDefault="00550FCC">
      <w:pPr>
        <w:spacing w:before="240" w:line="360" w:lineRule="auto"/>
        <w:jc w:val="both"/>
        <w:rPr>
          <w:rFonts w:ascii="Arial" w:eastAsia="Arial" w:hAnsi="Arial" w:cs="Arial"/>
          <w:color w:val="000000" w:themeColor="text1"/>
          <w:sz w:val="24"/>
          <w:szCs w:val="24"/>
        </w:rPr>
      </w:pPr>
      <w:r w:rsidRPr="00BA74BB">
        <w:rPr>
          <w:rFonts w:ascii="Arial" w:eastAsia="Arial" w:hAnsi="Arial" w:cs="Arial"/>
          <w:color w:val="000000" w:themeColor="text1"/>
          <w:sz w:val="24"/>
          <w:szCs w:val="24"/>
        </w:rPr>
        <w:t>Zhong, W., Suo, J., Ren, X. and Li, G. (2021).The Influence of Emotional Health on the Activity Characteristics of the Elderly and the Selection of Environmental Quality Factors in Residential Areas.</w:t>
      </w:r>
      <w:r w:rsidRPr="00BA74BB">
        <w:rPr>
          <w:rFonts w:ascii="Arial" w:eastAsia="Arial" w:hAnsi="Arial" w:cs="Arial"/>
          <w:i/>
          <w:iCs/>
          <w:color w:val="000000" w:themeColor="text1"/>
          <w:sz w:val="24"/>
          <w:szCs w:val="24"/>
        </w:rPr>
        <w:t>International Journal of Environmental Research and Public Health</w:t>
      </w:r>
      <w:r w:rsidRPr="00BA74BB">
        <w:rPr>
          <w:rFonts w:ascii="Arial" w:eastAsia="Arial" w:hAnsi="Arial" w:cs="Arial"/>
          <w:color w:val="000000" w:themeColor="text1"/>
          <w:sz w:val="24"/>
          <w:szCs w:val="24"/>
        </w:rPr>
        <w:t xml:space="preserve">, 18(23), p.12618. Available at: </w:t>
      </w:r>
      <w:hyperlink r:id="rId116">
        <w:r w:rsidRPr="00BA74BB">
          <w:rPr>
            <w:rFonts w:ascii="Arial" w:eastAsia="Arial" w:hAnsi="Arial" w:cs="Arial"/>
            <w:color w:val="000000" w:themeColor="text1"/>
            <w:sz w:val="24"/>
            <w:szCs w:val="24"/>
            <w:u w:val="single"/>
          </w:rPr>
          <w:t>https://doi.org/10.3390/ijerph182312618</w:t>
        </w:r>
      </w:hyperlink>
      <w:r w:rsidRPr="00BA74BB">
        <w:rPr>
          <w:rFonts w:ascii="Arial" w:eastAsia="Arial" w:hAnsi="Arial" w:cs="Arial"/>
          <w:color w:val="000000" w:themeColor="text1"/>
          <w:sz w:val="24"/>
          <w:szCs w:val="24"/>
        </w:rPr>
        <w:t xml:space="preserve"> </w:t>
      </w:r>
      <w:r w:rsidRPr="00BA74BB">
        <w:rPr>
          <w:rFonts w:ascii="Arial" w:eastAsia="Arial" w:hAnsi="Arial" w:cs="Arial"/>
          <w:color w:val="000000" w:themeColor="text1"/>
        </w:rPr>
        <w:t>(Accessed: 2 December 2025)</w:t>
      </w:r>
    </w:p>
    <w:p w14:paraId="36E9FD04" w14:textId="77777777" w:rsidR="00C244A9" w:rsidRPr="00BA74BB" w:rsidRDefault="00C244A9">
      <w:pPr>
        <w:spacing w:before="240" w:after="240" w:line="360" w:lineRule="auto"/>
        <w:jc w:val="both"/>
        <w:rPr>
          <w:rFonts w:ascii="Arial" w:eastAsia="Arial" w:hAnsi="Arial" w:cs="Arial"/>
          <w:color w:val="000000" w:themeColor="text1"/>
        </w:rPr>
      </w:pPr>
    </w:p>
    <w:p w14:paraId="499C48A9" w14:textId="77777777" w:rsidR="00C244A9" w:rsidRPr="00BA74BB" w:rsidRDefault="00C244A9">
      <w:pPr>
        <w:spacing w:after="158"/>
        <w:ind w:left="720"/>
        <w:rPr>
          <w:color w:val="000000" w:themeColor="text1"/>
        </w:rPr>
      </w:pPr>
    </w:p>
    <w:p w14:paraId="0B9C5CCE" w14:textId="77777777" w:rsidR="00C244A9" w:rsidRPr="00BA74BB" w:rsidRDefault="00EF3F4D">
      <w:pPr>
        <w:spacing w:after="0"/>
        <w:rPr>
          <w:color w:val="000000" w:themeColor="text1"/>
        </w:rPr>
      </w:pPr>
      <w:r w:rsidRPr="00BA74BB">
        <w:rPr>
          <w:b/>
          <w:bCs/>
          <w:color w:val="000000" w:themeColor="text1"/>
        </w:rPr>
        <w:t xml:space="preserve"> </w:t>
      </w:r>
      <w:r w:rsidRPr="00BA74BB">
        <w:rPr>
          <w:b/>
          <w:bCs/>
          <w:color w:val="000000" w:themeColor="text1"/>
        </w:rPr>
        <w:tab/>
        <w:t xml:space="preserve"> </w:t>
      </w:r>
      <w:r w:rsidRPr="00BA74BB">
        <w:rPr>
          <w:color w:val="000000" w:themeColor="text1"/>
        </w:rPr>
        <w:br w:type="page"/>
      </w:r>
    </w:p>
    <w:p w14:paraId="240C8BF1" w14:textId="35594879" w:rsidR="00C244A9" w:rsidRPr="00BA74BB" w:rsidRDefault="00EF3F4D" w:rsidP="00550FCC">
      <w:pPr>
        <w:pStyle w:val="Heading1"/>
        <w:ind w:left="12" w:right="0" w:firstLine="0"/>
        <w:rPr>
          <w:color w:val="000000" w:themeColor="text1"/>
        </w:rPr>
      </w:pPr>
      <w:bookmarkStart w:id="121" w:name="_Toc220786092"/>
      <w:bookmarkStart w:id="122" w:name="_Toc220842144"/>
      <w:r w:rsidRPr="00BA74BB">
        <w:rPr>
          <w:color w:val="000000" w:themeColor="text1"/>
        </w:rPr>
        <w:lastRenderedPageBreak/>
        <w:t>Appendix 1: Check-list (CASP-JBI)</w:t>
      </w:r>
      <w:bookmarkEnd w:id="121"/>
      <w:bookmarkEnd w:id="122"/>
      <w:r w:rsidRPr="00BA74BB">
        <w:rPr>
          <w:color w:val="000000" w:themeColor="text1"/>
        </w:rPr>
        <w:t xml:space="preserve"> </w:t>
      </w:r>
    </w:p>
    <w:tbl>
      <w:tblPr>
        <w:tblStyle w:val="a5"/>
        <w:tblpPr w:leftFromText="180" w:rightFromText="180" w:topFromText="180" w:bottomFromText="180" w:vertAnchor="text" w:tblpX="15"/>
        <w:tblW w:w="9773" w:type="dxa"/>
        <w:tblBorders>
          <w:insideH w:val="nil"/>
          <w:insideV w:val="nil"/>
        </w:tblBorders>
        <w:tblLayout w:type="fixed"/>
        <w:tblLook w:val="0600" w:firstRow="0" w:lastRow="0" w:firstColumn="0" w:lastColumn="0" w:noHBand="1" w:noVBand="1"/>
      </w:tblPr>
      <w:tblGrid>
        <w:gridCol w:w="993"/>
        <w:gridCol w:w="849"/>
        <w:gridCol w:w="727"/>
        <w:gridCol w:w="1170"/>
        <w:gridCol w:w="926"/>
        <w:gridCol w:w="1148"/>
        <w:gridCol w:w="859"/>
        <w:gridCol w:w="837"/>
        <w:gridCol w:w="904"/>
        <w:gridCol w:w="1360"/>
      </w:tblGrid>
      <w:tr w:rsidR="00C244A9" w14:paraId="5945B5C3" w14:textId="77777777">
        <w:trPr>
          <w:trHeight w:val="1935"/>
        </w:trPr>
        <w:tc>
          <w:tcPr>
            <w:tcW w:w="993" w:type="dxa"/>
            <w:tcBorders>
              <w:top w:val="single" w:sz="6" w:space="0" w:color="BFBFBF"/>
              <w:left w:val="single" w:sz="6" w:space="0" w:color="BFBFBF"/>
              <w:bottom w:val="single" w:sz="6" w:space="0" w:color="BFBFBF"/>
              <w:right w:val="single" w:sz="6" w:space="0" w:color="BFBFBF"/>
            </w:tcBorders>
          </w:tcPr>
          <w:p w14:paraId="10616A41" w14:textId="77777777" w:rsidR="00C244A9" w:rsidRDefault="00EF3F4D">
            <w:pPr>
              <w:spacing w:before="240" w:after="240"/>
              <w:rPr>
                <w:rFonts w:ascii="Arial" w:eastAsia="Arial" w:hAnsi="Arial" w:cs="Arial"/>
                <w:b/>
                <w:bCs/>
              </w:rPr>
            </w:pPr>
            <w:r>
              <w:rPr>
                <w:rFonts w:ascii="Arial" w:eastAsia="Arial" w:hAnsi="Arial" w:cs="Arial"/>
                <w:b/>
                <w:bCs/>
              </w:rPr>
              <w:lastRenderedPageBreak/>
              <w:t>References</w:t>
            </w:r>
          </w:p>
        </w:tc>
        <w:tc>
          <w:tcPr>
            <w:tcW w:w="849" w:type="dxa"/>
            <w:tcBorders>
              <w:top w:val="single" w:sz="6" w:space="0" w:color="BFBFBF"/>
              <w:left w:val="single" w:sz="6" w:space="0" w:color="BFBFBF"/>
              <w:bottom w:val="single" w:sz="6" w:space="0" w:color="BFBFBF"/>
              <w:right w:val="single" w:sz="6" w:space="0" w:color="BFBFBF"/>
            </w:tcBorders>
          </w:tcPr>
          <w:p w14:paraId="043600F4" w14:textId="77777777" w:rsidR="00C244A9" w:rsidRDefault="00EF3F4D">
            <w:pPr>
              <w:spacing w:before="240" w:after="240"/>
              <w:rPr>
                <w:rFonts w:ascii="Arial" w:eastAsia="Arial" w:hAnsi="Arial" w:cs="Arial"/>
                <w:b/>
                <w:bCs/>
              </w:rPr>
            </w:pPr>
            <w:r>
              <w:rPr>
                <w:rFonts w:ascii="Arial" w:eastAsia="Arial" w:hAnsi="Arial" w:cs="Arial"/>
                <w:b/>
                <w:bCs/>
              </w:rPr>
              <w:t>Inclusion criteria</w:t>
            </w:r>
          </w:p>
        </w:tc>
        <w:tc>
          <w:tcPr>
            <w:tcW w:w="727" w:type="dxa"/>
            <w:tcBorders>
              <w:top w:val="single" w:sz="6" w:space="0" w:color="BFBFBF"/>
              <w:left w:val="single" w:sz="6" w:space="0" w:color="BFBFBF"/>
              <w:bottom w:val="single" w:sz="6" w:space="0" w:color="BFBFBF"/>
              <w:right w:val="single" w:sz="6" w:space="0" w:color="BFBFBF"/>
            </w:tcBorders>
          </w:tcPr>
          <w:p w14:paraId="26CF531B" w14:textId="77777777" w:rsidR="00C244A9" w:rsidRDefault="00EF3F4D">
            <w:pPr>
              <w:spacing w:before="240" w:after="240"/>
              <w:rPr>
                <w:rFonts w:ascii="Arial" w:eastAsia="Arial" w:hAnsi="Arial" w:cs="Arial"/>
                <w:b/>
                <w:bCs/>
              </w:rPr>
            </w:pPr>
            <w:r>
              <w:rPr>
                <w:rFonts w:ascii="Arial" w:eastAsia="Arial" w:hAnsi="Arial" w:cs="Arial"/>
                <w:b/>
                <w:bCs/>
              </w:rPr>
              <w:t>Study settings</w:t>
            </w:r>
          </w:p>
        </w:tc>
        <w:tc>
          <w:tcPr>
            <w:tcW w:w="1170" w:type="dxa"/>
            <w:tcBorders>
              <w:top w:val="single" w:sz="6" w:space="0" w:color="BFBFBF"/>
              <w:left w:val="single" w:sz="6" w:space="0" w:color="BFBFBF"/>
              <w:bottom w:val="single" w:sz="6" w:space="0" w:color="BFBFBF"/>
              <w:right w:val="single" w:sz="6" w:space="0" w:color="BFBFBF"/>
            </w:tcBorders>
          </w:tcPr>
          <w:p w14:paraId="7AB3EAB4" w14:textId="77777777" w:rsidR="00C244A9" w:rsidRDefault="00EF3F4D">
            <w:pPr>
              <w:spacing w:before="240" w:after="240"/>
              <w:rPr>
                <w:rFonts w:ascii="Arial" w:eastAsia="Arial" w:hAnsi="Arial" w:cs="Arial"/>
                <w:b/>
                <w:bCs/>
              </w:rPr>
            </w:pPr>
            <w:r>
              <w:rPr>
                <w:rFonts w:ascii="Arial" w:eastAsia="Arial" w:hAnsi="Arial" w:cs="Arial"/>
                <w:b/>
                <w:bCs/>
              </w:rPr>
              <w:t>Exposure measurement</w:t>
            </w:r>
          </w:p>
        </w:tc>
        <w:tc>
          <w:tcPr>
            <w:tcW w:w="926" w:type="dxa"/>
            <w:tcBorders>
              <w:top w:val="single" w:sz="6" w:space="0" w:color="BFBFBF"/>
              <w:left w:val="single" w:sz="6" w:space="0" w:color="BFBFBF"/>
              <w:bottom w:val="single" w:sz="6" w:space="0" w:color="BFBFBF"/>
              <w:right w:val="single" w:sz="6" w:space="0" w:color="BFBFBF"/>
            </w:tcBorders>
          </w:tcPr>
          <w:p w14:paraId="633FE88F" w14:textId="77777777" w:rsidR="00C244A9" w:rsidRDefault="00EF3F4D">
            <w:pPr>
              <w:spacing w:before="240" w:after="240"/>
              <w:rPr>
                <w:rFonts w:ascii="Arial" w:eastAsia="Arial" w:hAnsi="Arial" w:cs="Arial"/>
                <w:b/>
                <w:bCs/>
              </w:rPr>
            </w:pPr>
            <w:r>
              <w:rPr>
                <w:rFonts w:ascii="Arial" w:eastAsia="Arial" w:hAnsi="Arial" w:cs="Arial"/>
                <w:b/>
                <w:bCs/>
              </w:rPr>
              <w:t>Standard procedure</w:t>
            </w:r>
          </w:p>
        </w:tc>
        <w:tc>
          <w:tcPr>
            <w:tcW w:w="1148" w:type="dxa"/>
            <w:tcBorders>
              <w:top w:val="single" w:sz="6" w:space="0" w:color="BFBFBF"/>
              <w:left w:val="single" w:sz="6" w:space="0" w:color="BFBFBF"/>
              <w:bottom w:val="single" w:sz="6" w:space="0" w:color="BFBFBF"/>
              <w:right w:val="single" w:sz="6" w:space="0" w:color="BFBFBF"/>
            </w:tcBorders>
          </w:tcPr>
          <w:p w14:paraId="25C9A8D1" w14:textId="77777777" w:rsidR="00C244A9" w:rsidRDefault="00EF3F4D">
            <w:pPr>
              <w:spacing w:before="240" w:after="240"/>
              <w:rPr>
                <w:rFonts w:ascii="Arial" w:eastAsia="Arial" w:hAnsi="Arial" w:cs="Arial"/>
                <w:b/>
                <w:bCs/>
              </w:rPr>
            </w:pPr>
            <w:r>
              <w:rPr>
                <w:rFonts w:ascii="Arial" w:eastAsia="Arial" w:hAnsi="Arial" w:cs="Arial"/>
                <w:b/>
                <w:bCs/>
              </w:rPr>
              <w:t>Confounding factors</w:t>
            </w:r>
          </w:p>
        </w:tc>
        <w:tc>
          <w:tcPr>
            <w:tcW w:w="859" w:type="dxa"/>
            <w:tcBorders>
              <w:top w:val="single" w:sz="6" w:space="0" w:color="BFBFBF"/>
              <w:left w:val="single" w:sz="6" w:space="0" w:color="BFBFBF"/>
              <w:bottom w:val="single" w:sz="6" w:space="0" w:color="BFBFBF"/>
              <w:right w:val="single" w:sz="6" w:space="0" w:color="BFBFBF"/>
            </w:tcBorders>
          </w:tcPr>
          <w:p w14:paraId="445E1EDC" w14:textId="77777777" w:rsidR="00C244A9" w:rsidRDefault="00EF3F4D">
            <w:pPr>
              <w:spacing w:before="240" w:after="240"/>
              <w:rPr>
                <w:rFonts w:ascii="Arial" w:eastAsia="Arial" w:hAnsi="Arial" w:cs="Arial"/>
                <w:b/>
                <w:bCs/>
              </w:rPr>
            </w:pPr>
            <w:r>
              <w:rPr>
                <w:rFonts w:ascii="Arial" w:eastAsia="Arial" w:hAnsi="Arial" w:cs="Arial"/>
                <w:b/>
                <w:bCs/>
              </w:rPr>
              <w:t>Strategy to deal confound factors</w:t>
            </w:r>
          </w:p>
        </w:tc>
        <w:tc>
          <w:tcPr>
            <w:tcW w:w="837" w:type="dxa"/>
            <w:tcBorders>
              <w:top w:val="single" w:sz="6" w:space="0" w:color="BFBFBF"/>
              <w:left w:val="single" w:sz="6" w:space="0" w:color="BFBFBF"/>
              <w:bottom w:val="single" w:sz="6" w:space="0" w:color="BFBFBF"/>
              <w:right w:val="single" w:sz="6" w:space="0" w:color="BFBFBF"/>
            </w:tcBorders>
          </w:tcPr>
          <w:p w14:paraId="69D2BBF4" w14:textId="77777777" w:rsidR="00C244A9" w:rsidRDefault="00EF3F4D">
            <w:pPr>
              <w:spacing w:before="240" w:after="240"/>
              <w:rPr>
                <w:rFonts w:ascii="Arial" w:eastAsia="Arial" w:hAnsi="Arial" w:cs="Arial"/>
                <w:b/>
                <w:bCs/>
              </w:rPr>
            </w:pPr>
            <w:r>
              <w:rPr>
                <w:rFonts w:ascii="Arial" w:eastAsia="Arial" w:hAnsi="Arial" w:cs="Arial"/>
                <w:b/>
                <w:bCs/>
              </w:rPr>
              <w:t>Outcome</w:t>
            </w:r>
          </w:p>
        </w:tc>
        <w:tc>
          <w:tcPr>
            <w:tcW w:w="904" w:type="dxa"/>
            <w:tcBorders>
              <w:top w:val="single" w:sz="6" w:space="0" w:color="BFBFBF"/>
              <w:left w:val="single" w:sz="6" w:space="0" w:color="BFBFBF"/>
              <w:bottom w:val="single" w:sz="6" w:space="0" w:color="BFBFBF"/>
              <w:right w:val="single" w:sz="6" w:space="0" w:color="BFBFBF"/>
            </w:tcBorders>
          </w:tcPr>
          <w:p w14:paraId="54817E45" w14:textId="77777777" w:rsidR="00C244A9" w:rsidRDefault="00EF3F4D">
            <w:pPr>
              <w:spacing w:before="240" w:after="240"/>
              <w:rPr>
                <w:rFonts w:ascii="Arial" w:eastAsia="Arial" w:hAnsi="Arial" w:cs="Arial"/>
                <w:b/>
                <w:bCs/>
              </w:rPr>
            </w:pPr>
            <w:r>
              <w:rPr>
                <w:rFonts w:ascii="Arial" w:eastAsia="Arial" w:hAnsi="Arial" w:cs="Arial"/>
                <w:b/>
                <w:bCs/>
              </w:rPr>
              <w:t>Statistical analysis</w:t>
            </w:r>
          </w:p>
        </w:tc>
        <w:tc>
          <w:tcPr>
            <w:tcW w:w="1360" w:type="dxa"/>
            <w:tcBorders>
              <w:top w:val="single" w:sz="6" w:space="0" w:color="BFBFBF"/>
              <w:left w:val="single" w:sz="6" w:space="0" w:color="BFBFBF"/>
              <w:bottom w:val="single" w:sz="6" w:space="0" w:color="BFBFBF"/>
              <w:right w:val="single" w:sz="6" w:space="0" w:color="BFBFBF"/>
            </w:tcBorders>
          </w:tcPr>
          <w:p w14:paraId="06D5F5DC" w14:textId="77777777" w:rsidR="00C244A9" w:rsidRDefault="00EF3F4D">
            <w:pPr>
              <w:spacing w:before="240" w:after="240"/>
              <w:rPr>
                <w:rFonts w:ascii="Arial" w:eastAsia="Arial" w:hAnsi="Arial" w:cs="Arial"/>
                <w:b/>
                <w:bCs/>
              </w:rPr>
            </w:pPr>
            <w:r>
              <w:rPr>
                <w:rFonts w:ascii="Arial" w:eastAsia="Arial" w:hAnsi="Arial" w:cs="Arial"/>
                <w:b/>
                <w:bCs/>
              </w:rPr>
              <w:t>Score  out of 5</w:t>
            </w:r>
          </w:p>
        </w:tc>
      </w:tr>
      <w:tr w:rsidR="00C244A9" w14:paraId="3ACE58F8" w14:textId="77777777">
        <w:trPr>
          <w:trHeight w:val="1680"/>
        </w:trPr>
        <w:tc>
          <w:tcPr>
            <w:tcW w:w="993" w:type="dxa"/>
            <w:tcBorders>
              <w:top w:val="single" w:sz="6" w:space="0" w:color="BFBFBF"/>
              <w:left w:val="single" w:sz="6" w:space="0" w:color="000000"/>
              <w:bottom w:val="single" w:sz="6" w:space="0" w:color="000000"/>
              <w:right w:val="single" w:sz="6" w:space="0" w:color="000000"/>
            </w:tcBorders>
          </w:tcPr>
          <w:p w14:paraId="625AE68F" w14:textId="77777777" w:rsidR="00C244A9" w:rsidRDefault="00EF3F4D">
            <w:pPr>
              <w:spacing w:before="240"/>
              <w:rPr>
                <w:rFonts w:ascii="Arial" w:eastAsia="Arial" w:hAnsi="Arial" w:cs="Arial"/>
              </w:rPr>
            </w:pPr>
            <w:r>
              <w:rPr>
                <w:rFonts w:ascii="Arial" w:eastAsia="Arial" w:hAnsi="Arial" w:cs="Arial"/>
              </w:rPr>
              <w:t xml:space="preserve">Brumfield </w:t>
            </w:r>
            <w:r>
              <w:rPr>
                <w:rFonts w:ascii="Arial" w:eastAsia="Arial" w:hAnsi="Arial" w:cs="Arial"/>
                <w:i/>
                <w:iCs/>
              </w:rPr>
              <w:t>et al.</w:t>
            </w:r>
            <w:r>
              <w:rPr>
                <w:rFonts w:ascii="Arial" w:eastAsia="Arial" w:hAnsi="Arial" w:cs="Arial"/>
              </w:rPr>
              <w:t xml:space="preserve"> (2021)</w:t>
            </w:r>
          </w:p>
          <w:p w14:paraId="544BEB4B" w14:textId="77777777" w:rsidR="00C244A9" w:rsidRDefault="00C244A9">
            <w:pPr>
              <w:spacing w:before="240" w:after="240"/>
              <w:rPr>
                <w:rFonts w:ascii="Arial" w:eastAsia="Arial" w:hAnsi="Arial" w:cs="Arial"/>
              </w:rPr>
            </w:pPr>
          </w:p>
        </w:tc>
        <w:tc>
          <w:tcPr>
            <w:tcW w:w="849" w:type="dxa"/>
            <w:tcBorders>
              <w:top w:val="single" w:sz="6" w:space="0" w:color="BFBFBF"/>
              <w:left w:val="single" w:sz="6" w:space="0" w:color="000000"/>
              <w:bottom w:val="single" w:sz="6" w:space="0" w:color="000000"/>
              <w:right w:val="single" w:sz="6" w:space="0" w:color="000000"/>
            </w:tcBorders>
          </w:tcPr>
          <w:p w14:paraId="7F8E72EF"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BFBFBF"/>
              <w:left w:val="single" w:sz="6" w:space="0" w:color="000000"/>
              <w:bottom w:val="single" w:sz="6" w:space="0" w:color="000000"/>
              <w:right w:val="single" w:sz="6" w:space="0" w:color="000000"/>
            </w:tcBorders>
          </w:tcPr>
          <w:p w14:paraId="16DC4119"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BFBFBF"/>
              <w:left w:val="single" w:sz="6" w:space="0" w:color="000000"/>
              <w:bottom w:val="single" w:sz="6" w:space="0" w:color="000000"/>
              <w:right w:val="single" w:sz="6" w:space="0" w:color="000000"/>
            </w:tcBorders>
          </w:tcPr>
          <w:p w14:paraId="1ABA22BE" w14:textId="77777777" w:rsidR="00C244A9" w:rsidRDefault="00EF3F4D">
            <w:pPr>
              <w:spacing w:before="240" w:after="240"/>
              <w:rPr>
                <w:rFonts w:ascii="Arial" w:eastAsia="Arial" w:hAnsi="Arial" w:cs="Arial"/>
              </w:rPr>
            </w:pPr>
            <w:r>
              <w:rPr>
                <w:rFonts w:ascii="Arial" w:eastAsia="Arial" w:hAnsi="Arial" w:cs="Arial"/>
              </w:rPr>
              <w:t>Yes</w:t>
            </w:r>
          </w:p>
        </w:tc>
        <w:tc>
          <w:tcPr>
            <w:tcW w:w="926" w:type="dxa"/>
            <w:tcBorders>
              <w:top w:val="single" w:sz="6" w:space="0" w:color="BFBFBF"/>
              <w:left w:val="single" w:sz="6" w:space="0" w:color="000000"/>
              <w:bottom w:val="single" w:sz="6" w:space="0" w:color="000000"/>
              <w:right w:val="single" w:sz="6" w:space="0" w:color="000000"/>
            </w:tcBorders>
          </w:tcPr>
          <w:p w14:paraId="71D39183"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BFBFBF"/>
              <w:left w:val="single" w:sz="6" w:space="0" w:color="000000"/>
              <w:bottom w:val="single" w:sz="6" w:space="0" w:color="000000"/>
              <w:right w:val="single" w:sz="6" w:space="0" w:color="000000"/>
            </w:tcBorders>
          </w:tcPr>
          <w:p w14:paraId="5C823B29"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BFBFBF"/>
              <w:left w:val="single" w:sz="6" w:space="0" w:color="000000"/>
              <w:bottom w:val="single" w:sz="6" w:space="0" w:color="000000"/>
              <w:right w:val="single" w:sz="6" w:space="0" w:color="000000"/>
            </w:tcBorders>
          </w:tcPr>
          <w:p w14:paraId="0B247561" w14:textId="77777777" w:rsidR="00C244A9" w:rsidRDefault="00EF3F4D">
            <w:pPr>
              <w:spacing w:before="240" w:after="240"/>
              <w:rPr>
                <w:rFonts w:ascii="Arial" w:eastAsia="Arial" w:hAnsi="Arial" w:cs="Arial"/>
              </w:rPr>
            </w:pPr>
            <w:r>
              <w:rPr>
                <w:rFonts w:ascii="Arial" w:eastAsia="Arial" w:hAnsi="Arial" w:cs="Arial"/>
              </w:rPr>
              <w:t>Yes</w:t>
            </w:r>
          </w:p>
        </w:tc>
        <w:tc>
          <w:tcPr>
            <w:tcW w:w="837" w:type="dxa"/>
            <w:tcBorders>
              <w:top w:val="single" w:sz="6" w:space="0" w:color="BFBFBF"/>
              <w:left w:val="single" w:sz="6" w:space="0" w:color="000000"/>
              <w:bottom w:val="single" w:sz="6" w:space="0" w:color="000000"/>
              <w:right w:val="single" w:sz="6" w:space="0" w:color="000000"/>
            </w:tcBorders>
          </w:tcPr>
          <w:p w14:paraId="10B7C9C8"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BFBFBF"/>
              <w:left w:val="single" w:sz="6" w:space="0" w:color="000000"/>
              <w:bottom w:val="single" w:sz="6" w:space="0" w:color="000000"/>
              <w:right w:val="single" w:sz="6" w:space="0" w:color="000000"/>
            </w:tcBorders>
          </w:tcPr>
          <w:p w14:paraId="75C4B254"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BFBFBF"/>
              <w:left w:val="single" w:sz="6" w:space="0" w:color="000000"/>
              <w:bottom w:val="single" w:sz="6" w:space="0" w:color="000000"/>
              <w:right w:val="single" w:sz="6" w:space="0" w:color="000000"/>
            </w:tcBorders>
          </w:tcPr>
          <w:p w14:paraId="15FA34F5" w14:textId="77777777" w:rsidR="00C244A9" w:rsidRDefault="00EF3F4D">
            <w:pPr>
              <w:spacing w:before="240" w:after="240"/>
              <w:rPr>
                <w:rFonts w:ascii="Arial" w:eastAsia="Arial" w:hAnsi="Arial" w:cs="Arial"/>
              </w:rPr>
            </w:pPr>
            <w:r>
              <w:rPr>
                <w:rFonts w:ascii="Arial" w:eastAsia="Arial" w:hAnsi="Arial" w:cs="Arial"/>
              </w:rPr>
              <w:t>5</w:t>
            </w:r>
          </w:p>
        </w:tc>
      </w:tr>
      <w:tr w:rsidR="00C244A9" w14:paraId="2D72B8E9" w14:textId="77777777">
        <w:trPr>
          <w:trHeight w:val="1380"/>
        </w:trPr>
        <w:tc>
          <w:tcPr>
            <w:tcW w:w="993" w:type="dxa"/>
            <w:tcBorders>
              <w:top w:val="single" w:sz="6" w:space="0" w:color="000000"/>
              <w:left w:val="single" w:sz="6" w:space="0" w:color="000000"/>
              <w:bottom w:val="single" w:sz="6" w:space="0" w:color="000000"/>
              <w:right w:val="single" w:sz="6" w:space="0" w:color="000000"/>
            </w:tcBorders>
          </w:tcPr>
          <w:p w14:paraId="19380441" w14:textId="77777777" w:rsidR="00C244A9" w:rsidRDefault="00EF3F4D">
            <w:pPr>
              <w:spacing w:before="240"/>
              <w:rPr>
                <w:rFonts w:ascii="Arial" w:eastAsia="Arial" w:hAnsi="Arial" w:cs="Arial"/>
              </w:rPr>
            </w:pPr>
            <w:r>
              <w:rPr>
                <w:rFonts w:ascii="Arial" w:eastAsia="Arial" w:hAnsi="Arial" w:cs="Arial"/>
              </w:rPr>
              <w:t>Chowdhury</w:t>
            </w:r>
            <w:r>
              <w:rPr>
                <w:rFonts w:ascii="Arial" w:eastAsia="Arial" w:hAnsi="Arial" w:cs="Arial"/>
                <w:i/>
                <w:iCs/>
              </w:rPr>
              <w:t>et al.(</w:t>
            </w:r>
            <w:r>
              <w:rPr>
                <w:rFonts w:ascii="Arial" w:eastAsia="Arial" w:hAnsi="Arial" w:cs="Arial"/>
              </w:rPr>
              <w:t>2022)</w:t>
            </w:r>
          </w:p>
          <w:p w14:paraId="1507E325" w14:textId="77777777" w:rsidR="00C244A9" w:rsidRDefault="00C244A9">
            <w:pPr>
              <w:spacing w:before="240" w:after="240"/>
              <w:rPr>
                <w:rFonts w:ascii="Arial" w:eastAsia="Arial" w:hAnsi="Arial" w:cs="Arial"/>
              </w:rPr>
            </w:pPr>
          </w:p>
        </w:tc>
        <w:tc>
          <w:tcPr>
            <w:tcW w:w="849" w:type="dxa"/>
            <w:tcBorders>
              <w:top w:val="single" w:sz="6" w:space="0" w:color="000000"/>
              <w:left w:val="single" w:sz="6" w:space="0" w:color="000000"/>
              <w:bottom w:val="single" w:sz="6" w:space="0" w:color="000000"/>
              <w:right w:val="single" w:sz="6" w:space="0" w:color="000000"/>
            </w:tcBorders>
          </w:tcPr>
          <w:p w14:paraId="6AA1B863"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000000"/>
              <w:left w:val="single" w:sz="6" w:space="0" w:color="000000"/>
              <w:bottom w:val="single" w:sz="6" w:space="0" w:color="000000"/>
              <w:right w:val="single" w:sz="6" w:space="0" w:color="000000"/>
            </w:tcBorders>
          </w:tcPr>
          <w:p w14:paraId="592BA5C6"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000000"/>
              <w:left w:val="single" w:sz="6" w:space="0" w:color="000000"/>
              <w:bottom w:val="single" w:sz="6" w:space="0" w:color="000000"/>
              <w:right w:val="single" w:sz="6" w:space="0" w:color="000000"/>
            </w:tcBorders>
          </w:tcPr>
          <w:p w14:paraId="7A8387C6" w14:textId="77777777" w:rsidR="00C244A9" w:rsidRDefault="00EF3F4D">
            <w:pPr>
              <w:spacing w:before="240" w:after="240"/>
              <w:rPr>
                <w:rFonts w:ascii="Arial" w:eastAsia="Arial" w:hAnsi="Arial" w:cs="Arial"/>
              </w:rPr>
            </w:pPr>
            <w:r>
              <w:rPr>
                <w:rFonts w:ascii="Arial" w:eastAsia="Arial" w:hAnsi="Arial" w:cs="Arial"/>
              </w:rPr>
              <w:t>Yes</w:t>
            </w:r>
          </w:p>
        </w:tc>
        <w:tc>
          <w:tcPr>
            <w:tcW w:w="926" w:type="dxa"/>
            <w:tcBorders>
              <w:top w:val="single" w:sz="6" w:space="0" w:color="000000"/>
              <w:left w:val="single" w:sz="6" w:space="0" w:color="000000"/>
              <w:bottom w:val="single" w:sz="6" w:space="0" w:color="000000"/>
              <w:right w:val="single" w:sz="6" w:space="0" w:color="000000"/>
            </w:tcBorders>
          </w:tcPr>
          <w:p w14:paraId="22FCB7E2"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000000"/>
              <w:left w:val="single" w:sz="6" w:space="0" w:color="000000"/>
              <w:bottom w:val="single" w:sz="6" w:space="0" w:color="000000"/>
              <w:right w:val="single" w:sz="6" w:space="0" w:color="000000"/>
            </w:tcBorders>
          </w:tcPr>
          <w:p w14:paraId="542723CE"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000000"/>
              <w:left w:val="single" w:sz="6" w:space="0" w:color="000000"/>
              <w:bottom w:val="single" w:sz="6" w:space="0" w:color="000000"/>
              <w:right w:val="single" w:sz="6" w:space="0" w:color="000000"/>
            </w:tcBorders>
          </w:tcPr>
          <w:p w14:paraId="7C957358" w14:textId="77777777" w:rsidR="00C244A9" w:rsidRDefault="00EF3F4D">
            <w:pPr>
              <w:spacing w:before="240" w:after="240"/>
              <w:rPr>
                <w:rFonts w:ascii="Arial" w:eastAsia="Arial" w:hAnsi="Arial" w:cs="Arial"/>
              </w:rPr>
            </w:pPr>
            <w:r>
              <w:rPr>
                <w:rFonts w:ascii="Arial" w:eastAsia="Arial" w:hAnsi="Arial" w:cs="Arial"/>
              </w:rPr>
              <w:t>Yes</w:t>
            </w:r>
          </w:p>
        </w:tc>
        <w:tc>
          <w:tcPr>
            <w:tcW w:w="837" w:type="dxa"/>
            <w:tcBorders>
              <w:top w:val="single" w:sz="6" w:space="0" w:color="000000"/>
              <w:left w:val="single" w:sz="6" w:space="0" w:color="000000"/>
              <w:bottom w:val="single" w:sz="6" w:space="0" w:color="000000"/>
              <w:right w:val="single" w:sz="6" w:space="0" w:color="000000"/>
            </w:tcBorders>
          </w:tcPr>
          <w:p w14:paraId="0C76EB30"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000000"/>
              <w:left w:val="single" w:sz="6" w:space="0" w:color="000000"/>
              <w:bottom w:val="single" w:sz="6" w:space="0" w:color="000000"/>
              <w:right w:val="single" w:sz="6" w:space="0" w:color="000000"/>
            </w:tcBorders>
          </w:tcPr>
          <w:p w14:paraId="4929396C"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000000"/>
              <w:left w:val="single" w:sz="6" w:space="0" w:color="000000"/>
              <w:bottom w:val="single" w:sz="6" w:space="0" w:color="000000"/>
              <w:right w:val="single" w:sz="6" w:space="0" w:color="000000"/>
            </w:tcBorders>
          </w:tcPr>
          <w:p w14:paraId="4D8CCBC9" w14:textId="77777777" w:rsidR="00C244A9" w:rsidRDefault="00EF3F4D">
            <w:pPr>
              <w:spacing w:before="240" w:after="240"/>
              <w:rPr>
                <w:rFonts w:ascii="Arial" w:eastAsia="Arial" w:hAnsi="Arial" w:cs="Arial"/>
              </w:rPr>
            </w:pPr>
            <w:r>
              <w:rPr>
                <w:rFonts w:ascii="Arial" w:eastAsia="Arial" w:hAnsi="Arial" w:cs="Arial"/>
              </w:rPr>
              <w:t>6.5</w:t>
            </w:r>
          </w:p>
        </w:tc>
      </w:tr>
      <w:tr w:rsidR="00C244A9" w14:paraId="7683746E" w14:textId="77777777">
        <w:trPr>
          <w:trHeight w:val="1380"/>
        </w:trPr>
        <w:tc>
          <w:tcPr>
            <w:tcW w:w="993" w:type="dxa"/>
            <w:tcBorders>
              <w:top w:val="single" w:sz="6" w:space="0" w:color="000000"/>
              <w:left w:val="single" w:sz="6" w:space="0" w:color="000000"/>
              <w:bottom w:val="single" w:sz="6" w:space="0" w:color="000000"/>
              <w:right w:val="single" w:sz="6" w:space="0" w:color="000000"/>
            </w:tcBorders>
          </w:tcPr>
          <w:p w14:paraId="252C82C9" w14:textId="77777777" w:rsidR="00C244A9" w:rsidRDefault="00EF3F4D">
            <w:pPr>
              <w:spacing w:before="240"/>
              <w:rPr>
                <w:rFonts w:ascii="Arial" w:eastAsia="Arial" w:hAnsi="Arial" w:cs="Arial"/>
              </w:rPr>
            </w:pPr>
            <w:r>
              <w:rPr>
                <w:rFonts w:ascii="Arial" w:eastAsia="Arial" w:hAnsi="Arial" w:cs="Arial"/>
              </w:rPr>
              <w:t xml:space="preserve">Ebenezer </w:t>
            </w:r>
            <w:r>
              <w:rPr>
                <w:rFonts w:ascii="Arial" w:eastAsia="Arial" w:hAnsi="Arial" w:cs="Arial"/>
                <w:i/>
                <w:iCs/>
              </w:rPr>
              <w:t>et al.</w:t>
            </w:r>
            <w:r>
              <w:rPr>
                <w:rFonts w:ascii="Arial" w:eastAsia="Arial" w:hAnsi="Arial" w:cs="Arial"/>
              </w:rPr>
              <w:t xml:space="preserve"> (2025)</w:t>
            </w:r>
          </w:p>
          <w:p w14:paraId="37A21F14" w14:textId="77777777" w:rsidR="00C244A9" w:rsidRDefault="00C244A9">
            <w:pPr>
              <w:spacing w:before="240" w:after="240"/>
              <w:rPr>
                <w:rFonts w:ascii="Arial" w:eastAsia="Arial" w:hAnsi="Arial" w:cs="Arial"/>
              </w:rPr>
            </w:pPr>
          </w:p>
        </w:tc>
        <w:tc>
          <w:tcPr>
            <w:tcW w:w="849" w:type="dxa"/>
            <w:tcBorders>
              <w:top w:val="single" w:sz="6" w:space="0" w:color="000000"/>
              <w:left w:val="single" w:sz="6" w:space="0" w:color="000000"/>
              <w:bottom w:val="single" w:sz="6" w:space="0" w:color="000000"/>
              <w:right w:val="single" w:sz="6" w:space="0" w:color="000000"/>
            </w:tcBorders>
          </w:tcPr>
          <w:p w14:paraId="618F15BC"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000000"/>
              <w:left w:val="single" w:sz="6" w:space="0" w:color="000000"/>
              <w:bottom w:val="single" w:sz="6" w:space="0" w:color="000000"/>
              <w:right w:val="single" w:sz="6" w:space="0" w:color="000000"/>
            </w:tcBorders>
          </w:tcPr>
          <w:p w14:paraId="4941B479"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000000"/>
              <w:left w:val="single" w:sz="6" w:space="0" w:color="000000"/>
              <w:bottom w:val="single" w:sz="6" w:space="0" w:color="000000"/>
              <w:right w:val="single" w:sz="6" w:space="0" w:color="000000"/>
            </w:tcBorders>
          </w:tcPr>
          <w:p w14:paraId="78B5645D" w14:textId="77777777" w:rsidR="00C244A9" w:rsidRDefault="00EF3F4D">
            <w:pPr>
              <w:spacing w:before="240" w:after="240"/>
              <w:rPr>
                <w:rFonts w:ascii="Arial" w:eastAsia="Arial" w:hAnsi="Arial" w:cs="Arial"/>
              </w:rPr>
            </w:pPr>
            <w:r>
              <w:rPr>
                <w:rFonts w:ascii="Arial" w:eastAsia="Arial" w:hAnsi="Arial" w:cs="Arial"/>
              </w:rPr>
              <w:t>Yes</w:t>
            </w:r>
          </w:p>
        </w:tc>
        <w:tc>
          <w:tcPr>
            <w:tcW w:w="926" w:type="dxa"/>
            <w:tcBorders>
              <w:top w:val="single" w:sz="6" w:space="0" w:color="000000"/>
              <w:left w:val="single" w:sz="6" w:space="0" w:color="000000"/>
              <w:bottom w:val="single" w:sz="6" w:space="0" w:color="000000"/>
              <w:right w:val="single" w:sz="6" w:space="0" w:color="000000"/>
            </w:tcBorders>
          </w:tcPr>
          <w:p w14:paraId="61D83EE4"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000000"/>
              <w:left w:val="single" w:sz="6" w:space="0" w:color="000000"/>
              <w:bottom w:val="single" w:sz="6" w:space="0" w:color="000000"/>
              <w:right w:val="single" w:sz="6" w:space="0" w:color="000000"/>
            </w:tcBorders>
          </w:tcPr>
          <w:p w14:paraId="3FF19B74"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000000"/>
              <w:left w:val="single" w:sz="6" w:space="0" w:color="000000"/>
              <w:bottom w:val="single" w:sz="6" w:space="0" w:color="000000"/>
              <w:right w:val="single" w:sz="6" w:space="0" w:color="000000"/>
            </w:tcBorders>
          </w:tcPr>
          <w:p w14:paraId="32E576D3" w14:textId="77777777" w:rsidR="00C244A9" w:rsidRDefault="00EF3F4D">
            <w:pPr>
              <w:spacing w:before="240" w:after="240"/>
              <w:rPr>
                <w:rFonts w:ascii="Arial" w:eastAsia="Arial" w:hAnsi="Arial" w:cs="Arial"/>
              </w:rPr>
            </w:pPr>
            <w:r>
              <w:rPr>
                <w:rFonts w:ascii="Arial" w:eastAsia="Arial" w:hAnsi="Arial" w:cs="Arial"/>
              </w:rPr>
              <w:t>Yes</w:t>
            </w:r>
          </w:p>
        </w:tc>
        <w:tc>
          <w:tcPr>
            <w:tcW w:w="837" w:type="dxa"/>
            <w:tcBorders>
              <w:top w:val="single" w:sz="6" w:space="0" w:color="000000"/>
              <w:left w:val="single" w:sz="6" w:space="0" w:color="000000"/>
              <w:bottom w:val="single" w:sz="6" w:space="0" w:color="000000"/>
              <w:right w:val="single" w:sz="6" w:space="0" w:color="000000"/>
            </w:tcBorders>
          </w:tcPr>
          <w:p w14:paraId="280C53A5"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000000"/>
              <w:left w:val="single" w:sz="6" w:space="0" w:color="000000"/>
              <w:bottom w:val="single" w:sz="6" w:space="0" w:color="000000"/>
              <w:right w:val="single" w:sz="6" w:space="0" w:color="000000"/>
            </w:tcBorders>
          </w:tcPr>
          <w:p w14:paraId="7BF1B65B"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000000"/>
              <w:left w:val="single" w:sz="6" w:space="0" w:color="000000"/>
              <w:bottom w:val="single" w:sz="6" w:space="0" w:color="000000"/>
              <w:right w:val="single" w:sz="6" w:space="0" w:color="000000"/>
            </w:tcBorders>
          </w:tcPr>
          <w:p w14:paraId="02EDC3F6" w14:textId="77777777" w:rsidR="00C244A9" w:rsidRDefault="00EF3F4D">
            <w:pPr>
              <w:spacing w:before="240" w:after="240"/>
              <w:rPr>
                <w:rFonts w:ascii="Arial" w:eastAsia="Arial" w:hAnsi="Arial" w:cs="Arial"/>
              </w:rPr>
            </w:pPr>
            <w:r>
              <w:rPr>
                <w:rFonts w:ascii="Arial" w:eastAsia="Arial" w:hAnsi="Arial" w:cs="Arial"/>
              </w:rPr>
              <w:t>4</w:t>
            </w:r>
          </w:p>
        </w:tc>
      </w:tr>
      <w:tr w:rsidR="00C244A9" w14:paraId="4266B88B" w14:textId="77777777">
        <w:trPr>
          <w:trHeight w:val="1380"/>
        </w:trPr>
        <w:tc>
          <w:tcPr>
            <w:tcW w:w="993" w:type="dxa"/>
            <w:tcBorders>
              <w:top w:val="single" w:sz="6" w:space="0" w:color="000000"/>
              <w:left w:val="single" w:sz="6" w:space="0" w:color="000000"/>
              <w:bottom w:val="single" w:sz="6" w:space="0" w:color="000000"/>
              <w:right w:val="single" w:sz="6" w:space="0" w:color="000000"/>
            </w:tcBorders>
          </w:tcPr>
          <w:p w14:paraId="2C16856B" w14:textId="77777777" w:rsidR="00C244A9" w:rsidRDefault="00EF3F4D">
            <w:pPr>
              <w:spacing w:before="240"/>
              <w:rPr>
                <w:rFonts w:ascii="Arial" w:eastAsia="Arial" w:hAnsi="Arial" w:cs="Arial"/>
              </w:rPr>
            </w:pPr>
            <w:r>
              <w:rPr>
                <w:rFonts w:ascii="Arial" w:eastAsia="Arial" w:hAnsi="Arial" w:cs="Arial"/>
              </w:rPr>
              <w:t xml:space="preserve">Jin </w:t>
            </w:r>
            <w:r>
              <w:rPr>
                <w:rFonts w:ascii="Arial" w:eastAsia="Arial" w:hAnsi="Arial" w:cs="Arial"/>
                <w:i/>
                <w:iCs/>
              </w:rPr>
              <w:t>et al.</w:t>
            </w:r>
            <w:r>
              <w:rPr>
                <w:rFonts w:ascii="Arial" w:eastAsia="Arial" w:hAnsi="Arial" w:cs="Arial"/>
              </w:rPr>
              <w:t xml:space="preserve"> (2025)</w:t>
            </w:r>
          </w:p>
          <w:p w14:paraId="7709222D" w14:textId="77777777" w:rsidR="00C244A9" w:rsidRDefault="00C244A9">
            <w:pPr>
              <w:spacing w:before="240" w:after="240"/>
              <w:rPr>
                <w:rFonts w:ascii="Arial" w:eastAsia="Arial" w:hAnsi="Arial" w:cs="Arial"/>
              </w:rPr>
            </w:pPr>
          </w:p>
        </w:tc>
        <w:tc>
          <w:tcPr>
            <w:tcW w:w="849" w:type="dxa"/>
            <w:tcBorders>
              <w:top w:val="single" w:sz="6" w:space="0" w:color="000000"/>
              <w:left w:val="single" w:sz="6" w:space="0" w:color="000000"/>
              <w:bottom w:val="single" w:sz="6" w:space="0" w:color="000000"/>
              <w:right w:val="single" w:sz="6" w:space="0" w:color="000000"/>
            </w:tcBorders>
          </w:tcPr>
          <w:p w14:paraId="3470FD0D"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000000"/>
              <w:left w:val="single" w:sz="6" w:space="0" w:color="000000"/>
              <w:bottom w:val="single" w:sz="6" w:space="0" w:color="000000"/>
              <w:right w:val="single" w:sz="6" w:space="0" w:color="000000"/>
            </w:tcBorders>
          </w:tcPr>
          <w:p w14:paraId="6DA8BA5B"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000000"/>
              <w:left w:val="single" w:sz="6" w:space="0" w:color="000000"/>
              <w:bottom w:val="single" w:sz="6" w:space="0" w:color="000000"/>
              <w:right w:val="single" w:sz="6" w:space="0" w:color="000000"/>
            </w:tcBorders>
          </w:tcPr>
          <w:p w14:paraId="7D021EB4" w14:textId="77777777" w:rsidR="00C244A9" w:rsidRDefault="00EF3F4D">
            <w:pPr>
              <w:spacing w:before="240" w:after="240"/>
              <w:rPr>
                <w:rFonts w:ascii="Arial" w:eastAsia="Arial" w:hAnsi="Arial" w:cs="Arial"/>
              </w:rPr>
            </w:pPr>
            <w:r>
              <w:rPr>
                <w:rFonts w:ascii="Arial" w:eastAsia="Arial" w:hAnsi="Arial" w:cs="Arial"/>
              </w:rPr>
              <w:t>No</w:t>
            </w:r>
          </w:p>
        </w:tc>
        <w:tc>
          <w:tcPr>
            <w:tcW w:w="926" w:type="dxa"/>
            <w:tcBorders>
              <w:top w:val="single" w:sz="6" w:space="0" w:color="000000"/>
              <w:left w:val="single" w:sz="6" w:space="0" w:color="000000"/>
              <w:bottom w:val="single" w:sz="6" w:space="0" w:color="000000"/>
              <w:right w:val="single" w:sz="6" w:space="0" w:color="000000"/>
            </w:tcBorders>
          </w:tcPr>
          <w:p w14:paraId="5560E416"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000000"/>
              <w:left w:val="single" w:sz="6" w:space="0" w:color="000000"/>
              <w:bottom w:val="single" w:sz="6" w:space="0" w:color="000000"/>
              <w:right w:val="single" w:sz="6" w:space="0" w:color="000000"/>
            </w:tcBorders>
          </w:tcPr>
          <w:p w14:paraId="011B1436"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000000"/>
              <w:left w:val="single" w:sz="6" w:space="0" w:color="000000"/>
              <w:bottom w:val="single" w:sz="6" w:space="0" w:color="000000"/>
              <w:right w:val="single" w:sz="6" w:space="0" w:color="000000"/>
            </w:tcBorders>
          </w:tcPr>
          <w:p w14:paraId="06E30488" w14:textId="77777777" w:rsidR="00C244A9" w:rsidRDefault="00EF3F4D">
            <w:pPr>
              <w:spacing w:before="240" w:after="240"/>
              <w:rPr>
                <w:rFonts w:ascii="Arial" w:eastAsia="Arial" w:hAnsi="Arial" w:cs="Arial"/>
              </w:rPr>
            </w:pPr>
            <w:r>
              <w:rPr>
                <w:rFonts w:ascii="Arial" w:eastAsia="Arial" w:hAnsi="Arial" w:cs="Arial"/>
              </w:rPr>
              <w:t>Yes</w:t>
            </w:r>
          </w:p>
        </w:tc>
        <w:tc>
          <w:tcPr>
            <w:tcW w:w="837" w:type="dxa"/>
            <w:tcBorders>
              <w:top w:val="single" w:sz="6" w:space="0" w:color="000000"/>
              <w:left w:val="single" w:sz="6" w:space="0" w:color="000000"/>
              <w:bottom w:val="single" w:sz="6" w:space="0" w:color="000000"/>
              <w:right w:val="single" w:sz="6" w:space="0" w:color="000000"/>
            </w:tcBorders>
          </w:tcPr>
          <w:p w14:paraId="4E318FA0"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000000"/>
              <w:left w:val="single" w:sz="6" w:space="0" w:color="000000"/>
              <w:bottom w:val="single" w:sz="6" w:space="0" w:color="000000"/>
              <w:right w:val="single" w:sz="6" w:space="0" w:color="000000"/>
            </w:tcBorders>
          </w:tcPr>
          <w:p w14:paraId="5E5FD7A2"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000000"/>
              <w:left w:val="single" w:sz="6" w:space="0" w:color="000000"/>
              <w:bottom w:val="single" w:sz="6" w:space="0" w:color="000000"/>
              <w:right w:val="single" w:sz="6" w:space="0" w:color="000000"/>
            </w:tcBorders>
          </w:tcPr>
          <w:p w14:paraId="1DE05698" w14:textId="77777777" w:rsidR="00C244A9" w:rsidRDefault="00EF3F4D">
            <w:pPr>
              <w:spacing w:before="240" w:after="240"/>
              <w:rPr>
                <w:rFonts w:ascii="Arial" w:eastAsia="Arial" w:hAnsi="Arial" w:cs="Arial"/>
              </w:rPr>
            </w:pPr>
            <w:r>
              <w:rPr>
                <w:rFonts w:ascii="Arial" w:eastAsia="Arial" w:hAnsi="Arial" w:cs="Arial"/>
              </w:rPr>
              <w:t>7.5</w:t>
            </w:r>
          </w:p>
        </w:tc>
      </w:tr>
      <w:tr w:rsidR="00C244A9" w14:paraId="04664B45" w14:textId="77777777">
        <w:trPr>
          <w:trHeight w:val="1380"/>
        </w:trPr>
        <w:tc>
          <w:tcPr>
            <w:tcW w:w="993" w:type="dxa"/>
            <w:tcBorders>
              <w:top w:val="single" w:sz="6" w:space="0" w:color="000000"/>
              <w:left w:val="single" w:sz="6" w:space="0" w:color="000000"/>
              <w:bottom w:val="single" w:sz="6" w:space="0" w:color="000000"/>
              <w:right w:val="single" w:sz="6" w:space="0" w:color="000000"/>
            </w:tcBorders>
          </w:tcPr>
          <w:p w14:paraId="79C29697" w14:textId="77777777" w:rsidR="00C244A9" w:rsidRDefault="00EF3F4D">
            <w:pPr>
              <w:spacing w:before="240"/>
              <w:rPr>
                <w:rFonts w:ascii="Arial" w:eastAsia="Arial" w:hAnsi="Arial" w:cs="Arial"/>
              </w:rPr>
            </w:pPr>
            <w:r>
              <w:rPr>
                <w:rFonts w:ascii="Arial" w:eastAsia="Arial" w:hAnsi="Arial" w:cs="Arial"/>
              </w:rPr>
              <w:t>Lotoux</w:t>
            </w:r>
            <w:r>
              <w:rPr>
                <w:rFonts w:ascii="Arial" w:eastAsia="Arial" w:hAnsi="Arial" w:cs="Arial"/>
                <w:i/>
                <w:iCs/>
              </w:rPr>
              <w:t>et al.</w:t>
            </w:r>
            <w:r>
              <w:rPr>
                <w:rFonts w:ascii="Arial" w:eastAsia="Arial" w:hAnsi="Arial" w:cs="Arial"/>
              </w:rPr>
              <w:t xml:space="preserve"> (2022)</w:t>
            </w:r>
          </w:p>
          <w:p w14:paraId="391826DA" w14:textId="77777777" w:rsidR="00C244A9" w:rsidRDefault="00C244A9">
            <w:pPr>
              <w:spacing w:before="240" w:after="240"/>
              <w:rPr>
                <w:rFonts w:ascii="Arial" w:eastAsia="Arial" w:hAnsi="Arial" w:cs="Arial"/>
              </w:rPr>
            </w:pPr>
          </w:p>
        </w:tc>
        <w:tc>
          <w:tcPr>
            <w:tcW w:w="849" w:type="dxa"/>
            <w:tcBorders>
              <w:top w:val="single" w:sz="6" w:space="0" w:color="000000"/>
              <w:left w:val="single" w:sz="6" w:space="0" w:color="000000"/>
              <w:bottom w:val="single" w:sz="6" w:space="0" w:color="000000"/>
              <w:right w:val="single" w:sz="6" w:space="0" w:color="000000"/>
            </w:tcBorders>
          </w:tcPr>
          <w:p w14:paraId="6E9746BE"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000000"/>
              <w:left w:val="single" w:sz="6" w:space="0" w:color="000000"/>
              <w:bottom w:val="single" w:sz="6" w:space="0" w:color="000000"/>
              <w:right w:val="single" w:sz="6" w:space="0" w:color="000000"/>
            </w:tcBorders>
          </w:tcPr>
          <w:p w14:paraId="3C81E727"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000000"/>
              <w:left w:val="single" w:sz="6" w:space="0" w:color="000000"/>
              <w:bottom w:val="single" w:sz="6" w:space="0" w:color="000000"/>
              <w:right w:val="single" w:sz="6" w:space="0" w:color="000000"/>
            </w:tcBorders>
          </w:tcPr>
          <w:p w14:paraId="5E8D8E05" w14:textId="77777777" w:rsidR="00C244A9" w:rsidRDefault="00EF3F4D">
            <w:pPr>
              <w:spacing w:before="240" w:after="240"/>
              <w:rPr>
                <w:rFonts w:ascii="Arial" w:eastAsia="Arial" w:hAnsi="Arial" w:cs="Arial"/>
              </w:rPr>
            </w:pPr>
            <w:r>
              <w:rPr>
                <w:rFonts w:ascii="Arial" w:eastAsia="Arial" w:hAnsi="Arial" w:cs="Arial"/>
              </w:rPr>
              <w:t>Yes</w:t>
            </w:r>
          </w:p>
        </w:tc>
        <w:tc>
          <w:tcPr>
            <w:tcW w:w="926" w:type="dxa"/>
            <w:tcBorders>
              <w:top w:val="single" w:sz="6" w:space="0" w:color="000000"/>
              <w:left w:val="single" w:sz="6" w:space="0" w:color="000000"/>
              <w:bottom w:val="single" w:sz="6" w:space="0" w:color="000000"/>
              <w:right w:val="single" w:sz="6" w:space="0" w:color="000000"/>
            </w:tcBorders>
          </w:tcPr>
          <w:p w14:paraId="778E4143"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000000"/>
              <w:left w:val="single" w:sz="6" w:space="0" w:color="000000"/>
              <w:bottom w:val="single" w:sz="6" w:space="0" w:color="000000"/>
              <w:right w:val="single" w:sz="6" w:space="0" w:color="000000"/>
            </w:tcBorders>
          </w:tcPr>
          <w:p w14:paraId="276A9350"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000000"/>
              <w:left w:val="single" w:sz="6" w:space="0" w:color="000000"/>
              <w:bottom w:val="single" w:sz="6" w:space="0" w:color="000000"/>
              <w:right w:val="single" w:sz="6" w:space="0" w:color="000000"/>
            </w:tcBorders>
          </w:tcPr>
          <w:p w14:paraId="3EA23429" w14:textId="77777777" w:rsidR="00C244A9" w:rsidRDefault="00EF3F4D">
            <w:pPr>
              <w:spacing w:before="240" w:after="240"/>
              <w:rPr>
                <w:rFonts w:ascii="Arial" w:eastAsia="Arial" w:hAnsi="Arial" w:cs="Arial"/>
              </w:rPr>
            </w:pPr>
            <w:r>
              <w:rPr>
                <w:rFonts w:ascii="Arial" w:eastAsia="Arial" w:hAnsi="Arial" w:cs="Arial"/>
              </w:rPr>
              <w:t>Yes</w:t>
            </w:r>
          </w:p>
        </w:tc>
        <w:tc>
          <w:tcPr>
            <w:tcW w:w="837" w:type="dxa"/>
            <w:tcBorders>
              <w:top w:val="single" w:sz="6" w:space="0" w:color="000000"/>
              <w:left w:val="single" w:sz="6" w:space="0" w:color="000000"/>
              <w:bottom w:val="single" w:sz="6" w:space="0" w:color="000000"/>
              <w:right w:val="single" w:sz="6" w:space="0" w:color="000000"/>
            </w:tcBorders>
          </w:tcPr>
          <w:p w14:paraId="6FB7E966"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000000"/>
              <w:left w:val="single" w:sz="6" w:space="0" w:color="000000"/>
              <w:bottom w:val="single" w:sz="6" w:space="0" w:color="000000"/>
              <w:right w:val="single" w:sz="6" w:space="0" w:color="000000"/>
            </w:tcBorders>
          </w:tcPr>
          <w:p w14:paraId="7D81EC75"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000000"/>
              <w:left w:val="single" w:sz="6" w:space="0" w:color="000000"/>
              <w:bottom w:val="single" w:sz="6" w:space="0" w:color="000000"/>
              <w:right w:val="single" w:sz="6" w:space="0" w:color="000000"/>
            </w:tcBorders>
          </w:tcPr>
          <w:p w14:paraId="7C592ED3" w14:textId="77777777" w:rsidR="00C244A9" w:rsidRDefault="00EF3F4D">
            <w:pPr>
              <w:spacing w:before="240" w:after="240"/>
              <w:rPr>
                <w:rFonts w:ascii="Arial" w:eastAsia="Arial" w:hAnsi="Arial" w:cs="Arial"/>
              </w:rPr>
            </w:pPr>
            <w:r>
              <w:rPr>
                <w:rFonts w:ascii="Arial" w:eastAsia="Arial" w:hAnsi="Arial" w:cs="Arial"/>
              </w:rPr>
              <w:t>8</w:t>
            </w:r>
          </w:p>
        </w:tc>
      </w:tr>
      <w:tr w:rsidR="00C244A9" w14:paraId="4FF45866" w14:textId="77777777">
        <w:trPr>
          <w:trHeight w:val="570"/>
        </w:trPr>
        <w:tc>
          <w:tcPr>
            <w:tcW w:w="993" w:type="dxa"/>
            <w:tcBorders>
              <w:top w:val="single" w:sz="6" w:space="0" w:color="000000"/>
              <w:left w:val="single" w:sz="6" w:space="0" w:color="000000"/>
              <w:bottom w:val="single" w:sz="6" w:space="0" w:color="000000"/>
              <w:right w:val="single" w:sz="6" w:space="0" w:color="000000"/>
            </w:tcBorders>
          </w:tcPr>
          <w:p w14:paraId="636237DB" w14:textId="77777777" w:rsidR="00C244A9" w:rsidRDefault="00EF3F4D">
            <w:pPr>
              <w:spacing w:before="240" w:after="240"/>
              <w:rPr>
                <w:rFonts w:ascii="Arial" w:eastAsia="Arial" w:hAnsi="Arial" w:cs="Arial"/>
              </w:rPr>
            </w:pPr>
            <w:r>
              <w:rPr>
                <w:rFonts w:ascii="Arial" w:eastAsia="Arial" w:hAnsi="Arial" w:cs="Arial"/>
              </w:rPr>
              <w:lastRenderedPageBreak/>
              <w:t>Mageto</w:t>
            </w:r>
            <w:r>
              <w:rPr>
                <w:rFonts w:ascii="Arial" w:eastAsia="Arial" w:hAnsi="Arial" w:cs="Arial"/>
                <w:i/>
                <w:iCs/>
              </w:rPr>
              <w:t>et al. (</w:t>
            </w:r>
            <w:r>
              <w:rPr>
                <w:rFonts w:ascii="Arial" w:eastAsia="Arial" w:hAnsi="Arial" w:cs="Arial"/>
              </w:rPr>
              <w:t>2025)</w:t>
            </w:r>
          </w:p>
        </w:tc>
        <w:tc>
          <w:tcPr>
            <w:tcW w:w="849" w:type="dxa"/>
            <w:tcBorders>
              <w:top w:val="single" w:sz="6" w:space="0" w:color="000000"/>
              <w:left w:val="single" w:sz="6" w:space="0" w:color="000000"/>
              <w:bottom w:val="single" w:sz="6" w:space="0" w:color="000000"/>
              <w:right w:val="single" w:sz="6" w:space="0" w:color="000000"/>
            </w:tcBorders>
          </w:tcPr>
          <w:p w14:paraId="4A05C9B0"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000000"/>
              <w:left w:val="single" w:sz="6" w:space="0" w:color="000000"/>
              <w:bottom w:val="single" w:sz="6" w:space="0" w:color="000000"/>
              <w:right w:val="single" w:sz="6" w:space="0" w:color="000000"/>
            </w:tcBorders>
          </w:tcPr>
          <w:p w14:paraId="5B174BD0"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000000"/>
              <w:left w:val="single" w:sz="6" w:space="0" w:color="000000"/>
              <w:bottom w:val="single" w:sz="6" w:space="0" w:color="000000"/>
              <w:right w:val="single" w:sz="6" w:space="0" w:color="000000"/>
            </w:tcBorders>
          </w:tcPr>
          <w:p w14:paraId="27C45377" w14:textId="77777777" w:rsidR="00C244A9" w:rsidRDefault="00EF3F4D">
            <w:pPr>
              <w:spacing w:before="240" w:after="240"/>
              <w:rPr>
                <w:rFonts w:ascii="Arial" w:eastAsia="Arial" w:hAnsi="Arial" w:cs="Arial"/>
              </w:rPr>
            </w:pPr>
            <w:r>
              <w:rPr>
                <w:rFonts w:ascii="Arial" w:eastAsia="Arial" w:hAnsi="Arial" w:cs="Arial"/>
              </w:rPr>
              <w:t>No</w:t>
            </w:r>
          </w:p>
        </w:tc>
        <w:tc>
          <w:tcPr>
            <w:tcW w:w="926" w:type="dxa"/>
            <w:tcBorders>
              <w:top w:val="single" w:sz="6" w:space="0" w:color="000000"/>
              <w:left w:val="single" w:sz="6" w:space="0" w:color="000000"/>
              <w:bottom w:val="single" w:sz="6" w:space="0" w:color="000000"/>
              <w:right w:val="single" w:sz="6" w:space="0" w:color="000000"/>
            </w:tcBorders>
          </w:tcPr>
          <w:p w14:paraId="31C2BB19"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000000"/>
              <w:left w:val="single" w:sz="6" w:space="0" w:color="000000"/>
              <w:bottom w:val="single" w:sz="6" w:space="0" w:color="000000"/>
              <w:right w:val="single" w:sz="6" w:space="0" w:color="000000"/>
            </w:tcBorders>
          </w:tcPr>
          <w:p w14:paraId="169070C5"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000000"/>
              <w:left w:val="single" w:sz="6" w:space="0" w:color="000000"/>
              <w:bottom w:val="single" w:sz="6" w:space="0" w:color="000000"/>
              <w:right w:val="single" w:sz="6" w:space="0" w:color="000000"/>
            </w:tcBorders>
          </w:tcPr>
          <w:p w14:paraId="3E43025E" w14:textId="77777777" w:rsidR="00C244A9" w:rsidRDefault="00EF3F4D">
            <w:pPr>
              <w:spacing w:before="240" w:after="240"/>
              <w:rPr>
                <w:rFonts w:ascii="Arial" w:eastAsia="Arial" w:hAnsi="Arial" w:cs="Arial"/>
              </w:rPr>
            </w:pPr>
            <w:r>
              <w:rPr>
                <w:rFonts w:ascii="Arial" w:eastAsia="Arial" w:hAnsi="Arial" w:cs="Arial"/>
              </w:rPr>
              <w:t>Not clear</w:t>
            </w:r>
          </w:p>
        </w:tc>
        <w:tc>
          <w:tcPr>
            <w:tcW w:w="837" w:type="dxa"/>
            <w:tcBorders>
              <w:top w:val="single" w:sz="6" w:space="0" w:color="000000"/>
              <w:left w:val="single" w:sz="6" w:space="0" w:color="000000"/>
              <w:bottom w:val="single" w:sz="6" w:space="0" w:color="000000"/>
              <w:right w:val="single" w:sz="6" w:space="0" w:color="000000"/>
            </w:tcBorders>
          </w:tcPr>
          <w:p w14:paraId="2BBEB0F5"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000000"/>
              <w:left w:val="single" w:sz="6" w:space="0" w:color="000000"/>
              <w:bottom w:val="single" w:sz="6" w:space="0" w:color="000000"/>
              <w:right w:val="single" w:sz="6" w:space="0" w:color="000000"/>
            </w:tcBorders>
          </w:tcPr>
          <w:p w14:paraId="4D97748E"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000000"/>
              <w:left w:val="single" w:sz="6" w:space="0" w:color="000000"/>
              <w:bottom w:val="single" w:sz="6" w:space="0" w:color="000000"/>
              <w:right w:val="single" w:sz="6" w:space="0" w:color="000000"/>
            </w:tcBorders>
          </w:tcPr>
          <w:p w14:paraId="465F455A" w14:textId="77777777" w:rsidR="00C244A9" w:rsidRDefault="00EF3F4D">
            <w:pPr>
              <w:spacing w:before="240" w:after="240"/>
              <w:rPr>
                <w:rFonts w:ascii="Arial" w:eastAsia="Arial" w:hAnsi="Arial" w:cs="Arial"/>
              </w:rPr>
            </w:pPr>
            <w:r>
              <w:rPr>
                <w:rFonts w:ascii="Arial" w:eastAsia="Arial" w:hAnsi="Arial" w:cs="Arial"/>
              </w:rPr>
              <w:t>6</w:t>
            </w:r>
          </w:p>
        </w:tc>
      </w:tr>
      <w:tr w:rsidR="00C244A9" w14:paraId="15F30E17" w14:textId="77777777">
        <w:trPr>
          <w:trHeight w:val="570"/>
        </w:trPr>
        <w:tc>
          <w:tcPr>
            <w:tcW w:w="993" w:type="dxa"/>
            <w:tcBorders>
              <w:top w:val="single" w:sz="6" w:space="0" w:color="000000"/>
              <w:left w:val="single" w:sz="6" w:space="0" w:color="000000"/>
              <w:bottom w:val="single" w:sz="6" w:space="0" w:color="000000"/>
              <w:right w:val="single" w:sz="6" w:space="0" w:color="000000"/>
            </w:tcBorders>
          </w:tcPr>
          <w:p w14:paraId="6BF01E90" w14:textId="77777777" w:rsidR="00C244A9" w:rsidRDefault="00EF3F4D">
            <w:pPr>
              <w:spacing w:before="240" w:after="240"/>
              <w:rPr>
                <w:rFonts w:ascii="Arial" w:eastAsia="Arial" w:hAnsi="Arial" w:cs="Arial"/>
              </w:rPr>
            </w:pPr>
            <w:r>
              <w:rPr>
                <w:rFonts w:ascii="Arial" w:eastAsia="Arial" w:hAnsi="Arial" w:cs="Arial"/>
              </w:rPr>
              <w:t xml:space="preserve">Mohamed </w:t>
            </w:r>
            <w:r>
              <w:rPr>
                <w:rFonts w:ascii="Arial" w:eastAsia="Arial" w:hAnsi="Arial" w:cs="Arial"/>
                <w:i/>
                <w:iCs/>
              </w:rPr>
              <w:t>et al.</w:t>
            </w:r>
            <w:r>
              <w:rPr>
                <w:rFonts w:ascii="Arial" w:eastAsia="Arial" w:hAnsi="Arial" w:cs="Arial"/>
              </w:rPr>
              <w:t xml:space="preserve"> (2025)</w:t>
            </w:r>
          </w:p>
        </w:tc>
        <w:tc>
          <w:tcPr>
            <w:tcW w:w="849" w:type="dxa"/>
            <w:tcBorders>
              <w:top w:val="single" w:sz="6" w:space="0" w:color="000000"/>
              <w:left w:val="single" w:sz="6" w:space="0" w:color="000000"/>
              <w:bottom w:val="single" w:sz="6" w:space="0" w:color="000000"/>
              <w:right w:val="single" w:sz="6" w:space="0" w:color="000000"/>
            </w:tcBorders>
          </w:tcPr>
          <w:p w14:paraId="75D16E86"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000000"/>
              <w:left w:val="single" w:sz="6" w:space="0" w:color="000000"/>
              <w:bottom w:val="single" w:sz="6" w:space="0" w:color="000000"/>
              <w:right w:val="single" w:sz="6" w:space="0" w:color="000000"/>
            </w:tcBorders>
          </w:tcPr>
          <w:p w14:paraId="7E8A0063"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000000"/>
              <w:left w:val="single" w:sz="6" w:space="0" w:color="000000"/>
              <w:bottom w:val="single" w:sz="6" w:space="0" w:color="000000"/>
              <w:right w:val="single" w:sz="6" w:space="0" w:color="000000"/>
            </w:tcBorders>
          </w:tcPr>
          <w:p w14:paraId="0F3DE3F5" w14:textId="77777777" w:rsidR="00C244A9" w:rsidRDefault="00EF3F4D">
            <w:pPr>
              <w:spacing w:before="240" w:after="240"/>
              <w:rPr>
                <w:rFonts w:ascii="Arial" w:eastAsia="Arial" w:hAnsi="Arial" w:cs="Arial"/>
              </w:rPr>
            </w:pPr>
            <w:r>
              <w:rPr>
                <w:rFonts w:ascii="Arial" w:eastAsia="Arial" w:hAnsi="Arial" w:cs="Arial"/>
              </w:rPr>
              <w:t>Yes</w:t>
            </w:r>
          </w:p>
        </w:tc>
        <w:tc>
          <w:tcPr>
            <w:tcW w:w="926" w:type="dxa"/>
            <w:tcBorders>
              <w:top w:val="single" w:sz="6" w:space="0" w:color="000000"/>
              <w:left w:val="single" w:sz="6" w:space="0" w:color="000000"/>
              <w:bottom w:val="single" w:sz="6" w:space="0" w:color="000000"/>
              <w:right w:val="single" w:sz="6" w:space="0" w:color="000000"/>
            </w:tcBorders>
          </w:tcPr>
          <w:p w14:paraId="545EE992"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000000"/>
              <w:left w:val="single" w:sz="6" w:space="0" w:color="000000"/>
              <w:bottom w:val="single" w:sz="6" w:space="0" w:color="000000"/>
              <w:right w:val="single" w:sz="6" w:space="0" w:color="000000"/>
            </w:tcBorders>
          </w:tcPr>
          <w:p w14:paraId="58336F63"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000000"/>
              <w:left w:val="single" w:sz="6" w:space="0" w:color="000000"/>
              <w:bottom w:val="single" w:sz="6" w:space="0" w:color="000000"/>
              <w:right w:val="single" w:sz="6" w:space="0" w:color="000000"/>
            </w:tcBorders>
          </w:tcPr>
          <w:p w14:paraId="484511A4" w14:textId="77777777" w:rsidR="00C244A9" w:rsidRDefault="00EF3F4D">
            <w:pPr>
              <w:spacing w:before="240" w:after="240"/>
              <w:rPr>
                <w:rFonts w:ascii="Arial" w:eastAsia="Arial" w:hAnsi="Arial" w:cs="Arial"/>
              </w:rPr>
            </w:pPr>
            <w:r>
              <w:rPr>
                <w:rFonts w:ascii="Arial" w:eastAsia="Arial" w:hAnsi="Arial" w:cs="Arial"/>
              </w:rPr>
              <w:t>Yes</w:t>
            </w:r>
          </w:p>
        </w:tc>
        <w:tc>
          <w:tcPr>
            <w:tcW w:w="837" w:type="dxa"/>
            <w:tcBorders>
              <w:top w:val="single" w:sz="6" w:space="0" w:color="000000"/>
              <w:left w:val="single" w:sz="6" w:space="0" w:color="000000"/>
              <w:bottom w:val="single" w:sz="6" w:space="0" w:color="000000"/>
              <w:right w:val="single" w:sz="6" w:space="0" w:color="000000"/>
            </w:tcBorders>
          </w:tcPr>
          <w:p w14:paraId="1CC290E7"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000000"/>
              <w:left w:val="single" w:sz="6" w:space="0" w:color="000000"/>
              <w:bottom w:val="single" w:sz="6" w:space="0" w:color="000000"/>
              <w:right w:val="single" w:sz="6" w:space="0" w:color="000000"/>
            </w:tcBorders>
          </w:tcPr>
          <w:p w14:paraId="6F3DBCF7"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000000"/>
              <w:left w:val="single" w:sz="6" w:space="0" w:color="000000"/>
              <w:bottom w:val="single" w:sz="6" w:space="0" w:color="000000"/>
              <w:right w:val="single" w:sz="6" w:space="0" w:color="000000"/>
            </w:tcBorders>
          </w:tcPr>
          <w:p w14:paraId="2E8741C6" w14:textId="77777777" w:rsidR="00C244A9" w:rsidRDefault="00EF3F4D">
            <w:pPr>
              <w:spacing w:before="240" w:after="240"/>
              <w:rPr>
                <w:rFonts w:ascii="Arial" w:eastAsia="Arial" w:hAnsi="Arial" w:cs="Arial"/>
              </w:rPr>
            </w:pPr>
            <w:r>
              <w:rPr>
                <w:rFonts w:ascii="Arial" w:eastAsia="Arial" w:hAnsi="Arial" w:cs="Arial"/>
              </w:rPr>
              <w:t>6</w:t>
            </w:r>
          </w:p>
        </w:tc>
      </w:tr>
      <w:tr w:rsidR="00C244A9" w14:paraId="21ED0313" w14:textId="77777777">
        <w:trPr>
          <w:trHeight w:val="570"/>
        </w:trPr>
        <w:tc>
          <w:tcPr>
            <w:tcW w:w="993" w:type="dxa"/>
            <w:tcBorders>
              <w:top w:val="single" w:sz="6" w:space="0" w:color="000000"/>
              <w:left w:val="single" w:sz="6" w:space="0" w:color="000000"/>
              <w:bottom w:val="single" w:sz="6" w:space="0" w:color="000000"/>
              <w:right w:val="single" w:sz="6" w:space="0" w:color="000000"/>
            </w:tcBorders>
          </w:tcPr>
          <w:p w14:paraId="287054EF" w14:textId="77777777" w:rsidR="00C244A9" w:rsidRDefault="00EF3F4D">
            <w:pPr>
              <w:spacing w:before="240" w:after="240"/>
              <w:rPr>
                <w:rFonts w:ascii="Arial" w:eastAsia="Arial" w:hAnsi="Arial" w:cs="Arial"/>
              </w:rPr>
            </w:pPr>
            <w:r>
              <w:rPr>
                <w:rFonts w:ascii="Arial" w:eastAsia="Arial" w:hAnsi="Arial" w:cs="Arial"/>
              </w:rPr>
              <w:t xml:space="preserve"> Islam </w:t>
            </w:r>
            <w:r>
              <w:rPr>
                <w:rFonts w:ascii="Arial" w:eastAsia="Arial" w:hAnsi="Arial" w:cs="Arial"/>
                <w:i/>
                <w:iCs/>
              </w:rPr>
              <w:t>et al.</w:t>
            </w:r>
            <w:r>
              <w:rPr>
                <w:rFonts w:ascii="Arial" w:eastAsia="Arial" w:hAnsi="Arial" w:cs="Arial"/>
              </w:rPr>
              <w:t xml:space="preserve"> (2021)</w:t>
            </w:r>
          </w:p>
        </w:tc>
        <w:tc>
          <w:tcPr>
            <w:tcW w:w="849" w:type="dxa"/>
            <w:tcBorders>
              <w:top w:val="single" w:sz="6" w:space="0" w:color="000000"/>
              <w:left w:val="single" w:sz="6" w:space="0" w:color="000000"/>
              <w:bottom w:val="single" w:sz="6" w:space="0" w:color="000000"/>
              <w:right w:val="single" w:sz="6" w:space="0" w:color="000000"/>
            </w:tcBorders>
          </w:tcPr>
          <w:p w14:paraId="787720B9" w14:textId="77777777" w:rsidR="00C244A9" w:rsidRDefault="00EF3F4D">
            <w:pPr>
              <w:spacing w:before="240" w:after="240"/>
              <w:rPr>
                <w:rFonts w:ascii="Arial" w:eastAsia="Arial" w:hAnsi="Arial" w:cs="Arial"/>
              </w:rPr>
            </w:pPr>
            <w:r>
              <w:rPr>
                <w:rFonts w:ascii="Arial" w:eastAsia="Arial" w:hAnsi="Arial" w:cs="Arial"/>
              </w:rPr>
              <w:t>Yes</w:t>
            </w:r>
          </w:p>
        </w:tc>
        <w:tc>
          <w:tcPr>
            <w:tcW w:w="727" w:type="dxa"/>
            <w:tcBorders>
              <w:top w:val="single" w:sz="6" w:space="0" w:color="000000"/>
              <w:left w:val="single" w:sz="6" w:space="0" w:color="000000"/>
              <w:bottom w:val="single" w:sz="6" w:space="0" w:color="000000"/>
              <w:right w:val="single" w:sz="6" w:space="0" w:color="000000"/>
            </w:tcBorders>
          </w:tcPr>
          <w:p w14:paraId="0D2F597D" w14:textId="77777777" w:rsidR="00C244A9" w:rsidRDefault="00EF3F4D">
            <w:pPr>
              <w:spacing w:before="240" w:after="240"/>
              <w:rPr>
                <w:rFonts w:ascii="Arial" w:eastAsia="Arial" w:hAnsi="Arial" w:cs="Arial"/>
              </w:rPr>
            </w:pPr>
            <w:r>
              <w:rPr>
                <w:rFonts w:ascii="Arial" w:eastAsia="Arial" w:hAnsi="Arial" w:cs="Arial"/>
              </w:rPr>
              <w:t>Yes</w:t>
            </w:r>
          </w:p>
        </w:tc>
        <w:tc>
          <w:tcPr>
            <w:tcW w:w="1170" w:type="dxa"/>
            <w:tcBorders>
              <w:top w:val="single" w:sz="6" w:space="0" w:color="000000"/>
              <w:left w:val="single" w:sz="6" w:space="0" w:color="000000"/>
              <w:bottom w:val="single" w:sz="6" w:space="0" w:color="000000"/>
              <w:right w:val="single" w:sz="6" w:space="0" w:color="000000"/>
            </w:tcBorders>
          </w:tcPr>
          <w:p w14:paraId="6C88C2AF" w14:textId="77777777" w:rsidR="00C244A9" w:rsidRDefault="00EF3F4D">
            <w:pPr>
              <w:spacing w:before="240" w:after="240"/>
              <w:rPr>
                <w:rFonts w:ascii="Arial" w:eastAsia="Arial" w:hAnsi="Arial" w:cs="Arial"/>
              </w:rPr>
            </w:pPr>
            <w:r>
              <w:rPr>
                <w:rFonts w:ascii="Arial" w:eastAsia="Arial" w:hAnsi="Arial" w:cs="Arial"/>
              </w:rPr>
              <w:t>Yes</w:t>
            </w:r>
          </w:p>
        </w:tc>
        <w:tc>
          <w:tcPr>
            <w:tcW w:w="926" w:type="dxa"/>
            <w:tcBorders>
              <w:top w:val="single" w:sz="6" w:space="0" w:color="000000"/>
              <w:left w:val="single" w:sz="6" w:space="0" w:color="000000"/>
              <w:bottom w:val="single" w:sz="6" w:space="0" w:color="000000"/>
              <w:right w:val="single" w:sz="6" w:space="0" w:color="000000"/>
            </w:tcBorders>
          </w:tcPr>
          <w:p w14:paraId="55A1AF34" w14:textId="77777777" w:rsidR="00C244A9" w:rsidRDefault="00EF3F4D">
            <w:pPr>
              <w:spacing w:before="240" w:after="240"/>
              <w:rPr>
                <w:rFonts w:ascii="Arial" w:eastAsia="Arial" w:hAnsi="Arial" w:cs="Arial"/>
              </w:rPr>
            </w:pPr>
            <w:r>
              <w:rPr>
                <w:rFonts w:ascii="Arial" w:eastAsia="Arial" w:hAnsi="Arial" w:cs="Arial"/>
              </w:rPr>
              <w:t>Yes</w:t>
            </w:r>
          </w:p>
        </w:tc>
        <w:tc>
          <w:tcPr>
            <w:tcW w:w="1148" w:type="dxa"/>
            <w:tcBorders>
              <w:top w:val="single" w:sz="6" w:space="0" w:color="000000"/>
              <w:left w:val="single" w:sz="6" w:space="0" w:color="000000"/>
              <w:bottom w:val="single" w:sz="6" w:space="0" w:color="000000"/>
              <w:right w:val="single" w:sz="6" w:space="0" w:color="000000"/>
            </w:tcBorders>
          </w:tcPr>
          <w:p w14:paraId="36CB5301" w14:textId="77777777" w:rsidR="00C244A9" w:rsidRDefault="00EF3F4D">
            <w:pPr>
              <w:spacing w:before="240" w:after="240"/>
              <w:rPr>
                <w:rFonts w:ascii="Arial" w:eastAsia="Arial" w:hAnsi="Arial" w:cs="Arial"/>
              </w:rPr>
            </w:pPr>
            <w:r>
              <w:rPr>
                <w:rFonts w:ascii="Arial" w:eastAsia="Arial" w:hAnsi="Arial" w:cs="Arial"/>
              </w:rPr>
              <w:t>Yes</w:t>
            </w:r>
          </w:p>
        </w:tc>
        <w:tc>
          <w:tcPr>
            <w:tcW w:w="859" w:type="dxa"/>
            <w:tcBorders>
              <w:top w:val="single" w:sz="6" w:space="0" w:color="000000"/>
              <w:left w:val="single" w:sz="6" w:space="0" w:color="000000"/>
              <w:bottom w:val="single" w:sz="6" w:space="0" w:color="000000"/>
              <w:right w:val="single" w:sz="6" w:space="0" w:color="000000"/>
            </w:tcBorders>
          </w:tcPr>
          <w:p w14:paraId="313C2388" w14:textId="77777777" w:rsidR="00C244A9" w:rsidRDefault="00EF3F4D">
            <w:pPr>
              <w:spacing w:before="240" w:after="240"/>
              <w:rPr>
                <w:rFonts w:ascii="Arial" w:eastAsia="Arial" w:hAnsi="Arial" w:cs="Arial"/>
              </w:rPr>
            </w:pPr>
            <w:r>
              <w:rPr>
                <w:rFonts w:ascii="Arial" w:eastAsia="Arial" w:hAnsi="Arial" w:cs="Arial"/>
              </w:rPr>
              <w:t>Yes</w:t>
            </w:r>
          </w:p>
        </w:tc>
        <w:tc>
          <w:tcPr>
            <w:tcW w:w="837" w:type="dxa"/>
            <w:tcBorders>
              <w:top w:val="single" w:sz="6" w:space="0" w:color="000000"/>
              <w:left w:val="single" w:sz="6" w:space="0" w:color="000000"/>
              <w:bottom w:val="single" w:sz="6" w:space="0" w:color="000000"/>
              <w:right w:val="single" w:sz="6" w:space="0" w:color="000000"/>
            </w:tcBorders>
          </w:tcPr>
          <w:p w14:paraId="6B2BEDE6" w14:textId="77777777" w:rsidR="00C244A9" w:rsidRDefault="00EF3F4D">
            <w:pPr>
              <w:spacing w:before="240" w:after="240"/>
              <w:rPr>
                <w:rFonts w:ascii="Arial" w:eastAsia="Arial" w:hAnsi="Arial" w:cs="Arial"/>
              </w:rPr>
            </w:pPr>
            <w:r>
              <w:rPr>
                <w:rFonts w:ascii="Arial" w:eastAsia="Arial" w:hAnsi="Arial" w:cs="Arial"/>
              </w:rPr>
              <w:t>Yes</w:t>
            </w:r>
          </w:p>
        </w:tc>
        <w:tc>
          <w:tcPr>
            <w:tcW w:w="904" w:type="dxa"/>
            <w:tcBorders>
              <w:top w:val="single" w:sz="6" w:space="0" w:color="000000"/>
              <w:left w:val="single" w:sz="6" w:space="0" w:color="000000"/>
              <w:bottom w:val="single" w:sz="6" w:space="0" w:color="000000"/>
              <w:right w:val="single" w:sz="6" w:space="0" w:color="000000"/>
            </w:tcBorders>
          </w:tcPr>
          <w:p w14:paraId="0F527410" w14:textId="77777777" w:rsidR="00C244A9" w:rsidRDefault="00EF3F4D">
            <w:pPr>
              <w:spacing w:before="240" w:after="240"/>
              <w:rPr>
                <w:rFonts w:ascii="Arial" w:eastAsia="Arial" w:hAnsi="Arial" w:cs="Arial"/>
              </w:rPr>
            </w:pPr>
            <w:r>
              <w:rPr>
                <w:rFonts w:ascii="Arial" w:eastAsia="Arial" w:hAnsi="Arial" w:cs="Arial"/>
              </w:rPr>
              <w:t>Yes</w:t>
            </w:r>
          </w:p>
        </w:tc>
        <w:tc>
          <w:tcPr>
            <w:tcW w:w="1360" w:type="dxa"/>
            <w:tcBorders>
              <w:top w:val="single" w:sz="6" w:space="0" w:color="000000"/>
              <w:left w:val="single" w:sz="6" w:space="0" w:color="000000"/>
              <w:bottom w:val="single" w:sz="6" w:space="0" w:color="000000"/>
              <w:right w:val="single" w:sz="6" w:space="0" w:color="000000"/>
            </w:tcBorders>
          </w:tcPr>
          <w:p w14:paraId="693B45AE" w14:textId="77777777" w:rsidR="00C244A9" w:rsidRDefault="00EF3F4D">
            <w:pPr>
              <w:spacing w:before="240" w:after="240"/>
              <w:rPr>
                <w:rFonts w:ascii="Arial" w:eastAsia="Arial" w:hAnsi="Arial" w:cs="Arial"/>
              </w:rPr>
            </w:pPr>
            <w:r>
              <w:rPr>
                <w:rFonts w:ascii="Arial" w:eastAsia="Arial" w:hAnsi="Arial" w:cs="Arial"/>
              </w:rPr>
              <w:t>8</w:t>
            </w:r>
          </w:p>
        </w:tc>
      </w:tr>
      <w:tr w:rsidR="00C244A9" w14:paraId="4EBCC8DF" w14:textId="77777777">
        <w:trPr>
          <w:trHeight w:val="570"/>
        </w:trPr>
        <w:tc>
          <w:tcPr>
            <w:tcW w:w="993" w:type="dxa"/>
            <w:tcBorders>
              <w:top w:val="single" w:sz="6" w:space="0" w:color="000000"/>
              <w:left w:val="single" w:sz="6" w:space="0" w:color="000000"/>
              <w:bottom w:val="single" w:sz="6" w:space="0" w:color="000000"/>
              <w:right w:val="single" w:sz="6" w:space="0" w:color="000000"/>
            </w:tcBorders>
          </w:tcPr>
          <w:p w14:paraId="1C9BA1BB" w14:textId="77777777" w:rsidR="00C244A9" w:rsidRDefault="00EF3F4D">
            <w:pPr>
              <w:spacing w:before="240" w:after="240"/>
              <w:rPr>
                <w:rFonts w:ascii="Arial" w:eastAsia="Arial" w:hAnsi="Arial" w:cs="Arial"/>
              </w:rPr>
            </w:pPr>
            <w:r>
              <w:rPr>
                <w:rFonts w:ascii="Arial" w:eastAsia="Arial" w:hAnsi="Arial" w:cs="Arial"/>
              </w:rPr>
              <w:t xml:space="preserve">Vishal Mevada </w:t>
            </w:r>
            <w:r>
              <w:rPr>
                <w:rFonts w:ascii="Arial" w:eastAsia="Arial" w:hAnsi="Arial" w:cs="Arial"/>
                <w:i/>
                <w:iCs/>
              </w:rPr>
              <w:t>et al.</w:t>
            </w:r>
            <w:r>
              <w:rPr>
                <w:rFonts w:ascii="Arial" w:eastAsia="Arial" w:hAnsi="Arial" w:cs="Arial"/>
              </w:rPr>
              <w:t xml:space="preserve"> (2023)</w:t>
            </w:r>
          </w:p>
        </w:tc>
        <w:tc>
          <w:tcPr>
            <w:tcW w:w="849" w:type="dxa"/>
            <w:tcBorders>
              <w:top w:val="single" w:sz="6" w:space="0" w:color="000000"/>
              <w:left w:val="single" w:sz="6" w:space="0" w:color="000000"/>
              <w:bottom w:val="single" w:sz="6" w:space="0" w:color="000000"/>
              <w:right w:val="single" w:sz="6" w:space="0" w:color="000000"/>
            </w:tcBorders>
          </w:tcPr>
          <w:p w14:paraId="199854C2"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727" w:type="dxa"/>
            <w:tcBorders>
              <w:top w:val="single" w:sz="6" w:space="0" w:color="000000"/>
              <w:left w:val="single" w:sz="6" w:space="0" w:color="000000"/>
              <w:bottom w:val="single" w:sz="6" w:space="0" w:color="000000"/>
              <w:right w:val="single" w:sz="6" w:space="0" w:color="000000"/>
            </w:tcBorders>
          </w:tcPr>
          <w:p w14:paraId="03F85772"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1170" w:type="dxa"/>
            <w:tcBorders>
              <w:top w:val="single" w:sz="6" w:space="0" w:color="000000"/>
              <w:left w:val="single" w:sz="6" w:space="0" w:color="000000"/>
              <w:bottom w:val="single" w:sz="6" w:space="0" w:color="000000"/>
              <w:right w:val="single" w:sz="6" w:space="0" w:color="000000"/>
            </w:tcBorders>
          </w:tcPr>
          <w:p w14:paraId="693F5008"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926" w:type="dxa"/>
            <w:tcBorders>
              <w:top w:val="single" w:sz="6" w:space="0" w:color="000000"/>
              <w:left w:val="single" w:sz="6" w:space="0" w:color="000000"/>
              <w:bottom w:val="single" w:sz="6" w:space="0" w:color="000000"/>
              <w:right w:val="single" w:sz="6" w:space="0" w:color="000000"/>
            </w:tcBorders>
          </w:tcPr>
          <w:p w14:paraId="3CEE35C6"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1148" w:type="dxa"/>
            <w:tcBorders>
              <w:top w:val="single" w:sz="6" w:space="0" w:color="000000"/>
              <w:left w:val="single" w:sz="6" w:space="0" w:color="000000"/>
              <w:bottom w:val="single" w:sz="6" w:space="0" w:color="000000"/>
              <w:right w:val="single" w:sz="6" w:space="0" w:color="000000"/>
            </w:tcBorders>
          </w:tcPr>
          <w:p w14:paraId="1991B1DE"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859" w:type="dxa"/>
            <w:tcBorders>
              <w:top w:val="single" w:sz="6" w:space="0" w:color="000000"/>
              <w:left w:val="single" w:sz="6" w:space="0" w:color="000000"/>
              <w:bottom w:val="single" w:sz="6" w:space="0" w:color="000000"/>
              <w:right w:val="single" w:sz="6" w:space="0" w:color="000000"/>
            </w:tcBorders>
          </w:tcPr>
          <w:p w14:paraId="05614953" w14:textId="77777777" w:rsidR="00C244A9" w:rsidRDefault="00EF3F4D">
            <w:pPr>
              <w:spacing w:before="240" w:after="240"/>
              <w:rPr>
                <w:rFonts w:ascii="Arial" w:eastAsia="Arial" w:hAnsi="Arial" w:cs="Arial"/>
              </w:rPr>
            </w:pPr>
            <w:r>
              <w:rPr>
                <w:rFonts w:ascii="Arial" w:eastAsia="Arial" w:hAnsi="Arial" w:cs="Arial"/>
              </w:rPr>
              <w:t xml:space="preserve">Not clear </w:t>
            </w:r>
          </w:p>
        </w:tc>
        <w:tc>
          <w:tcPr>
            <w:tcW w:w="837" w:type="dxa"/>
            <w:tcBorders>
              <w:top w:val="single" w:sz="6" w:space="0" w:color="000000"/>
              <w:left w:val="single" w:sz="6" w:space="0" w:color="000000"/>
              <w:bottom w:val="single" w:sz="6" w:space="0" w:color="000000"/>
              <w:right w:val="single" w:sz="6" w:space="0" w:color="000000"/>
            </w:tcBorders>
          </w:tcPr>
          <w:p w14:paraId="0046A70F"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904" w:type="dxa"/>
            <w:tcBorders>
              <w:top w:val="single" w:sz="6" w:space="0" w:color="000000"/>
              <w:left w:val="single" w:sz="6" w:space="0" w:color="000000"/>
              <w:bottom w:val="single" w:sz="6" w:space="0" w:color="000000"/>
              <w:right w:val="single" w:sz="6" w:space="0" w:color="000000"/>
            </w:tcBorders>
          </w:tcPr>
          <w:p w14:paraId="31839CE1"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1360" w:type="dxa"/>
            <w:tcBorders>
              <w:top w:val="single" w:sz="6" w:space="0" w:color="000000"/>
              <w:left w:val="single" w:sz="6" w:space="0" w:color="000000"/>
              <w:bottom w:val="single" w:sz="6" w:space="0" w:color="000000"/>
              <w:right w:val="single" w:sz="6" w:space="0" w:color="000000"/>
            </w:tcBorders>
          </w:tcPr>
          <w:p w14:paraId="21262095" w14:textId="77777777" w:rsidR="00C244A9" w:rsidRDefault="00EF3F4D">
            <w:pPr>
              <w:spacing w:before="240" w:after="240"/>
              <w:rPr>
                <w:rFonts w:ascii="Arial" w:eastAsia="Arial" w:hAnsi="Arial" w:cs="Arial"/>
              </w:rPr>
            </w:pPr>
            <w:r>
              <w:rPr>
                <w:rFonts w:ascii="Arial" w:eastAsia="Arial" w:hAnsi="Arial" w:cs="Arial"/>
              </w:rPr>
              <w:t>4.5</w:t>
            </w:r>
          </w:p>
        </w:tc>
      </w:tr>
      <w:tr w:rsidR="00C244A9" w14:paraId="72C9A65C" w14:textId="77777777">
        <w:trPr>
          <w:trHeight w:val="570"/>
        </w:trPr>
        <w:tc>
          <w:tcPr>
            <w:tcW w:w="993" w:type="dxa"/>
            <w:tcBorders>
              <w:top w:val="single" w:sz="6" w:space="0" w:color="000000"/>
              <w:left w:val="single" w:sz="6" w:space="0" w:color="000000"/>
              <w:bottom w:val="single" w:sz="6" w:space="0" w:color="000000"/>
              <w:right w:val="single" w:sz="6" w:space="0" w:color="000000"/>
            </w:tcBorders>
          </w:tcPr>
          <w:p w14:paraId="3B72FD8F" w14:textId="77777777" w:rsidR="00C244A9" w:rsidRDefault="00EF3F4D">
            <w:pPr>
              <w:spacing w:before="240" w:after="240"/>
              <w:rPr>
                <w:rFonts w:ascii="Arial" w:eastAsia="Arial" w:hAnsi="Arial" w:cs="Arial"/>
              </w:rPr>
            </w:pPr>
            <w:r>
              <w:rPr>
                <w:rFonts w:ascii="Arial" w:eastAsia="Arial" w:hAnsi="Arial" w:cs="Arial"/>
              </w:rPr>
              <w:t xml:space="preserve">Pal </w:t>
            </w:r>
            <w:r>
              <w:rPr>
                <w:rFonts w:ascii="Arial" w:eastAsia="Arial" w:hAnsi="Arial" w:cs="Arial"/>
                <w:i/>
                <w:iCs/>
              </w:rPr>
              <w:t>et al. (</w:t>
            </w:r>
            <w:r>
              <w:rPr>
                <w:rFonts w:ascii="Arial" w:eastAsia="Arial" w:hAnsi="Arial" w:cs="Arial"/>
              </w:rPr>
              <w:t>2023)</w:t>
            </w:r>
          </w:p>
        </w:tc>
        <w:tc>
          <w:tcPr>
            <w:tcW w:w="849" w:type="dxa"/>
            <w:tcBorders>
              <w:top w:val="single" w:sz="6" w:space="0" w:color="000000"/>
              <w:left w:val="single" w:sz="6" w:space="0" w:color="000000"/>
              <w:bottom w:val="single" w:sz="6" w:space="0" w:color="000000"/>
              <w:right w:val="single" w:sz="6" w:space="0" w:color="000000"/>
            </w:tcBorders>
          </w:tcPr>
          <w:p w14:paraId="45763C07"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727" w:type="dxa"/>
            <w:tcBorders>
              <w:top w:val="single" w:sz="6" w:space="0" w:color="000000"/>
              <w:left w:val="single" w:sz="6" w:space="0" w:color="000000"/>
              <w:bottom w:val="single" w:sz="6" w:space="0" w:color="000000"/>
              <w:right w:val="single" w:sz="6" w:space="0" w:color="000000"/>
            </w:tcBorders>
          </w:tcPr>
          <w:p w14:paraId="63E9B3A7"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1170" w:type="dxa"/>
            <w:tcBorders>
              <w:top w:val="single" w:sz="6" w:space="0" w:color="000000"/>
              <w:left w:val="single" w:sz="6" w:space="0" w:color="000000"/>
              <w:bottom w:val="single" w:sz="6" w:space="0" w:color="000000"/>
              <w:right w:val="single" w:sz="6" w:space="0" w:color="000000"/>
            </w:tcBorders>
          </w:tcPr>
          <w:p w14:paraId="179E0914"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926" w:type="dxa"/>
            <w:tcBorders>
              <w:top w:val="single" w:sz="6" w:space="0" w:color="000000"/>
              <w:left w:val="single" w:sz="6" w:space="0" w:color="000000"/>
              <w:bottom w:val="single" w:sz="6" w:space="0" w:color="000000"/>
              <w:right w:val="single" w:sz="6" w:space="0" w:color="000000"/>
            </w:tcBorders>
          </w:tcPr>
          <w:p w14:paraId="24CEFDF6"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1148" w:type="dxa"/>
            <w:tcBorders>
              <w:top w:val="single" w:sz="6" w:space="0" w:color="000000"/>
              <w:left w:val="single" w:sz="6" w:space="0" w:color="000000"/>
              <w:bottom w:val="single" w:sz="6" w:space="0" w:color="000000"/>
              <w:right w:val="single" w:sz="6" w:space="0" w:color="000000"/>
            </w:tcBorders>
          </w:tcPr>
          <w:p w14:paraId="33F19AF6"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859" w:type="dxa"/>
            <w:tcBorders>
              <w:top w:val="single" w:sz="6" w:space="0" w:color="000000"/>
              <w:left w:val="single" w:sz="6" w:space="0" w:color="000000"/>
              <w:bottom w:val="single" w:sz="6" w:space="0" w:color="000000"/>
              <w:right w:val="single" w:sz="6" w:space="0" w:color="000000"/>
            </w:tcBorders>
          </w:tcPr>
          <w:p w14:paraId="56D2ABFA"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837" w:type="dxa"/>
            <w:tcBorders>
              <w:top w:val="single" w:sz="6" w:space="0" w:color="000000"/>
              <w:left w:val="single" w:sz="6" w:space="0" w:color="000000"/>
              <w:bottom w:val="single" w:sz="6" w:space="0" w:color="000000"/>
              <w:right w:val="single" w:sz="6" w:space="0" w:color="000000"/>
            </w:tcBorders>
          </w:tcPr>
          <w:p w14:paraId="6B1C8323"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904" w:type="dxa"/>
            <w:tcBorders>
              <w:top w:val="single" w:sz="6" w:space="0" w:color="000000"/>
              <w:left w:val="single" w:sz="6" w:space="0" w:color="000000"/>
              <w:bottom w:val="single" w:sz="6" w:space="0" w:color="000000"/>
              <w:right w:val="single" w:sz="6" w:space="0" w:color="000000"/>
            </w:tcBorders>
          </w:tcPr>
          <w:p w14:paraId="3FDFD671" w14:textId="77777777" w:rsidR="00C244A9" w:rsidRDefault="00EF3F4D">
            <w:pPr>
              <w:spacing w:before="240" w:after="240"/>
              <w:rPr>
                <w:rFonts w:ascii="Arial" w:eastAsia="Arial" w:hAnsi="Arial" w:cs="Arial"/>
              </w:rPr>
            </w:pPr>
            <w:r>
              <w:rPr>
                <w:rFonts w:ascii="Arial" w:eastAsia="Arial" w:hAnsi="Arial" w:cs="Arial"/>
              </w:rPr>
              <w:t xml:space="preserve">Yes </w:t>
            </w:r>
          </w:p>
        </w:tc>
        <w:tc>
          <w:tcPr>
            <w:tcW w:w="1360" w:type="dxa"/>
            <w:tcBorders>
              <w:top w:val="single" w:sz="6" w:space="0" w:color="000000"/>
              <w:left w:val="single" w:sz="6" w:space="0" w:color="000000"/>
              <w:bottom w:val="single" w:sz="6" w:space="0" w:color="000000"/>
              <w:right w:val="single" w:sz="6" w:space="0" w:color="000000"/>
            </w:tcBorders>
          </w:tcPr>
          <w:p w14:paraId="0932894B" w14:textId="77777777" w:rsidR="00C244A9" w:rsidRDefault="00EF3F4D">
            <w:pPr>
              <w:spacing w:before="240" w:after="240"/>
              <w:rPr>
                <w:rFonts w:ascii="Arial" w:eastAsia="Arial" w:hAnsi="Arial" w:cs="Arial"/>
              </w:rPr>
            </w:pPr>
            <w:r>
              <w:rPr>
                <w:rFonts w:ascii="Arial" w:eastAsia="Arial" w:hAnsi="Arial" w:cs="Arial"/>
              </w:rPr>
              <w:t>9</w:t>
            </w:r>
          </w:p>
        </w:tc>
      </w:tr>
    </w:tbl>
    <w:p w14:paraId="3D000664" w14:textId="77777777" w:rsidR="00C244A9" w:rsidRDefault="00EF3F4D">
      <w:pPr>
        <w:spacing w:after="0"/>
      </w:pPr>
      <w:r>
        <w:tab/>
      </w:r>
      <w:r>
        <w:rPr>
          <w:b/>
          <w:bCs/>
        </w:rPr>
        <w:t xml:space="preserve"> </w:t>
      </w:r>
      <w:r>
        <w:br w:type="page"/>
      </w:r>
    </w:p>
    <w:p w14:paraId="4502049E" w14:textId="77777777" w:rsidR="00C244A9" w:rsidRDefault="00EF3F4D">
      <w:r>
        <w:lastRenderedPageBreak/>
        <w:t xml:space="preserve"> </w:t>
      </w:r>
    </w:p>
    <w:p w14:paraId="7977F684" w14:textId="77777777" w:rsidR="00C244A9" w:rsidRDefault="00EF3F4D">
      <w:pPr>
        <w:spacing w:after="158"/>
      </w:pPr>
      <w:r>
        <w:t xml:space="preserve"> </w:t>
      </w:r>
    </w:p>
    <w:p w14:paraId="0A390CFC" w14:textId="77777777" w:rsidR="00C244A9" w:rsidRDefault="00EF3F4D">
      <w:pPr>
        <w:spacing w:after="158"/>
      </w:pPr>
      <w:r>
        <w:t xml:space="preserve"> </w:t>
      </w:r>
    </w:p>
    <w:p w14:paraId="49B3C9BB" w14:textId="77777777" w:rsidR="00C244A9" w:rsidRDefault="00EF3F4D">
      <w:pPr>
        <w:spacing w:after="158"/>
      </w:pPr>
      <w:r>
        <w:t xml:space="preserve"> </w:t>
      </w:r>
    </w:p>
    <w:p w14:paraId="114EEEE4" w14:textId="77777777" w:rsidR="00C244A9" w:rsidRDefault="00EF3F4D">
      <w:r>
        <w:t xml:space="preserve"> </w:t>
      </w:r>
    </w:p>
    <w:p w14:paraId="1C2F6025" w14:textId="77777777" w:rsidR="00C244A9" w:rsidRDefault="00EF3F4D">
      <w:pPr>
        <w:spacing w:after="158"/>
      </w:pPr>
      <w:r>
        <w:t xml:space="preserve"> </w:t>
      </w:r>
    </w:p>
    <w:p w14:paraId="60883193" w14:textId="77777777" w:rsidR="00C244A9" w:rsidRDefault="00EF3F4D">
      <w:pPr>
        <w:spacing w:after="161"/>
      </w:pPr>
      <w:r>
        <w:t xml:space="preserve"> </w:t>
      </w:r>
    </w:p>
    <w:p w14:paraId="63E2AED7" w14:textId="77777777" w:rsidR="00C244A9" w:rsidRDefault="00EF3F4D">
      <w:pPr>
        <w:spacing w:after="172"/>
      </w:pPr>
      <w:r>
        <w:t xml:space="preserve"> </w:t>
      </w:r>
    </w:p>
    <w:p w14:paraId="0A5A512A" w14:textId="77777777" w:rsidR="00C244A9" w:rsidRDefault="00EF3F4D">
      <w:pPr>
        <w:spacing w:after="0"/>
      </w:pPr>
      <w:r>
        <w:t xml:space="preserve">  </w:t>
      </w:r>
    </w:p>
    <w:sectPr w:rsidR="00C244A9">
      <w:footerReference w:type="even" r:id="rId117"/>
      <w:footerReference w:type="default" r:id="rId118"/>
      <w:footerReference w:type="first" r:id="rId119"/>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57442" w14:textId="77777777" w:rsidR="00177CC1" w:rsidRDefault="00177CC1">
      <w:pPr>
        <w:spacing w:after="0" w:line="240" w:lineRule="auto"/>
      </w:pPr>
      <w:r>
        <w:separator/>
      </w:r>
    </w:p>
  </w:endnote>
  <w:endnote w:type="continuationSeparator" w:id="0">
    <w:p w14:paraId="0A1A1B93" w14:textId="77777777" w:rsidR="00177CC1" w:rsidRDefault="00177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DCF49CA-8E71-4C96-B84C-46656690A071}"/>
    <w:embedBold r:id="rId2" w:fontKey="{93187DE8-607A-44EB-9119-7EC65D0DBA44}"/>
    <w:embedItalic r:id="rId3" w:fontKey="{D4E46120-35CA-4CE7-B0E4-562BD4E32DCC}"/>
  </w:font>
  <w:font w:name="Arial">
    <w:panose1 w:val="020B0604020202020204"/>
    <w:charset w:val="00"/>
    <w:family w:val="swiss"/>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embedRegular r:id="rId6" w:fontKey="{59E97413-56DF-4861-8437-5101D3AC7619}"/>
  </w:font>
  <w:font w:name="Roboto">
    <w:panose1 w:val="02000000000000000000"/>
    <w:charset w:val="00"/>
    <w:family w:val="auto"/>
    <w:pitch w:val="variable"/>
    <w:sig w:usb0="E0000AFF" w:usb1="5000217F" w:usb2="00000021" w:usb3="00000000" w:csb0="0000019F" w:csb1="00000000"/>
    <w:embedRegular r:id="rId7" w:fontKey="{5C832E9A-9E2C-49FC-A65C-FA034FD2B7A6}"/>
  </w:font>
  <w:font w:name="Cambria Math">
    <w:panose1 w:val="02040503050406030204"/>
    <w:charset w:val="00"/>
    <w:family w:val="roman"/>
    <w:pitch w:val="variable"/>
    <w:sig w:usb0="E00006FF" w:usb1="420024FF" w:usb2="02000000" w:usb3="00000000" w:csb0="0000019F" w:csb1="00000000"/>
    <w:embedRegular r:id="rId8" w:fontKey="{DBAD95CF-D46D-46E0-929D-18F6CD56B98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CF154" w14:textId="77777777" w:rsidR="00C244A9" w:rsidRDefault="00EF3F4D">
    <w:pPr>
      <w:pBdr>
        <w:top w:val="nil"/>
        <w:left w:val="nil"/>
        <w:bottom w:val="nil"/>
        <w:right w:val="nil"/>
        <w:between w:val="nil"/>
      </w:pBdr>
      <w:jc w:val="right"/>
      <w:rPr>
        <w:rFonts w:ascii="Arial" w:eastAsia="Arial" w:hAnsi="Arial" w:cs="Arial"/>
        <w:color w:val="000000"/>
        <w:sz w:val="20"/>
        <w:szCs w:val="20"/>
      </w:rPr>
    </w:pPr>
    <w:r>
      <w:rPr>
        <w:rFonts w:ascii="Arial" w:eastAsia="Arial" w:hAnsi="Arial" w:cs="Arial"/>
        <w:color w:val="000000"/>
        <w:sz w:val="20"/>
        <w:szCs w:val="20"/>
      </w:rPr>
      <w:fldChar w:fldCharType="begin"/>
    </w:r>
    <w:r>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sidR="00550FCC">
      <w:rPr>
        <w:rFonts w:ascii="Arial" w:eastAsia="Arial" w:hAnsi="Arial" w:cs="Arial"/>
        <w:noProof/>
        <w:color w:val="000000"/>
        <w:sz w:val="20"/>
        <w:szCs w:val="20"/>
      </w:rPr>
      <w:t>1</w:t>
    </w:r>
    <w:r>
      <w:rPr>
        <w:rFonts w:ascii="Arial" w:eastAsia="Arial" w:hAnsi="Arial" w:cs="Arial"/>
        <w:color w:val="000000"/>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2C78B" w14:textId="77777777" w:rsidR="00C244A9" w:rsidRDefault="00EF3F4D">
    <w:pPr>
      <w:spacing w:after="0"/>
      <w:ind w:right="-3"/>
      <w:jc w:val="right"/>
    </w:pPr>
    <w:r>
      <w:fldChar w:fldCharType="begin"/>
    </w:r>
    <w:r>
      <w:instrText>PAGE</w:instrText>
    </w:r>
    <w:r>
      <w:fldChar w:fldCharType="separate"/>
    </w:r>
    <w:r>
      <w:fldChar w:fldCharType="end"/>
    </w:r>
    <w:r>
      <w:t xml:space="preserve"> </w:t>
    </w:r>
  </w:p>
  <w:p w14:paraId="21BDF883" w14:textId="77777777" w:rsidR="00C244A9" w:rsidRDefault="00EF3F4D">
    <w:pPr>
      <w:tabs>
        <w:tab w:val="center" w:pos="4405"/>
      </w:tabs>
      <w:spacing w:after="0"/>
    </w:pPr>
    <w:r>
      <w:t xml:space="preserve">[Your Name] </w:t>
    </w:r>
    <w: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35429A" w14:textId="3E258029" w:rsidR="00C244A9" w:rsidRDefault="00EF3F4D">
    <w:pPr>
      <w:spacing w:after="0"/>
      <w:ind w:right="-3"/>
      <w:jc w:val="right"/>
    </w:pPr>
    <w:r>
      <w:fldChar w:fldCharType="begin"/>
    </w:r>
    <w:r>
      <w:instrText>PAGE</w:instrText>
    </w:r>
    <w:r>
      <w:fldChar w:fldCharType="separate"/>
    </w:r>
    <w:r w:rsidR="00550FCC">
      <w:rPr>
        <w:noProof/>
      </w:rPr>
      <w:t>40</w:t>
    </w:r>
    <w:r>
      <w:fldChar w:fldCharType="end"/>
    </w:r>
    <w:r>
      <w:t xml:space="preserve"> </w:t>
    </w:r>
  </w:p>
  <w:p w14:paraId="4F48D80C" w14:textId="77777777" w:rsidR="00C244A9" w:rsidRDefault="00EF3F4D">
    <w:pPr>
      <w:tabs>
        <w:tab w:val="center" w:pos="4405"/>
      </w:tabs>
      <w:spacing w:after="0"/>
    </w:pPr>
    <w:r>
      <w:t xml:space="preserve">[Your Name] </w:t>
    </w:r>
    <w:r>
      <w:tab/>
      <w:t xml:space="preserve">Dissertation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611A6" w14:textId="77777777" w:rsidR="00C244A9" w:rsidRDefault="00EF3F4D">
    <w:pPr>
      <w:spacing w:after="0"/>
      <w:ind w:right="-3"/>
      <w:jc w:val="right"/>
    </w:pPr>
    <w:r>
      <w:fldChar w:fldCharType="begin"/>
    </w:r>
    <w:r>
      <w:instrText>PAGE</w:instrText>
    </w:r>
    <w:r>
      <w:fldChar w:fldCharType="separate"/>
    </w:r>
    <w:r>
      <w:fldChar w:fldCharType="end"/>
    </w:r>
    <w:r>
      <w:t xml:space="preserve"> </w:t>
    </w:r>
  </w:p>
  <w:p w14:paraId="19BFFFF3" w14:textId="77777777" w:rsidR="00C244A9" w:rsidRDefault="00EF3F4D">
    <w:pPr>
      <w:tabs>
        <w:tab w:val="center" w:pos="4405"/>
      </w:tabs>
      <w:spacing w:after="0"/>
    </w:pPr>
    <w:r>
      <w:t xml:space="preserve">[Your Name] </w:t>
    </w:r>
    <w: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E2DE5" w14:textId="77777777" w:rsidR="00177CC1" w:rsidRDefault="00177CC1">
      <w:pPr>
        <w:spacing w:after="0" w:line="240" w:lineRule="auto"/>
      </w:pPr>
      <w:r>
        <w:separator/>
      </w:r>
    </w:p>
  </w:footnote>
  <w:footnote w:type="continuationSeparator" w:id="0">
    <w:p w14:paraId="1422614D" w14:textId="77777777" w:rsidR="00177CC1" w:rsidRDefault="00177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624A7"/>
    <w:multiLevelType w:val="multilevel"/>
    <w:tmpl w:val="ABC64F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6833F2"/>
    <w:multiLevelType w:val="multilevel"/>
    <w:tmpl w:val="2C90E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2455751">
    <w:abstractNumId w:val="0"/>
  </w:num>
  <w:num w:numId="2" w16cid:durableId="1332560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4A9"/>
    <w:rsid w:val="0007748E"/>
    <w:rsid w:val="00177CC1"/>
    <w:rsid w:val="00295252"/>
    <w:rsid w:val="002C1307"/>
    <w:rsid w:val="00393928"/>
    <w:rsid w:val="004E7C87"/>
    <w:rsid w:val="00504F37"/>
    <w:rsid w:val="00550FCC"/>
    <w:rsid w:val="00687168"/>
    <w:rsid w:val="006B6EF8"/>
    <w:rsid w:val="00922E7E"/>
    <w:rsid w:val="00970C61"/>
    <w:rsid w:val="009F6D79"/>
    <w:rsid w:val="00AF5282"/>
    <w:rsid w:val="00B03050"/>
    <w:rsid w:val="00BA74BB"/>
    <w:rsid w:val="00C244A9"/>
    <w:rsid w:val="00D9043E"/>
    <w:rsid w:val="00ED2C7F"/>
    <w:rsid w:val="00EF3F4D"/>
    <w:rsid w:val="00FF0A4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D165E1E"/>
  <w15:docId w15:val="{2D70C2F4-ECC5-42A2-94DD-6C079B16F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nil"/>
        <w:left w:val="nil"/>
        <w:bottom w:val="nil"/>
        <w:right w:val="nil"/>
        <w:between w:val="nil"/>
      </w:pBdr>
      <w:spacing w:after="152" w:line="265" w:lineRule="auto"/>
      <w:ind w:left="10" w:right="2" w:hanging="10"/>
      <w:jc w:val="center"/>
      <w:outlineLvl w:val="0"/>
    </w:pPr>
    <w:rPr>
      <w:rFonts w:ascii="Arial" w:eastAsia="Arial" w:hAnsi="Arial" w:cs="Arial"/>
      <w:b/>
      <w:bCs/>
      <w:color w:val="000000"/>
      <w:sz w:val="24"/>
      <w:szCs w:val="24"/>
    </w:rPr>
  </w:style>
  <w:style w:type="paragraph" w:styleId="Heading2">
    <w:name w:val="heading 2"/>
    <w:basedOn w:val="Normal"/>
    <w:next w:val="Normal"/>
    <w:link w:val="Heading2Char"/>
    <w:uiPriority w:val="9"/>
    <w:unhideWhenUsed/>
    <w:qFormat/>
    <w:pPr>
      <w:keepNext/>
      <w:keepLines/>
      <w:spacing w:after="152" w:line="360" w:lineRule="auto"/>
      <w:ind w:left="10" w:right="2"/>
      <w:jc w:val="both"/>
      <w:outlineLvl w:val="1"/>
    </w:pPr>
    <w:rPr>
      <w:rFonts w:ascii="Arial" w:eastAsia="Arial" w:hAnsi="Arial" w:cs="Arial"/>
      <w:b/>
      <w:bCs/>
    </w:rPr>
  </w:style>
  <w:style w:type="paragraph" w:styleId="Heading3">
    <w:name w:val="heading 3"/>
    <w:basedOn w:val="Normal"/>
    <w:next w:val="Normal"/>
    <w:link w:val="Heading3Char"/>
    <w:uiPriority w:val="9"/>
    <w:unhideWhenUsed/>
    <w:qFormat/>
    <w:rsid w:val="006B6EF8"/>
    <w:pPr>
      <w:pBdr>
        <w:top w:val="nil"/>
        <w:left w:val="nil"/>
        <w:bottom w:val="nil"/>
        <w:right w:val="nil"/>
        <w:between w:val="nil"/>
      </w:pBdr>
      <w:spacing w:line="360" w:lineRule="auto"/>
      <w:jc w:val="both"/>
      <w:outlineLvl w:val="2"/>
    </w:pPr>
    <w:rPr>
      <w:rFonts w:ascii="Arial" w:eastAsia="Arial" w:hAnsi="Arial" w:cs="Arial"/>
      <w:b/>
      <w:bCs/>
    </w:rPr>
  </w:style>
  <w:style w:type="paragraph" w:styleId="Heading4">
    <w:name w:val="heading 4"/>
    <w:basedOn w:val="Normal"/>
    <w:next w:val="Normal"/>
    <w:link w:val="Heading4Char"/>
    <w:uiPriority w:val="9"/>
    <w:unhideWhenUsed/>
    <w:qFormat/>
    <w:rsid w:val="004E7C87"/>
    <w:pPr>
      <w:keepNext/>
      <w:keepLines/>
      <w:spacing w:before="40" w:after="0" w:line="360" w:lineRule="auto"/>
      <w:jc w:val="center"/>
      <w:outlineLvl w:val="3"/>
    </w:pPr>
    <w:rPr>
      <w:rFonts w:ascii="Arial" w:eastAsia="Arial" w:hAnsi="Arial" w:cs="Arial"/>
      <w:b/>
      <w:bCs/>
      <w:i/>
      <w:iCs/>
      <w:color w:val="000000"/>
    </w:rPr>
  </w:style>
  <w:style w:type="paragraph" w:styleId="Heading5">
    <w:name w:val="heading 5"/>
    <w:basedOn w:val="Normal"/>
    <w:next w:val="Normal"/>
    <w:link w:val="Heading5Char"/>
    <w:uiPriority w:val="9"/>
    <w:unhideWhenUsed/>
    <w:qFormat/>
    <w:pPr>
      <w:keepNext/>
      <w:keepLines/>
      <w:spacing w:before="40" w:after="0" w:line="360" w:lineRule="auto"/>
      <w:jc w:val="center"/>
      <w:outlineLvl w:val="4"/>
    </w:pPr>
    <w:rPr>
      <w:rFonts w:ascii="Arial" w:eastAsia="Arial" w:hAnsi="Arial" w:cs="Arial"/>
      <w:b/>
      <w:bCs/>
      <w:color w:val="000000"/>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FA7821"/>
    <w:rPr>
      <w:rFonts w:ascii="Arial" w:eastAsia="Times New Roman" w:hAnsi="Arial" w:cs="Times New Roman"/>
      <w:b/>
      <w:bCs/>
      <w:color w:val="000000"/>
      <w:sz w:val="24"/>
      <w:szCs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6B6EF8"/>
    <w:rPr>
      <w:rFonts w:ascii="Arial" w:eastAsia="Arial" w:hAnsi="Arial" w:cs="Arial"/>
      <w:b/>
      <w:bCs/>
    </w:rPr>
  </w:style>
  <w:style w:type="paragraph" w:styleId="TOC1">
    <w:name w:val="toc 1"/>
    <w:hidden/>
    <w:uiPriority w:val="39"/>
    <w:rsid w:val="00ED2C7F"/>
    <w:pPr>
      <w:spacing w:after="109" w:line="249" w:lineRule="auto"/>
      <w:ind w:left="25" w:right="19" w:hanging="10"/>
    </w:pPr>
    <w:rPr>
      <w:rFonts w:ascii="Arial" w:eastAsia="Times New Roman" w:hAnsi="Arial" w:cs="Times New Roman"/>
      <w:color w:val="000000"/>
      <w:sz w:val="24"/>
    </w:rPr>
  </w:style>
  <w:style w:type="character" w:customStyle="1" w:styleId="Heading4Char">
    <w:name w:val="Heading 4 Char"/>
    <w:basedOn w:val="DefaultParagraphFont"/>
    <w:link w:val="Heading4"/>
    <w:uiPriority w:val="9"/>
    <w:rsid w:val="004E7C87"/>
    <w:rPr>
      <w:rFonts w:ascii="Arial" w:eastAsia="Arial" w:hAnsi="Arial" w:cs="Arial"/>
      <w:b/>
      <w:bCs/>
      <w:i/>
      <w:iCs/>
      <w:color w:val="000000"/>
    </w:rPr>
  </w:style>
  <w:style w:type="character" w:customStyle="1" w:styleId="Heading5Char">
    <w:name w:val="Heading 5 Char"/>
    <w:basedOn w:val="DefaultParagraphFont"/>
    <w:link w:val="Heading5"/>
    <w:uiPriority w:val="9"/>
    <w:rsid w:val="00F64A09"/>
    <w:rPr>
      <w:rFonts w:ascii="Arial" w:eastAsiaTheme="majorEastAsia" w:hAnsi="Arial" w:cstheme="majorBidi"/>
      <w:b/>
      <w:color w:val="000000" w:themeColor="text1"/>
    </w:rPr>
  </w:style>
  <w:style w:type="character" w:styleId="Hyperlink">
    <w:name w:val="Hyperlink"/>
    <w:basedOn w:val="DefaultParagraphFont"/>
    <w:uiPriority w:val="99"/>
    <w:unhideWhenUsed/>
    <w:rsid w:val="00B40841"/>
    <w:rPr>
      <w:color w:val="0563C1" w:themeColor="hyperlink"/>
      <w:u w:val="single"/>
    </w:rPr>
  </w:style>
  <w:style w:type="paragraph" w:styleId="TableofFigures">
    <w:name w:val="table of figures"/>
    <w:basedOn w:val="Normal"/>
    <w:next w:val="Normal"/>
    <w:uiPriority w:val="99"/>
    <w:unhideWhenUsed/>
    <w:rsid w:val="00B40841"/>
    <w:pPr>
      <w:spacing w:after="0"/>
    </w:pPr>
  </w:style>
  <w:style w:type="paragraph" w:styleId="Revision">
    <w:name w:val="Revision"/>
    <w:hidden/>
    <w:uiPriority w:val="99"/>
    <w:semiHidden/>
    <w:rsid w:val="00CF5BCF"/>
    <w:pPr>
      <w:spacing w:after="0" w:line="240" w:lineRule="auto"/>
    </w:pPr>
  </w:style>
  <w:style w:type="paragraph" w:styleId="ListParagraph">
    <w:name w:val="List Paragraph"/>
    <w:basedOn w:val="Normal"/>
    <w:uiPriority w:val="34"/>
    <w:qFormat/>
    <w:rsid w:val="00B964DD"/>
    <w:pPr>
      <w:ind w:left="720"/>
      <w:contextualSpacing/>
    </w:p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paragraph" w:styleId="TOC2">
    <w:name w:val="toc 2"/>
    <w:basedOn w:val="Normal"/>
    <w:next w:val="Normal"/>
    <w:autoRedefine/>
    <w:uiPriority w:val="39"/>
    <w:unhideWhenUsed/>
    <w:rsid w:val="005F5D6F"/>
    <w:pPr>
      <w:spacing w:after="100"/>
      <w:ind w:left="220"/>
    </w:pPr>
  </w:style>
  <w:style w:type="paragraph" w:styleId="TOC4">
    <w:name w:val="toc 4"/>
    <w:basedOn w:val="Normal"/>
    <w:next w:val="Normal"/>
    <w:autoRedefine/>
    <w:uiPriority w:val="39"/>
    <w:unhideWhenUsed/>
    <w:rsid w:val="005F5D6F"/>
    <w:pPr>
      <w:spacing w:after="100"/>
      <w:ind w:left="660"/>
    </w:pPr>
  </w:style>
  <w:style w:type="paragraph" w:styleId="TOC3">
    <w:name w:val="toc 3"/>
    <w:basedOn w:val="Normal"/>
    <w:next w:val="Normal"/>
    <w:autoRedefine/>
    <w:uiPriority w:val="39"/>
    <w:unhideWhenUsed/>
    <w:rsid w:val="005F5D6F"/>
    <w:pPr>
      <w:spacing w:after="100"/>
      <w:ind w:left="440"/>
    </w:pPr>
  </w:style>
  <w:style w:type="paragraph" w:styleId="TOC5">
    <w:name w:val="toc 5"/>
    <w:basedOn w:val="Normal"/>
    <w:next w:val="Normal"/>
    <w:autoRedefine/>
    <w:uiPriority w:val="39"/>
    <w:unhideWhenUsed/>
    <w:rsid w:val="005F5D6F"/>
    <w:pPr>
      <w:spacing w:after="100"/>
      <w:ind w:left="880"/>
    </w:pPr>
  </w:style>
  <w:style w:type="paragraph" w:styleId="Header">
    <w:name w:val="header"/>
    <w:basedOn w:val="Normal"/>
    <w:link w:val="HeaderChar"/>
    <w:uiPriority w:val="99"/>
    <w:unhideWhenUsed/>
    <w:rsid w:val="00FA7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821"/>
  </w:style>
  <w:style w:type="paragraph" w:styleId="Footer">
    <w:name w:val="footer"/>
    <w:basedOn w:val="Normal"/>
    <w:link w:val="FooterChar"/>
    <w:uiPriority w:val="99"/>
    <w:unhideWhenUsed/>
    <w:rsid w:val="00FA7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821"/>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paragraph" w:styleId="TOCHeading">
    <w:name w:val="TOC Heading"/>
    <w:basedOn w:val="Heading1"/>
    <w:next w:val="Normal"/>
    <w:uiPriority w:val="39"/>
    <w:unhideWhenUsed/>
    <w:qFormat/>
    <w:rsid w:val="00393928"/>
    <w:pPr>
      <w:pBdr>
        <w:top w:val="none" w:sz="0" w:space="0" w:color="auto"/>
        <w:left w:val="none" w:sz="0" w:space="0" w:color="auto"/>
        <w:bottom w:val="none" w:sz="0" w:space="0" w:color="auto"/>
        <w:right w:val="none" w:sz="0" w:space="0" w:color="auto"/>
        <w:between w:val="none" w:sz="0" w:space="0" w:color="auto"/>
      </w:pBdr>
      <w:spacing w:before="240" w:after="0" w:line="259" w:lineRule="auto"/>
      <w:ind w:left="0" w:righ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90/microorganisms10112201" TargetMode="External" /><Relationship Id="rId117" Type="http://schemas.openxmlformats.org/officeDocument/2006/relationships/footer" Target="footer2.xml" /><Relationship Id="rId21" Type="http://schemas.openxmlformats.org/officeDocument/2006/relationships/hyperlink" Target="https://doi.org/10.1186/s42269-024-01270-7" TargetMode="External" /><Relationship Id="rId42" Type="http://schemas.openxmlformats.org/officeDocument/2006/relationships/hyperlink" Target="https://openurl.ebsco.com/EPDB%3Agcd%3A9%3A25692409/detailv2?sid=ebsco%3Aplink%3Ascholar&amp;id=ebsco%3Agcd%3A164823467&amp;crl=c&amp;link_origin=scholar.google.com" TargetMode="External" /><Relationship Id="rId47" Type="http://schemas.openxmlformats.org/officeDocument/2006/relationships/hyperlink" Target="https://www.gtfcc.org/wp-content/uploads/2025/04/public-health-surveillance-for-cholera-guidance-document-2024.pdf" TargetMode="External" /><Relationship Id="rId63" Type="http://schemas.openxmlformats.org/officeDocument/2006/relationships/hyperlink" Target="https://doi.org/10.3233/PRM-230019" TargetMode="External" /><Relationship Id="rId68" Type="http://schemas.openxmlformats.org/officeDocument/2006/relationships/hyperlink" Target="https://doi.org/10.3389/fmicb.2025.1603736" TargetMode="External" /><Relationship Id="rId84" Type="http://schemas.openxmlformats.org/officeDocument/2006/relationships/hyperlink" Target="https://doi.org/10.1099/mgen.0.000947" TargetMode="External" /><Relationship Id="rId89" Type="http://schemas.openxmlformats.org/officeDocument/2006/relationships/hyperlink" Target="https://doi.org/10.1007/978-3-030-60147-8_11" TargetMode="External" /><Relationship Id="rId112" Type="http://schemas.openxmlformats.org/officeDocument/2006/relationships/hyperlink" Target="https://doi.org/10.3390/microorganisms11092280" TargetMode="External" /><Relationship Id="rId16" Type="http://schemas.openxmlformats.org/officeDocument/2006/relationships/footer" Target="footer1.xml" /><Relationship Id="rId107" Type="http://schemas.openxmlformats.org/officeDocument/2006/relationships/hyperlink" Target="https://doi.org/10.3390/microorganisms13081803" TargetMode="External" /><Relationship Id="rId11" Type="http://schemas.openxmlformats.org/officeDocument/2006/relationships/image" Target="media/image3.png" /><Relationship Id="rId32" Type="http://schemas.openxmlformats.org/officeDocument/2006/relationships/hyperlink" Target="https://doi.org/10.1146/annurev-pathol-031920-101429" TargetMode="External" /><Relationship Id="rId37" Type="http://schemas.openxmlformats.org/officeDocument/2006/relationships/hyperlink" Target="https://doi.org/10.1016/j.aquaculture.2021.737529" TargetMode="External" /><Relationship Id="rId53" Type="http://schemas.openxmlformats.org/officeDocument/2006/relationships/hyperlink" Target="https://doi.org/10.58614/jahsm461" TargetMode="External" /><Relationship Id="rId58" Type="http://schemas.openxmlformats.org/officeDocument/2006/relationships/hyperlink" Target="https://doi.org/10.3389/fitd.2024.1499520" TargetMode="External" /><Relationship Id="rId74" Type="http://schemas.openxmlformats.org/officeDocument/2006/relationships/hyperlink" Target="https://doi.org/10.3934/publichealth.2025039" TargetMode="External" /><Relationship Id="rId79" Type="http://schemas.openxmlformats.org/officeDocument/2006/relationships/hyperlink" Target="https://doi.org/10.1186/s12866-023-02811-2" TargetMode="External" /><Relationship Id="rId102" Type="http://schemas.openxmlformats.org/officeDocument/2006/relationships/hyperlink" Target="https://www.nature.com/articles/s43705-021-00023-1.pdf" TargetMode="External" /><Relationship Id="rId5" Type="http://schemas.openxmlformats.org/officeDocument/2006/relationships/settings" Target="settings.xml" /><Relationship Id="rId61" Type="http://schemas.openxmlformats.org/officeDocument/2006/relationships/hyperlink" Target="https://doi.org/10.46234/ccdcw2022.061" TargetMode="External" /><Relationship Id="rId82" Type="http://schemas.openxmlformats.org/officeDocument/2006/relationships/hyperlink" Target="https://doi.org/10.3390/pathogens10121605" TargetMode="External" /><Relationship Id="rId90" Type="http://schemas.openxmlformats.org/officeDocument/2006/relationships/hyperlink" Target="https://doi.org/10.1080/17482631.2024.2315636" TargetMode="External" /><Relationship Id="rId95" Type="http://schemas.openxmlformats.org/officeDocument/2006/relationships/hyperlink" Target="https://doi.org/10.1371/journal.pone.0341213" TargetMode="External" /><Relationship Id="rId19" Type="http://schemas.openxmlformats.org/officeDocument/2006/relationships/hyperlink" Target="https://microbeonline.com/the-germ-theory-of-disease-experiments-an-applications/" TargetMode="External" /><Relationship Id="rId14" Type="http://schemas.openxmlformats.org/officeDocument/2006/relationships/image" Target="media/image6.png" /><Relationship Id="rId22" Type="http://schemas.openxmlformats.org/officeDocument/2006/relationships/hyperlink" Target="https://doi.org/10.1038/s41598-023-28247-2" TargetMode="External" /><Relationship Id="rId27" Type="http://schemas.openxmlformats.org/officeDocument/2006/relationships/hyperlink" Target="https://gmr.scholasticahq.com/article/116783.pdf" TargetMode="External" /><Relationship Id="rId30" Type="http://schemas.openxmlformats.org/officeDocument/2006/relationships/hyperlink" Target="https://doi.org/10.1073/pnas.2319605121" TargetMode="External" /><Relationship Id="rId35" Type="http://schemas.openxmlformats.org/officeDocument/2006/relationships/hyperlink" Target="https://doi.org/10.3390/aerospace8020027" TargetMode="External" /><Relationship Id="rId43" Type="http://schemas.openxmlformats.org/officeDocument/2006/relationships/hyperlink" Target="https://assets.publishing.service.gov.uk/media/57a08af940f0b649740008aa/Science_and_Innovation_chapter6.pdf" TargetMode="External" /><Relationship Id="rId48" Type="http://schemas.openxmlformats.org/officeDocument/2006/relationships/hyperlink" Target="https://doi.org/10.1186/s12889-025-24980-7" TargetMode="External" /><Relationship Id="rId56" Type="http://schemas.openxmlformats.org/officeDocument/2006/relationships/hyperlink" Target="https://doi.org/10.3390/microorganisms13071585" TargetMode="External" /><Relationship Id="rId64" Type="http://schemas.openxmlformats.org/officeDocument/2006/relationships/hyperlink" Target="https://doi.org/10.3390/microorganisms11071735" TargetMode="External" /><Relationship Id="rId69" Type="http://schemas.openxmlformats.org/officeDocument/2006/relationships/hyperlink" Target="https://doi.org/10.3389/fmicb.2025.1603736" TargetMode="External" /><Relationship Id="rId77" Type="http://schemas.openxmlformats.org/officeDocument/2006/relationships/hyperlink" Target="https://doi.org/10.1186/s12866-025-04451-0" TargetMode="External" /><Relationship Id="rId100" Type="http://schemas.openxmlformats.org/officeDocument/2006/relationships/hyperlink" Target="https://assets.publishing.service.gov.uk/media/65aff68ef2718c000dfb1bd8/Pathogen_Genomics_Strategy_2024.pdf" TargetMode="External" /><Relationship Id="rId105" Type="http://schemas.openxmlformats.org/officeDocument/2006/relationships/hyperlink" Target="https://doi.org/10.3390/microorganisms10122358" TargetMode="External" /><Relationship Id="rId113" Type="http://schemas.openxmlformats.org/officeDocument/2006/relationships/hyperlink" Target="https://doi.org/10.3390/applmicrobiol4040102" TargetMode="External" /><Relationship Id="rId118" Type="http://schemas.openxmlformats.org/officeDocument/2006/relationships/footer" Target="footer3.xml" /><Relationship Id="rId8" Type="http://schemas.openxmlformats.org/officeDocument/2006/relationships/endnotes" Target="endnotes.xml" /><Relationship Id="rId51" Type="http://schemas.openxmlformats.org/officeDocument/2006/relationships/hyperlink" Target="https://doi.org/10.3390/ijns11040091" TargetMode="External" /><Relationship Id="rId72" Type="http://schemas.openxmlformats.org/officeDocument/2006/relationships/hyperlink" Target="https://doi.org/10.3390/antibiotics14080763" TargetMode="External" /><Relationship Id="rId80" Type="http://schemas.openxmlformats.org/officeDocument/2006/relationships/hyperlink" Target="https://doi.org/10.1186/s12866-023-02811-2" TargetMode="External" /><Relationship Id="rId85" Type="http://schemas.openxmlformats.org/officeDocument/2006/relationships/hyperlink" Target="https://doi.org/10.3390/d16050268" TargetMode="External" /><Relationship Id="rId93" Type="http://schemas.openxmlformats.org/officeDocument/2006/relationships/hyperlink" Target="https://doi.org/10.1515/reveh-2022-0201" TargetMode="External" /><Relationship Id="rId98" Type="http://schemas.openxmlformats.org/officeDocument/2006/relationships/hyperlink" Target="https://doi.org/10.3390/life15121848" TargetMode="External" /><Relationship Id="rId121" Type="http://schemas.openxmlformats.org/officeDocument/2006/relationships/theme" Target="theme/theme1.xml" /><Relationship Id="rId3" Type="http://schemas.openxmlformats.org/officeDocument/2006/relationships/numbering" Target="numbering.xml" /><Relationship Id="rId12" Type="http://schemas.openxmlformats.org/officeDocument/2006/relationships/image" Target="media/image4.png" /><Relationship Id="rId17" Type="http://schemas.openxmlformats.org/officeDocument/2006/relationships/hyperlink" Target="https://doi.org/10.1016/j.crpvbd.2025.100281" TargetMode="External" /><Relationship Id="rId25" Type="http://schemas.openxmlformats.org/officeDocument/2006/relationships/hyperlink" Target="https://doi.org/10.1111/1758-2229.70103" TargetMode="External" /><Relationship Id="rId33" Type="http://schemas.openxmlformats.org/officeDocument/2006/relationships/hyperlink" Target="https://doi.org/10.1073/pnas.2301186120" TargetMode="External" /><Relationship Id="rId38" Type="http://schemas.openxmlformats.org/officeDocument/2006/relationships/hyperlink" Target="https://doi.org/10.3390/pathogens11020252" TargetMode="External" /><Relationship Id="rId46" Type="http://schemas.openxmlformats.org/officeDocument/2006/relationships/hyperlink" Target="https://doi.org/10.3390/jrfm17050207" TargetMode="External" /><Relationship Id="rId59" Type="http://schemas.openxmlformats.org/officeDocument/2006/relationships/hyperlink" Target="https://doi.org/10.3390/w15071298" TargetMode="External" /><Relationship Id="rId67" Type="http://schemas.openxmlformats.org/officeDocument/2006/relationships/hyperlink" Target="https://doi.org/10.3389/fcimb.2022.849915" TargetMode="External" /><Relationship Id="rId103" Type="http://schemas.openxmlformats.org/officeDocument/2006/relationships/hyperlink" Target="https://doi.org/10.3390/microorganisms11082030" TargetMode="External" /><Relationship Id="rId108" Type="http://schemas.openxmlformats.org/officeDocument/2006/relationships/hyperlink" Target="https://www.who.int/news/item/04-09-2024-data-show-marked-increase-in-annual-cholera-deaths" TargetMode="External" /><Relationship Id="rId116" Type="http://schemas.openxmlformats.org/officeDocument/2006/relationships/hyperlink" Target="https://doi.org/10.3390/ijerph182312618" TargetMode="External" /><Relationship Id="rId20" Type="http://schemas.openxmlformats.org/officeDocument/2006/relationships/hyperlink" Target="https://hdl.handle.net/10315/42813" TargetMode="External" /><Relationship Id="rId41" Type="http://schemas.openxmlformats.org/officeDocument/2006/relationships/hyperlink" Target="https://doi.org/10.19082/5149" TargetMode="External" /><Relationship Id="rId54" Type="http://schemas.openxmlformats.org/officeDocument/2006/relationships/hyperlink" Target="https://doi.org/10.1128/AEM.00422-21" TargetMode="External" /><Relationship Id="rId62" Type="http://schemas.openxmlformats.org/officeDocument/2006/relationships/hyperlink" Target="https://doi.org/10.1016/j.pedhc.2024.03.005" TargetMode="External" /><Relationship Id="rId70" Type="http://schemas.openxmlformats.org/officeDocument/2006/relationships/hyperlink" Target="https://doi.org/10.3390/app14219689" TargetMode="External" /><Relationship Id="rId75" Type="http://schemas.openxmlformats.org/officeDocument/2006/relationships/hyperlink" Target="https://doi.org/10.3389/fmed.2023.1155751" TargetMode="External" /><Relationship Id="rId83" Type="http://schemas.openxmlformats.org/officeDocument/2006/relationships/hyperlink" Target="https://doi.org/10.1016/j.microb.2025.100457" TargetMode="External" /><Relationship Id="rId88" Type="http://schemas.openxmlformats.org/officeDocument/2006/relationships/hyperlink" Target="https://doi.org/10.2807/1560-7917.ES.2024.29.36.2400069" TargetMode="External" /><Relationship Id="rId91" Type="http://schemas.openxmlformats.org/officeDocument/2006/relationships/hyperlink" Target="https://doi.org/10.1080/17482631.2024.2315636" TargetMode="External" /><Relationship Id="rId96" Type="http://schemas.openxmlformats.org/officeDocument/2006/relationships/hyperlink" Target="https://doi.org/10.1101/2024.09.19.24313985" TargetMode="External" /><Relationship Id="rId111" Type="http://schemas.openxmlformats.org/officeDocument/2006/relationships/hyperlink" Target="https://www.who.int/health-topics/water-sanitation-and-hygiene-wash" TargetMode="External" /><Relationship Id="rId1" Type="http://schemas.openxmlformats.org/officeDocument/2006/relationships/customXml" Target="../customXml/item1.xml" /><Relationship Id="rId6"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hyperlink" Target="https://doi.org/10.3390/educsci15091193" TargetMode="External" /><Relationship Id="rId28" Type="http://schemas.openxmlformats.org/officeDocument/2006/relationships/hyperlink" Target="https://doi.org/10.1371/journal.pcbi.1013523" TargetMode="External" /><Relationship Id="rId36" Type="http://schemas.openxmlformats.org/officeDocument/2006/relationships/hyperlink" Target="https://doi.org/10.1038/s41598-024-81596-4" TargetMode="External" /><Relationship Id="rId49" Type="http://schemas.openxmlformats.org/officeDocument/2006/relationships/hyperlink" Target="https://www.worldhistory.org/Germ_Theory/" TargetMode="External" /><Relationship Id="rId57" Type="http://schemas.openxmlformats.org/officeDocument/2006/relationships/hyperlink" Target="https://doi.org/10.3390/atmos16060701" TargetMode="External" /><Relationship Id="rId106" Type="http://schemas.openxmlformats.org/officeDocument/2006/relationships/hyperlink" Target="https://doi.org/10.1016/j.envint.2024.109029" TargetMode="External" /><Relationship Id="rId114" Type="http://schemas.openxmlformats.org/officeDocument/2006/relationships/hyperlink" Target="https://doi.org/10.3390/foods12061179" TargetMode="External" /><Relationship Id="rId119" Type="http://schemas.openxmlformats.org/officeDocument/2006/relationships/footer" Target="footer4.xml" /><Relationship Id="rId10" Type="http://schemas.openxmlformats.org/officeDocument/2006/relationships/image" Target="media/image2.png" /><Relationship Id="rId31" Type="http://schemas.openxmlformats.org/officeDocument/2006/relationships/hyperlink" Target="https://doi.org/10.1016/j.heliyon.2024.e33873" TargetMode="External" /><Relationship Id="rId44" Type="http://schemas.openxmlformats.org/officeDocument/2006/relationships/hyperlink" Target="https://www.gov.uk/government/publications/copyright-acts-and-related-laws" TargetMode="External" /><Relationship Id="rId52" Type="http://schemas.openxmlformats.org/officeDocument/2006/relationships/hyperlink" Target="https://doi.org/10.1016/j.ajhg.2025.02.008" TargetMode="External" /><Relationship Id="rId60" Type="http://schemas.openxmlformats.org/officeDocument/2006/relationships/hyperlink" Target="https://doi.org/10.3390/ijerph22091343" TargetMode="External" /><Relationship Id="rId65" Type="http://schemas.openxmlformats.org/officeDocument/2006/relationships/hyperlink" Target="https://doi.org/10.3389/fmicb.2022.981896" TargetMode="External" /><Relationship Id="rId73" Type="http://schemas.openxmlformats.org/officeDocument/2006/relationships/hyperlink" Target="https://doi.org/10.3390/microorganisms11082030" TargetMode="External" /><Relationship Id="rId78" Type="http://schemas.openxmlformats.org/officeDocument/2006/relationships/hyperlink" Target="https://doi.org/10.3389/fmicb.2023.1286923" TargetMode="External" /><Relationship Id="rId81" Type="http://schemas.openxmlformats.org/officeDocument/2006/relationships/hyperlink" Target="https://doi.org/10.7759/cureus.76278" TargetMode="External" /><Relationship Id="rId86" Type="http://schemas.openxmlformats.org/officeDocument/2006/relationships/hyperlink" Target="https://doi.org/10.1371/journal.pone.0285491" TargetMode="External" /><Relationship Id="rId94" Type="http://schemas.openxmlformats.org/officeDocument/2006/relationships/hyperlink" Target="https://doi.org/10.3390/w15112121" TargetMode="External" /><Relationship Id="rId99" Type="http://schemas.openxmlformats.org/officeDocument/2006/relationships/hyperlink" Target="https://www.gov.uk/government/publications/ukhsa-board-meeting-papers-january-2023/ukhsa-advisory-board-preparedness-for-infectious-disease-threats" TargetMode="External" /><Relationship Id="rId101" Type="http://schemas.openxmlformats.org/officeDocument/2006/relationships/hyperlink" Target="https://doi.org/10.3390/tropicalmed6030147" TargetMode="External" /><Relationship Id="rId4" Type="http://schemas.openxmlformats.org/officeDocument/2006/relationships/styles" Target="styles.xml" /><Relationship Id="rId9"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hyperlink" Target="https://microbeonline.com/the-germ-theory-of-disease-experiments-an-applications/" TargetMode="External" /><Relationship Id="rId39" Type="http://schemas.openxmlformats.org/officeDocument/2006/relationships/hyperlink" Target="https://doi.org/10.1186/s12889-025-24507-0" TargetMode="External" /><Relationship Id="rId109" Type="http://schemas.openxmlformats.org/officeDocument/2006/relationships/hyperlink" Target="https://doi.org/10.1016/j.epidem.2024.100787" TargetMode="External" /><Relationship Id="rId34" Type="http://schemas.openxmlformats.org/officeDocument/2006/relationships/hyperlink" Target="https://doi.org/10.1128/cmr.00211-21" TargetMode="External" /><Relationship Id="rId50" Type="http://schemas.openxmlformats.org/officeDocument/2006/relationships/hyperlink" Target="https://doi.org/10.29261/pakvetj/2025.115" TargetMode="External" /><Relationship Id="rId55" Type="http://schemas.openxmlformats.org/officeDocument/2006/relationships/hyperlink" Target="https://doi.org/10.3390/pathogens10020190" TargetMode="External" /><Relationship Id="rId76" Type="http://schemas.openxmlformats.org/officeDocument/2006/relationships/hyperlink" Target="https://doi.org/10.1016/j.jiph.2024.102558" TargetMode="External" /><Relationship Id="rId97" Type="http://schemas.openxmlformats.org/officeDocument/2006/relationships/hyperlink" Target="https://journals.sagepub.com/doi/pdf/10.1177/20965311251371227" TargetMode="External" /><Relationship Id="rId104" Type="http://schemas.openxmlformats.org/officeDocument/2006/relationships/hyperlink" Target="https://doi.org/10.3389/fmicb.2023.1178538" TargetMode="External" /><Relationship Id="rId120" Type="http://schemas.openxmlformats.org/officeDocument/2006/relationships/fontTable" Target="fontTable.xml" /><Relationship Id="rId7" Type="http://schemas.openxmlformats.org/officeDocument/2006/relationships/footnotes" Target="footnotes.xml" /><Relationship Id="rId71" Type="http://schemas.openxmlformats.org/officeDocument/2006/relationships/hyperlink" Target="https://doi.org/10.3390/jpm12081308" TargetMode="External" /><Relationship Id="rId92" Type="http://schemas.openxmlformats.org/officeDocument/2006/relationships/hyperlink" Target="https://doi.org/10.1016/j.marpolbul.2025.118496" TargetMode="External" /><Relationship Id="rId2" Type="http://schemas.openxmlformats.org/officeDocument/2006/relationships/customXml" Target="../customXml/item2.xml" /><Relationship Id="rId29" Type="http://schemas.openxmlformats.org/officeDocument/2006/relationships/hyperlink" Target="https://doi.org/10.1111/1462-2920.15716" TargetMode="External" /><Relationship Id="rId24" Type="http://schemas.openxmlformats.org/officeDocument/2006/relationships/hyperlink" Target="https://doi.org/10.3390/microorganisms12122504" TargetMode="External" /><Relationship Id="rId40" Type="http://schemas.openxmlformats.org/officeDocument/2006/relationships/hyperlink" Target="https://www.ecdc.europa.eu/sites/default/files/documents/CHOL_AER_2022_Report.pdf" TargetMode="External" /><Relationship Id="rId45" Type="http://schemas.openxmlformats.org/officeDocument/2006/relationships/hyperlink" Target="https://assets.publishing.service.gov.uk/media/5a7c9ac7e5274a0bb7cb82a6/Introducing_Fundamental_Standards_-_a_Consultation.pdf" TargetMode="External" /><Relationship Id="rId66" Type="http://schemas.openxmlformats.org/officeDocument/2006/relationships/hyperlink" Target="https://doi.org/10.3390/v14112532" TargetMode="External" /><Relationship Id="rId87" Type="http://schemas.openxmlformats.org/officeDocument/2006/relationships/hyperlink" Target="https://doi.org/10.3390/healthcare11192665" TargetMode="External" /><Relationship Id="rId110" Type="http://schemas.openxmlformats.org/officeDocument/2006/relationships/hyperlink" Target="https://www.ncbi.nlm.nih.gov/books/NBK579445/" TargetMode="External" /><Relationship Id="rId115" Type="http://schemas.openxmlformats.org/officeDocument/2006/relationships/hyperlink" Target="https://doi.org/10.1016/j.jhazmat.2024.133849" TargetMode="External" /></Relationships>
</file>

<file path=word/_rels/fontTable.xml.rels><?xml version="1.0" encoding="UTF-8" standalone="yes"?>
<Relationships xmlns="http://schemas.openxmlformats.org/package/2006/relationships"><Relationship Id="rId8" Type="http://schemas.openxmlformats.org/officeDocument/2006/relationships/font" Target="fonts/font8.odttf" /><Relationship Id="rId3" Type="http://schemas.openxmlformats.org/officeDocument/2006/relationships/font" Target="fonts/font3.odttf" /><Relationship Id="rId7" Type="http://schemas.openxmlformats.org/officeDocument/2006/relationships/font" Target="fonts/font7.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vAXe1bOGSFeI4gT1dsdY6k32Kw==">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</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34A6076D-50B7-4F99-9C19-B3EEA0E14C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79</Pages>
  <Words>24430</Words>
  <Characters>139255</Characters>
  <Application>Microsoft Office Word</Application>
  <DocSecurity>0</DocSecurity>
  <Lines>1160</Lines>
  <Paragraphs>326</Paragraphs>
  <ScaleCrop>false</ScaleCrop>
  <Company/>
  <LinksUpToDate>false</LinksUpToDate>
  <CharactersWithSpaces>163359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Dhruvil Barot</dc:creator>
  <cp:lastModifiedBy>pareshchoudhary9638@gmail.com</cp:lastModifiedBy>
  <cp:revision>2</cp:revision>
  <dcterms:created xsi:type="dcterms:W3CDTF">2026-02-02T13:11:00Z</dcterms:created>
  <dcterms:modified xsi:type="dcterms:W3CDTF">2026-02-02T13:11:00Z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80d47899-6962-4b9b-93f2-e11c6cefaf4d</vt:lpwstr>
  </property>
</Properties>
</file>