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3DE2B318"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8C4CAC" w:rsidRPr="008C4CAC">
              <w:rPr>
                <w:rFonts w:asciiTheme="minorHAnsi" w:hAnsiTheme="minorHAnsi" w:cs="Calibri"/>
                <w:lang w:val="de-DE"/>
              </w:rPr>
              <w:t xml:space="preserve"> </w:t>
            </w:r>
            <w:r w:rsidR="008C4CAC" w:rsidRPr="008C4CAC">
              <w:rPr>
                <w:rFonts w:asciiTheme="minorHAnsi" w:hAnsiTheme="minorHAnsi" w:cs="Calibri"/>
                <w:lang w:val="de-DE"/>
              </w:rPr>
              <w:t>Dr Faizu Edu (2nd marker)</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62DB8FBD"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341F19">
              <w:rPr>
                <w:rFonts w:asciiTheme="minorHAnsi" w:hAnsiTheme="minorHAnsi" w:cs="Calibri"/>
              </w:rPr>
              <w:t xml:space="preserve"> </w:t>
            </w:r>
            <w:r w:rsidR="00812E0D" w:rsidRPr="00812E0D">
              <w:rPr>
                <w:rFonts w:asciiTheme="minorHAnsi" w:hAnsiTheme="minorHAnsi" w:cs="Calibri"/>
              </w:rPr>
              <w:t>2124687</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1C264364"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341F19">
              <w:rPr>
                <w:rFonts w:asciiTheme="minorHAnsi" w:hAnsiTheme="minorHAnsi" w:cs="Calibri"/>
                <w:b/>
                <w:bCs/>
              </w:rPr>
              <w:t xml:space="preserve"> </w:t>
            </w:r>
            <w:r w:rsidR="00341F19" w:rsidRPr="00341F19">
              <w:rPr>
                <w:rFonts w:asciiTheme="minorHAnsi" w:hAnsiTheme="minorHAnsi" w:cs="Calibri"/>
                <w:b/>
                <w:bCs/>
              </w:rPr>
              <w:tab/>
            </w:r>
            <w:r w:rsidR="00812E0D" w:rsidRPr="00812E0D">
              <w:rPr>
                <w:rFonts w:asciiTheme="minorHAnsi" w:hAnsiTheme="minorHAnsi" w:cs="Calibri"/>
                <w:b/>
                <w:bCs/>
              </w:rPr>
              <w:t>Boris Vladimirov</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583F0252" w:rsidR="00160509" w:rsidRPr="00844DE4" w:rsidRDefault="004527D9" w:rsidP="00A30926">
            <w:pPr>
              <w:pStyle w:val="Header"/>
              <w:jc w:val="center"/>
              <w:rPr>
                <w:rFonts w:cs="Calibri"/>
              </w:rPr>
            </w:pPr>
            <w:r>
              <w:rPr>
                <w:rFonts w:cs="Calibri"/>
              </w:rPr>
              <w:t>11</w:t>
            </w:r>
          </w:p>
        </w:tc>
        <w:tc>
          <w:tcPr>
            <w:tcW w:w="6521" w:type="dxa"/>
            <w:vAlign w:val="bottom"/>
          </w:tcPr>
          <w:p w14:paraId="60F55798" w14:textId="77777777" w:rsidR="00160509" w:rsidRDefault="00160509" w:rsidP="00A30926">
            <w:pPr>
              <w:rPr>
                <w:rFonts w:asciiTheme="minorHAnsi" w:hAnsiTheme="minorHAnsi" w:cs="Calibri"/>
                <w:color w:val="000000"/>
                <w:lang w:eastAsia="zh-CN"/>
              </w:rPr>
            </w:pPr>
          </w:p>
          <w:p w14:paraId="6E8BBD0C" w14:textId="2B066A40" w:rsidR="00844DE4" w:rsidRDefault="0092757A" w:rsidP="00A30926">
            <w:pPr>
              <w:rPr>
                <w:rFonts w:asciiTheme="minorHAnsi" w:hAnsiTheme="minorHAnsi" w:cs="Calibri"/>
                <w:color w:val="000000"/>
                <w:lang w:eastAsia="zh-CN"/>
              </w:rPr>
            </w:pPr>
            <w:r w:rsidRPr="0092757A">
              <w:rPr>
                <w:rFonts w:asciiTheme="minorHAnsi" w:hAnsiTheme="minorHAnsi" w:cs="Calibri"/>
                <w:color w:val="000000"/>
                <w:lang w:eastAsia="zh-CN"/>
              </w:rPr>
              <w:t>The dissertation demonstrates a reasonable level of engagement with literature on consumer switching behaviour between premium and value supermarket brands. The inclusion of industry data enhances contextual relevance, particularly in relation to inflation and UK grocery market trends. However, the discussion remains largely descriptive and would benefit from deeper critical analysis.</w:t>
            </w:r>
          </w:p>
          <w:p w14:paraId="2AB8EBAE" w14:textId="77777777" w:rsidR="00844DE4" w:rsidRPr="00844DE4" w:rsidRDefault="00844DE4" w:rsidP="00A30926">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68D46170" w:rsidR="00160509" w:rsidRPr="00844DE4" w:rsidRDefault="002E1223" w:rsidP="00A30926">
            <w:pPr>
              <w:pStyle w:val="Header"/>
              <w:jc w:val="center"/>
              <w:rPr>
                <w:rFonts w:cs="Calibri"/>
              </w:rPr>
            </w:pPr>
            <w:r>
              <w:rPr>
                <w:rFonts w:cs="Calibri"/>
              </w:rPr>
              <w:t>1</w:t>
            </w:r>
            <w:r w:rsidR="004527D9">
              <w:rPr>
                <w:rFonts w:cs="Calibri"/>
              </w:rPr>
              <w:t>6</w:t>
            </w:r>
          </w:p>
        </w:tc>
        <w:tc>
          <w:tcPr>
            <w:tcW w:w="6521" w:type="dxa"/>
            <w:vAlign w:val="bottom"/>
          </w:tcPr>
          <w:p w14:paraId="4D8E337E" w14:textId="6215DD48" w:rsidR="00FC18FC" w:rsidRDefault="00BA60DA" w:rsidP="00A30926">
            <w:pPr>
              <w:pStyle w:val="Header"/>
              <w:rPr>
                <w:rFonts w:cs="Calibri"/>
              </w:rPr>
            </w:pPr>
            <w:r w:rsidRPr="00BA60DA">
              <w:rPr>
                <w:rFonts w:cs="Calibri"/>
              </w:rPr>
              <w:t>A solid understanding of consumer behaviour and retail dynamics is demonstrated. Key factors such as economic pressure, perceived value, and trust are clearly articulated, supported by well-defined research aims and objectives.</w:t>
            </w:r>
          </w:p>
          <w:p w14:paraId="33999233" w14:textId="77777777" w:rsidR="00FC18FC" w:rsidRPr="00844DE4" w:rsidRDefault="00FC18FC" w:rsidP="00A30926">
            <w:pPr>
              <w:pStyle w:val="Header"/>
              <w:rPr>
                <w:rFonts w:cs="Calibri"/>
              </w:rPr>
            </w:pP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0AC8F48F" w:rsidR="00160509" w:rsidRPr="00844DE4" w:rsidRDefault="002E1223" w:rsidP="00A30926">
            <w:pPr>
              <w:pStyle w:val="Header"/>
              <w:jc w:val="center"/>
              <w:rPr>
                <w:rFonts w:cs="Calibri"/>
              </w:rPr>
            </w:pPr>
            <w:r>
              <w:rPr>
                <w:rFonts w:cs="Calibri"/>
              </w:rPr>
              <w:t>20</w:t>
            </w:r>
          </w:p>
        </w:tc>
        <w:tc>
          <w:tcPr>
            <w:tcW w:w="6521" w:type="dxa"/>
            <w:vAlign w:val="bottom"/>
          </w:tcPr>
          <w:p w14:paraId="644D8E9A" w14:textId="77777777" w:rsidR="00160509" w:rsidRDefault="00160509" w:rsidP="00A30926">
            <w:pPr>
              <w:pStyle w:val="Header"/>
              <w:rPr>
                <w:rFonts w:cs="Calibri"/>
              </w:rPr>
            </w:pPr>
          </w:p>
          <w:p w14:paraId="3242BE98" w14:textId="5A4D2201" w:rsidR="00071F61" w:rsidRDefault="0050133A" w:rsidP="00A30926">
            <w:pPr>
              <w:pStyle w:val="Header"/>
              <w:rPr>
                <w:rFonts w:cs="Calibri"/>
              </w:rPr>
            </w:pPr>
            <w:r w:rsidRPr="0050133A">
              <w:rPr>
                <w:rFonts w:cs="Calibri"/>
              </w:rPr>
              <w:t>The study demonstrates developing analytical skills through the identification of key themes influencing consumer switching behaviour. The thematic analysis reflects an ability to interpret data and connect findings to broader consumer behaviour concepts.</w:t>
            </w:r>
          </w:p>
          <w:p w14:paraId="4BD5801E" w14:textId="77777777" w:rsidR="00FC18FC" w:rsidRPr="00844DE4" w:rsidRDefault="00FC18FC" w:rsidP="00A30926">
            <w:pPr>
              <w:pStyle w:val="Header"/>
              <w:rPr>
                <w:rFonts w:cs="Calibri"/>
              </w:rPr>
            </w:pP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147E552A" w:rsidR="00160509" w:rsidRPr="00844DE4" w:rsidRDefault="002E1223" w:rsidP="00A30926">
            <w:pPr>
              <w:pStyle w:val="Header"/>
              <w:jc w:val="center"/>
              <w:rPr>
                <w:rFonts w:cs="Calibri"/>
              </w:rPr>
            </w:pPr>
            <w:r>
              <w:rPr>
                <w:rFonts w:cs="Calibri"/>
              </w:rPr>
              <w:t>15</w:t>
            </w:r>
          </w:p>
        </w:tc>
        <w:tc>
          <w:tcPr>
            <w:tcW w:w="6521" w:type="dxa"/>
            <w:vAlign w:val="bottom"/>
          </w:tcPr>
          <w:p w14:paraId="34DF4CCE" w14:textId="77777777" w:rsidR="00160509" w:rsidRDefault="00160509" w:rsidP="00A30926">
            <w:pPr>
              <w:pStyle w:val="Header"/>
              <w:rPr>
                <w:rFonts w:cs="Calibri"/>
              </w:rPr>
            </w:pPr>
          </w:p>
          <w:p w14:paraId="66E9C5C7" w14:textId="63319224" w:rsidR="00366927" w:rsidRDefault="00411462" w:rsidP="00A30926">
            <w:pPr>
              <w:pStyle w:val="Header"/>
              <w:rPr>
                <w:rFonts w:cs="Calibri"/>
              </w:rPr>
            </w:pPr>
            <w:r w:rsidRPr="00411462">
              <w:rPr>
                <w:rFonts w:cs="Calibri"/>
              </w:rPr>
              <w:t>The research shows strong practical relevance by addressing current challenges in the retail sector. It provides useful insights into pricing strategies, product positioning, and promotional activities that influence consumer decisions.</w:t>
            </w:r>
          </w:p>
          <w:p w14:paraId="0D721715" w14:textId="77777777" w:rsidR="00160509" w:rsidRPr="00844DE4" w:rsidRDefault="00160509" w:rsidP="00A30926">
            <w:pPr>
              <w:pStyle w:val="Header"/>
              <w:rPr>
                <w:rFonts w:cs="Calibri"/>
              </w:rPr>
            </w:pP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22E8A96F" w:rsidR="00160509" w:rsidRPr="00844DE4" w:rsidRDefault="002E1223" w:rsidP="00A30926">
            <w:pPr>
              <w:pStyle w:val="Header"/>
              <w:jc w:val="center"/>
              <w:rPr>
                <w:rFonts w:cs="Calibri"/>
              </w:rPr>
            </w:pPr>
            <w:r>
              <w:rPr>
                <w:rFonts w:cs="Calibri"/>
              </w:rPr>
              <w:t>12</w:t>
            </w:r>
          </w:p>
        </w:tc>
        <w:tc>
          <w:tcPr>
            <w:tcW w:w="6521" w:type="dxa"/>
            <w:vAlign w:val="bottom"/>
          </w:tcPr>
          <w:p w14:paraId="0CB3F9B1" w14:textId="1B0872A7" w:rsidR="00160509" w:rsidRPr="00844DE4" w:rsidRDefault="005257E9" w:rsidP="00A30926">
            <w:pPr>
              <w:pStyle w:val="Header"/>
              <w:rPr>
                <w:rFonts w:cs="Calibri"/>
              </w:rPr>
            </w:pPr>
            <w:r w:rsidRPr="005257E9">
              <w:rPr>
                <w:rFonts w:cs="Calibri"/>
              </w:rPr>
              <w:t>Can communicate well, confidently, and consistently in a suitable format. Work is coherent, fluent, well-structured, and organised</w:t>
            </w:r>
            <w:r w:rsidR="00FF21D3">
              <w:rPr>
                <w:rFonts w:cs="Calibri"/>
              </w:rPr>
              <w:t>.</w:t>
            </w:r>
            <w:r w:rsidR="0069669C">
              <w:rPr>
                <w:rFonts w:cs="Calibri"/>
              </w:rPr>
              <w:t xml:space="preserve"> </w:t>
            </w:r>
            <w:r w:rsidR="0069669C" w:rsidRPr="0069669C">
              <w:rPr>
                <w:rFonts w:cs="Calibri"/>
              </w:rPr>
              <w:t>The dissertation demonstrates a range of transferable skills, including independent research, data interpretation, and structured academic writing. The organisation and use of thematic analysis reflect developing research competence and professional readiness.</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0E04D87F" w:rsidR="00160509" w:rsidRPr="00844DE4" w:rsidRDefault="0069669C" w:rsidP="00A30926">
            <w:pPr>
              <w:pStyle w:val="Header"/>
              <w:jc w:val="center"/>
              <w:rPr>
                <w:rFonts w:cs="Calibri"/>
              </w:rPr>
            </w:pPr>
            <w:r>
              <w:rPr>
                <w:rFonts w:cs="Calibri"/>
              </w:rPr>
              <w:t>7</w:t>
            </w:r>
            <w:r w:rsidR="00385DB6">
              <w:rPr>
                <w:rFonts w:cs="Calibri"/>
              </w:rPr>
              <w:t>4</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2BD488AA" w14:textId="77777777" w:rsidR="00A013CB" w:rsidRDefault="00A013CB" w:rsidP="00A30926">
            <w:pPr>
              <w:pStyle w:val="Header"/>
              <w:rPr>
                <w:rFonts w:cs="Calibri"/>
                <w:sz w:val="20"/>
                <w:szCs w:val="20"/>
              </w:rPr>
            </w:pPr>
          </w:p>
          <w:p w14:paraId="2366DB92" w14:textId="77777777" w:rsidR="009F030F" w:rsidRDefault="009F030F" w:rsidP="00A30926">
            <w:pPr>
              <w:pStyle w:val="Header"/>
              <w:rPr>
                <w:rFonts w:cs="Calibri"/>
                <w:sz w:val="20"/>
                <w:szCs w:val="20"/>
              </w:rPr>
            </w:pPr>
          </w:p>
          <w:p w14:paraId="3D749E72" w14:textId="77777777" w:rsidR="009F030F" w:rsidRDefault="009F030F"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C69F4" w14:textId="77777777" w:rsidR="00403F63" w:rsidRDefault="00403F63" w:rsidP="003E76A2">
      <w:r>
        <w:separator/>
      </w:r>
    </w:p>
  </w:endnote>
  <w:endnote w:type="continuationSeparator" w:id="0">
    <w:p w14:paraId="74C845DD" w14:textId="77777777" w:rsidR="00403F63" w:rsidRDefault="00403F63" w:rsidP="003E76A2">
      <w:r>
        <w:continuationSeparator/>
      </w:r>
    </w:p>
  </w:endnote>
  <w:endnote w:type="continuationNotice" w:id="1">
    <w:p w14:paraId="57C63FB6" w14:textId="77777777" w:rsidR="00403F63" w:rsidRDefault="00403F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A5AA7" w14:textId="77777777" w:rsidR="00403F63" w:rsidRDefault="00403F63" w:rsidP="003E76A2">
      <w:r>
        <w:separator/>
      </w:r>
    </w:p>
  </w:footnote>
  <w:footnote w:type="continuationSeparator" w:id="0">
    <w:p w14:paraId="01B7B451" w14:textId="77777777" w:rsidR="00403F63" w:rsidRDefault="00403F63" w:rsidP="003E76A2">
      <w:r>
        <w:continuationSeparator/>
      </w:r>
    </w:p>
  </w:footnote>
  <w:footnote w:type="continuationNotice" w:id="1">
    <w:p w14:paraId="6A4A085F" w14:textId="77777777" w:rsidR="00403F63" w:rsidRDefault="00403F63"/>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71F61"/>
    <w:rsid w:val="000B4B03"/>
    <w:rsid w:val="00127072"/>
    <w:rsid w:val="00160509"/>
    <w:rsid w:val="00167936"/>
    <w:rsid w:val="00197DE6"/>
    <w:rsid w:val="001B0DAA"/>
    <w:rsid w:val="001C20BE"/>
    <w:rsid w:val="00232DEB"/>
    <w:rsid w:val="00245033"/>
    <w:rsid w:val="002644D2"/>
    <w:rsid w:val="002677E0"/>
    <w:rsid w:val="002833BF"/>
    <w:rsid w:val="002B50EC"/>
    <w:rsid w:val="002E1223"/>
    <w:rsid w:val="002F26A1"/>
    <w:rsid w:val="00341F19"/>
    <w:rsid w:val="0035292C"/>
    <w:rsid w:val="00366927"/>
    <w:rsid w:val="00385DB6"/>
    <w:rsid w:val="00387F4E"/>
    <w:rsid w:val="003956F5"/>
    <w:rsid w:val="003A44D5"/>
    <w:rsid w:val="003E76A2"/>
    <w:rsid w:val="00403F63"/>
    <w:rsid w:val="00411462"/>
    <w:rsid w:val="004221C5"/>
    <w:rsid w:val="004326F5"/>
    <w:rsid w:val="0044103B"/>
    <w:rsid w:val="004527D9"/>
    <w:rsid w:val="004645F6"/>
    <w:rsid w:val="004B56B6"/>
    <w:rsid w:val="004C415A"/>
    <w:rsid w:val="004D4062"/>
    <w:rsid w:val="0050133A"/>
    <w:rsid w:val="00514597"/>
    <w:rsid w:val="005257E9"/>
    <w:rsid w:val="00596DE8"/>
    <w:rsid w:val="005A07BB"/>
    <w:rsid w:val="005B06E9"/>
    <w:rsid w:val="00603D8C"/>
    <w:rsid w:val="00604D26"/>
    <w:rsid w:val="00627077"/>
    <w:rsid w:val="00663FAD"/>
    <w:rsid w:val="0069669C"/>
    <w:rsid w:val="007015EE"/>
    <w:rsid w:val="00705C9C"/>
    <w:rsid w:val="00812E0D"/>
    <w:rsid w:val="0081474E"/>
    <w:rsid w:val="00834569"/>
    <w:rsid w:val="00841C77"/>
    <w:rsid w:val="00844DE4"/>
    <w:rsid w:val="00875CDF"/>
    <w:rsid w:val="00887819"/>
    <w:rsid w:val="008C4CAC"/>
    <w:rsid w:val="009166FC"/>
    <w:rsid w:val="0092757A"/>
    <w:rsid w:val="00961D9C"/>
    <w:rsid w:val="009C6514"/>
    <w:rsid w:val="009F030F"/>
    <w:rsid w:val="00A013CB"/>
    <w:rsid w:val="00A148CC"/>
    <w:rsid w:val="00A30926"/>
    <w:rsid w:val="00A5072F"/>
    <w:rsid w:val="00B079F4"/>
    <w:rsid w:val="00B466BE"/>
    <w:rsid w:val="00BA60DA"/>
    <w:rsid w:val="00BB715C"/>
    <w:rsid w:val="00C4635D"/>
    <w:rsid w:val="00C9500B"/>
    <w:rsid w:val="00D12369"/>
    <w:rsid w:val="00D51F84"/>
    <w:rsid w:val="00DA6320"/>
    <w:rsid w:val="00DF64EA"/>
    <w:rsid w:val="00E14B1E"/>
    <w:rsid w:val="00E155B9"/>
    <w:rsid w:val="00E84456"/>
    <w:rsid w:val="00EB5D2A"/>
    <w:rsid w:val="00ED64D7"/>
    <w:rsid w:val="00F020A3"/>
    <w:rsid w:val="00F3380E"/>
    <w:rsid w:val="00F91D59"/>
    <w:rsid w:val="00FC18FC"/>
    <w:rsid w:val="00FF21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375</Words>
  <Characters>2101</Characters>
  <Application>Microsoft Office Word</Application>
  <DocSecurity>0</DocSecurity>
  <Lines>262</Lines>
  <Paragraphs>107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Faizu Edu</cp:lastModifiedBy>
  <cp:revision>14</cp:revision>
  <dcterms:created xsi:type="dcterms:W3CDTF">2026-03-18T00:25:00Z</dcterms:created>
  <dcterms:modified xsi:type="dcterms:W3CDTF">2026-03-18T02:22:00Z</dcterms:modified>
</cp:coreProperties>
</file>