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53D4" w:rsidRPr="00BA53D4" w:rsidRDefault="00BA53D4" w:rsidP="00BA53D4">
      <w:pPr>
        <w:pStyle w:val="BodyText"/>
        <w:rPr>
          <w:rFonts w:ascii="Georgia" w:hAnsi="Georgia"/>
        </w:rPr>
      </w:pPr>
      <w:r>
        <w:rPr>
          <w:rFonts w:ascii="Georgia" w:hAnsi="Georgia"/>
          <w:b/>
        </w:rPr>
        <w:t xml:space="preserve">AHHI6013 </w:t>
      </w:r>
      <w:bookmarkStart w:id="0" w:name="_GoBack"/>
      <w:bookmarkEnd w:id="0"/>
      <w:r w:rsidRPr="00BA53D4">
        <w:rPr>
          <w:rFonts w:ascii="Georgia" w:hAnsi="Georgia"/>
          <w:b/>
        </w:rPr>
        <w:t xml:space="preserve">Assessment 1: Essay </w:t>
      </w:r>
      <w:r w:rsidRPr="00BA53D4">
        <w:rPr>
          <w:rFonts w:ascii="Georgia" w:hAnsi="Georgia"/>
        </w:rPr>
        <w:t xml:space="preserve">– 3000 words (worth 60%). Answer one question from the list below: </w:t>
      </w:r>
    </w:p>
    <w:p w:rsidR="00BA53D4" w:rsidRPr="00BA53D4" w:rsidRDefault="00BA53D4" w:rsidP="00BA53D4">
      <w:pPr>
        <w:pStyle w:val="BodyText"/>
        <w:rPr>
          <w:rFonts w:ascii="Georgia" w:hAnsi="Georgia"/>
          <w:b/>
        </w:rPr>
      </w:pPr>
      <w:r w:rsidRPr="00BA53D4">
        <w:rPr>
          <w:rFonts w:ascii="Georgia" w:hAnsi="Georgia"/>
          <w:b/>
        </w:rPr>
        <w:t>The deadline for submission is:   Friday 15</w:t>
      </w:r>
      <w:r w:rsidRPr="00BA53D4">
        <w:rPr>
          <w:rFonts w:ascii="Georgia" w:hAnsi="Georgia"/>
          <w:b/>
          <w:vertAlign w:val="superscript"/>
        </w:rPr>
        <w:t>th</w:t>
      </w:r>
      <w:r w:rsidRPr="00BA53D4">
        <w:rPr>
          <w:rFonts w:ascii="Georgia" w:hAnsi="Georgia"/>
          <w:b/>
        </w:rPr>
        <w:t xml:space="preserve"> December 2017</w:t>
      </w:r>
    </w:p>
    <w:p w:rsidR="00BA53D4" w:rsidRPr="00BA53D4" w:rsidRDefault="00BA53D4" w:rsidP="00BA53D4">
      <w:pPr>
        <w:pStyle w:val="BodyText"/>
        <w:rPr>
          <w:rFonts w:ascii="Georgia" w:hAnsi="Georgia"/>
          <w:b/>
        </w:rPr>
      </w:pPr>
    </w:p>
    <w:p w:rsidR="00BA53D4" w:rsidRPr="00BA53D4" w:rsidRDefault="00BA53D4" w:rsidP="00BA53D4">
      <w:pPr>
        <w:numPr>
          <w:ilvl w:val="0"/>
          <w:numId w:val="2"/>
        </w:numPr>
        <w:suppressAutoHyphens/>
        <w:autoSpaceDN w:val="0"/>
        <w:spacing w:after="200" w:line="276" w:lineRule="auto"/>
        <w:jc w:val="both"/>
        <w:textAlignment w:val="baseline"/>
        <w:rPr>
          <w:rFonts w:ascii="Georgia" w:hAnsi="Georgia"/>
          <w:sz w:val="22"/>
          <w:szCs w:val="22"/>
        </w:rPr>
      </w:pPr>
      <w:r w:rsidRPr="00BA53D4">
        <w:rPr>
          <w:rFonts w:ascii="Georgia" w:hAnsi="Georgia"/>
          <w:sz w:val="22"/>
          <w:szCs w:val="22"/>
        </w:rPr>
        <w:t xml:space="preserve">Cesare Beccaria’s </w:t>
      </w:r>
      <w:r w:rsidRPr="00BA53D4">
        <w:rPr>
          <w:rFonts w:ascii="Georgia" w:hAnsi="Georgia"/>
          <w:i/>
          <w:sz w:val="22"/>
          <w:szCs w:val="22"/>
        </w:rPr>
        <w:t>On Crime and Punishment</w:t>
      </w:r>
      <w:r w:rsidRPr="00BA53D4">
        <w:rPr>
          <w:rFonts w:ascii="Georgia" w:hAnsi="Georgia"/>
          <w:sz w:val="22"/>
          <w:szCs w:val="22"/>
        </w:rPr>
        <w:t xml:space="preserve"> had a profound impact upon the law makers of the Enlightenment period. Discuss with specific reference to the so called ‘Enlightened Despots’. </w:t>
      </w:r>
    </w:p>
    <w:p w:rsidR="00BA53D4" w:rsidRPr="00BA53D4" w:rsidRDefault="00BA53D4" w:rsidP="00BA53D4">
      <w:pPr>
        <w:numPr>
          <w:ilvl w:val="0"/>
          <w:numId w:val="1"/>
        </w:numPr>
        <w:suppressAutoHyphens/>
        <w:autoSpaceDN w:val="0"/>
        <w:spacing w:after="200" w:line="276" w:lineRule="auto"/>
        <w:jc w:val="both"/>
        <w:textAlignment w:val="baseline"/>
        <w:rPr>
          <w:rFonts w:ascii="Georgia" w:eastAsia="Calibri" w:hAnsi="Georgia"/>
          <w:sz w:val="22"/>
          <w:szCs w:val="22"/>
        </w:rPr>
      </w:pPr>
      <w:r w:rsidRPr="00BA53D4">
        <w:rPr>
          <w:rFonts w:ascii="Georgia" w:eastAsia="Calibri" w:hAnsi="Georgia"/>
          <w:sz w:val="22"/>
          <w:szCs w:val="22"/>
        </w:rPr>
        <w:t xml:space="preserve">Michel Foucault posited that “prisons resemble factories, schools, barracks [and] hospitals, which all resemble prisons.” What does this quotation tell us about Foucault’s conception of ‘disciplinary society,’ and how persuasive do you find his ideas? </w:t>
      </w:r>
    </w:p>
    <w:p w:rsidR="00BA53D4" w:rsidRPr="00BA53D4" w:rsidRDefault="00BA53D4" w:rsidP="00BA53D4">
      <w:pPr>
        <w:numPr>
          <w:ilvl w:val="0"/>
          <w:numId w:val="1"/>
        </w:numPr>
        <w:suppressAutoHyphens/>
        <w:autoSpaceDN w:val="0"/>
        <w:spacing w:after="200" w:line="276" w:lineRule="auto"/>
        <w:jc w:val="both"/>
        <w:textAlignment w:val="baseline"/>
        <w:rPr>
          <w:rFonts w:ascii="Georgia" w:eastAsia="Calibri" w:hAnsi="Georgia"/>
          <w:sz w:val="22"/>
          <w:szCs w:val="22"/>
        </w:rPr>
      </w:pPr>
      <w:r w:rsidRPr="00BA53D4">
        <w:rPr>
          <w:rFonts w:ascii="Georgia" w:eastAsia="Calibri" w:hAnsi="Georgia"/>
          <w:sz w:val="22"/>
          <w:szCs w:val="22"/>
        </w:rPr>
        <w:t>What challenges faced the British State when confronted with the rise of a more militant women’s Suffrage movement in the early years of the twentieth century, and how effective was the response</w:t>
      </w:r>
      <w:r w:rsidRPr="00BA53D4">
        <w:rPr>
          <w:rFonts w:ascii="Georgia" w:eastAsia="Calibri" w:hAnsi="Georgia" w:cs="Arial"/>
          <w:sz w:val="22"/>
          <w:szCs w:val="22"/>
        </w:rPr>
        <w:t xml:space="preserve">? </w:t>
      </w:r>
    </w:p>
    <w:p w:rsidR="00BA53D4" w:rsidRPr="00BA53D4" w:rsidRDefault="00BA53D4" w:rsidP="00BA53D4">
      <w:pPr>
        <w:numPr>
          <w:ilvl w:val="0"/>
          <w:numId w:val="1"/>
        </w:numPr>
        <w:suppressAutoHyphens/>
        <w:autoSpaceDN w:val="0"/>
        <w:spacing w:after="200" w:line="276" w:lineRule="auto"/>
        <w:jc w:val="both"/>
        <w:textAlignment w:val="baseline"/>
        <w:rPr>
          <w:rFonts w:ascii="Georgia" w:eastAsia="Calibri" w:hAnsi="Georgia"/>
          <w:sz w:val="22"/>
          <w:szCs w:val="22"/>
        </w:rPr>
      </w:pPr>
      <w:r w:rsidRPr="00BA53D4">
        <w:rPr>
          <w:rFonts w:ascii="Georgia" w:eastAsia="Calibri" w:hAnsi="Georgia"/>
          <w:sz w:val="22"/>
          <w:szCs w:val="22"/>
        </w:rPr>
        <w:t>Taking into consideration the political divisions evident in Germany during the 1920s, did reactions to civil disobedience and unrest within the Weimar state inevitably lead to autocratic and authoritarian rule?</w:t>
      </w:r>
    </w:p>
    <w:p w:rsidR="00BA53D4" w:rsidRPr="00BA53D4" w:rsidRDefault="00BA53D4" w:rsidP="00BA53D4">
      <w:pPr>
        <w:numPr>
          <w:ilvl w:val="0"/>
          <w:numId w:val="1"/>
        </w:numPr>
        <w:suppressAutoHyphens/>
        <w:autoSpaceDN w:val="0"/>
        <w:spacing w:after="200" w:line="276" w:lineRule="auto"/>
        <w:jc w:val="both"/>
        <w:textAlignment w:val="baseline"/>
        <w:rPr>
          <w:rFonts w:ascii="Georgia" w:hAnsi="Georgia"/>
          <w:sz w:val="22"/>
          <w:szCs w:val="22"/>
        </w:rPr>
      </w:pPr>
      <w:r w:rsidRPr="00BA53D4">
        <w:rPr>
          <w:rFonts w:ascii="Georgia" w:hAnsi="Georgia"/>
          <w:color w:val="000000"/>
          <w:sz w:val="22"/>
          <w:szCs w:val="22"/>
          <w:lang w:eastAsia="en-GB"/>
        </w:rPr>
        <w:t>Describing life in the German Democratic Republic (GDR), the narrator of Christa Wolf’s story ‘What Remains?’ remarks that “all the while I was observing myself from a particular height.” How do you interpret this quotation, and what insights does it shed on the experience of surveillance in GDR society?</w:t>
      </w:r>
    </w:p>
    <w:p w:rsidR="00BA53D4" w:rsidRPr="00BA53D4" w:rsidRDefault="00BA53D4" w:rsidP="00BA53D4">
      <w:pPr>
        <w:numPr>
          <w:ilvl w:val="0"/>
          <w:numId w:val="1"/>
        </w:numPr>
        <w:suppressAutoHyphens/>
        <w:autoSpaceDN w:val="0"/>
        <w:spacing w:after="200" w:line="276" w:lineRule="auto"/>
        <w:jc w:val="both"/>
        <w:textAlignment w:val="baseline"/>
        <w:rPr>
          <w:rFonts w:ascii="Georgia" w:hAnsi="Georgia"/>
          <w:sz w:val="22"/>
          <w:szCs w:val="22"/>
        </w:rPr>
      </w:pPr>
      <w:r w:rsidRPr="00BA53D4">
        <w:rPr>
          <w:rFonts w:ascii="Georgia" w:hAnsi="Georgia"/>
          <w:bCs/>
          <w:sz w:val="22"/>
          <w:szCs w:val="22"/>
        </w:rPr>
        <w:t>In the 1960s, Stanley Cohen developed the concept of ‘moral panic’ in his sociological study of the mods and rockers. What are the key features of Cohen’s theories, and what insights might they shed on other youth ‘subcultures’ of the late 20</w:t>
      </w:r>
      <w:r w:rsidRPr="00BA53D4">
        <w:rPr>
          <w:rFonts w:ascii="Georgia" w:hAnsi="Georgia"/>
          <w:bCs/>
          <w:sz w:val="22"/>
          <w:szCs w:val="22"/>
          <w:vertAlign w:val="superscript"/>
        </w:rPr>
        <w:t>th</w:t>
      </w:r>
      <w:r w:rsidRPr="00BA53D4">
        <w:rPr>
          <w:rFonts w:ascii="Georgia" w:hAnsi="Georgia"/>
          <w:bCs/>
          <w:sz w:val="22"/>
          <w:szCs w:val="22"/>
        </w:rPr>
        <w:t xml:space="preserve"> century?  </w:t>
      </w:r>
    </w:p>
    <w:p w:rsidR="00BA53D4" w:rsidRPr="00BA53D4" w:rsidRDefault="00BA53D4" w:rsidP="00BA53D4">
      <w:pPr>
        <w:numPr>
          <w:ilvl w:val="0"/>
          <w:numId w:val="1"/>
        </w:numPr>
        <w:autoSpaceDN w:val="0"/>
        <w:spacing w:after="200" w:line="276" w:lineRule="auto"/>
        <w:jc w:val="both"/>
        <w:rPr>
          <w:rFonts w:ascii="Georgia" w:hAnsi="Georgia"/>
          <w:bCs/>
          <w:sz w:val="22"/>
          <w:szCs w:val="22"/>
        </w:rPr>
      </w:pPr>
      <w:r w:rsidRPr="00BA53D4">
        <w:rPr>
          <w:rFonts w:ascii="Georgia" w:hAnsi="Georgia"/>
          <w:bCs/>
          <w:sz w:val="22"/>
          <w:szCs w:val="22"/>
        </w:rPr>
        <w:t xml:space="preserve">The </w:t>
      </w:r>
      <w:proofErr w:type="spellStart"/>
      <w:r w:rsidRPr="00BA53D4">
        <w:rPr>
          <w:rFonts w:ascii="Georgia" w:hAnsi="Georgia"/>
          <w:bCs/>
          <w:sz w:val="22"/>
          <w:szCs w:val="22"/>
        </w:rPr>
        <w:t>Scarman</w:t>
      </w:r>
      <w:proofErr w:type="spellEnd"/>
      <w:r w:rsidRPr="00BA53D4">
        <w:rPr>
          <w:rFonts w:ascii="Georgia" w:hAnsi="Georgia"/>
          <w:bCs/>
          <w:sz w:val="22"/>
          <w:szCs w:val="22"/>
        </w:rPr>
        <w:t xml:space="preserve"> Report concluded that the 1981 riots were the consequence of “complex political, social and economic factors” that produced “a disposition towards violent protest” in Britain’s inner cities. Explain the rationale behind </w:t>
      </w:r>
      <w:proofErr w:type="spellStart"/>
      <w:r w:rsidRPr="00BA53D4">
        <w:rPr>
          <w:rFonts w:ascii="Georgia" w:hAnsi="Georgia"/>
          <w:bCs/>
          <w:sz w:val="22"/>
          <w:szCs w:val="22"/>
        </w:rPr>
        <w:t>Scarman’s</w:t>
      </w:r>
      <w:proofErr w:type="spellEnd"/>
      <w:r w:rsidRPr="00BA53D4">
        <w:rPr>
          <w:rFonts w:ascii="Georgia" w:hAnsi="Georgia"/>
          <w:bCs/>
          <w:sz w:val="22"/>
          <w:szCs w:val="22"/>
        </w:rPr>
        <w:t xml:space="preserve"> conclusion, and assess the role of a) racial discrimination and b) police strategies in fostering the riots.</w:t>
      </w:r>
    </w:p>
    <w:p w:rsidR="00BA53D4" w:rsidRPr="00BA53D4" w:rsidRDefault="00BA53D4" w:rsidP="00BA53D4">
      <w:pPr>
        <w:pStyle w:val="NoSpacing"/>
        <w:numPr>
          <w:ilvl w:val="0"/>
          <w:numId w:val="1"/>
        </w:numPr>
        <w:autoSpaceDN w:val="0"/>
        <w:jc w:val="both"/>
        <w:rPr>
          <w:rFonts w:ascii="Georgia" w:hAnsi="Georgia"/>
          <w:sz w:val="22"/>
          <w:szCs w:val="22"/>
        </w:rPr>
      </w:pPr>
      <w:r w:rsidRPr="00BA53D4">
        <w:rPr>
          <w:rFonts w:ascii="Georgia" w:hAnsi="Georgia"/>
          <w:sz w:val="22"/>
          <w:szCs w:val="22"/>
        </w:rPr>
        <w:t xml:space="preserve">Faced with an increasing para-military threat and mounting violence and bloodshed, in what ways did the British Government’s approach towards security issues in Northern Ireland change during the first decade of ‘The Troubles’,  and how effective were these changes? </w:t>
      </w:r>
    </w:p>
    <w:p w:rsidR="00BA53D4" w:rsidRPr="00BA53D4" w:rsidRDefault="00BA53D4" w:rsidP="00BA53D4">
      <w:pPr>
        <w:pStyle w:val="NoSpacing"/>
        <w:jc w:val="both"/>
        <w:rPr>
          <w:rFonts w:ascii="Georgia" w:hAnsi="Georgia"/>
          <w:bCs/>
          <w:sz w:val="22"/>
          <w:szCs w:val="22"/>
        </w:rPr>
      </w:pPr>
    </w:p>
    <w:p w:rsidR="00BA53D4" w:rsidRPr="00BA53D4" w:rsidRDefault="00BA53D4" w:rsidP="00BA53D4">
      <w:pPr>
        <w:numPr>
          <w:ilvl w:val="0"/>
          <w:numId w:val="1"/>
        </w:numPr>
        <w:autoSpaceDN w:val="0"/>
        <w:spacing w:after="200" w:line="276" w:lineRule="auto"/>
        <w:jc w:val="both"/>
        <w:rPr>
          <w:rFonts w:ascii="Georgia" w:hAnsi="Georgia"/>
          <w:sz w:val="22"/>
          <w:szCs w:val="22"/>
        </w:rPr>
      </w:pPr>
      <w:r w:rsidRPr="00BA53D4">
        <w:rPr>
          <w:rFonts w:ascii="Georgia" w:hAnsi="Georgia"/>
          <w:bCs/>
          <w:sz w:val="22"/>
          <w:szCs w:val="22"/>
        </w:rPr>
        <w:t>In 1984, Margaret Thatcher warned of the threat posed to British society by what she called “</w:t>
      </w:r>
      <w:r w:rsidRPr="00BA53D4">
        <w:rPr>
          <w:rFonts w:ascii="Georgia" w:hAnsi="Georgia"/>
          <w:sz w:val="22"/>
          <w:szCs w:val="22"/>
        </w:rPr>
        <w:t xml:space="preserve">the enemy within.” Which individuals or social groups do you think Thatcher had in mind, and in what ways did state authorities seek to redress their supposed threat? </w:t>
      </w:r>
    </w:p>
    <w:p w:rsidR="00803F09" w:rsidRDefault="00803F09"/>
    <w:sectPr w:rsidR="00803F09" w:rsidSect="00BA53D4">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0F72DBE"/>
    <w:multiLevelType w:val="multilevel"/>
    <w:tmpl w:val="3736809E"/>
    <w:lvl w:ilvl="0">
      <w:start w:val="1"/>
      <w:numFmt w:val="decimal"/>
      <w:lvlText w:val="%1."/>
      <w:lvlJc w:val="left"/>
      <w:pPr>
        <w:ind w:left="360" w:hanging="360"/>
      </w:pPr>
      <w:rPr>
        <w:rFonts w:eastAsia="Times New Roman"/>
      </w:rPr>
    </w:lvl>
    <w:lvl w:ilvl="1">
      <w:start w:val="1"/>
      <w:numFmt w:val="lowerLetter"/>
      <w:lvlText w:val="%2."/>
      <w:lvlJc w:val="left"/>
      <w:pPr>
        <w:ind w:left="502" w:hanging="360"/>
      </w:pPr>
    </w:lvl>
    <w:lvl w:ilvl="2">
      <w:start w:val="1"/>
      <w:numFmt w:val="lowerRoman"/>
      <w:lvlText w:val="%3."/>
      <w:lvlJc w:val="right"/>
      <w:pPr>
        <w:ind w:left="1942" w:hanging="180"/>
      </w:pPr>
    </w:lvl>
    <w:lvl w:ilvl="3">
      <w:start w:val="1"/>
      <w:numFmt w:val="decimal"/>
      <w:lvlText w:val="%4."/>
      <w:lvlJc w:val="left"/>
      <w:pPr>
        <w:ind w:left="2662" w:hanging="360"/>
      </w:pPr>
    </w:lvl>
    <w:lvl w:ilvl="4">
      <w:start w:val="1"/>
      <w:numFmt w:val="lowerLetter"/>
      <w:lvlText w:val="%5."/>
      <w:lvlJc w:val="left"/>
      <w:pPr>
        <w:ind w:left="3382" w:hanging="360"/>
      </w:pPr>
    </w:lvl>
    <w:lvl w:ilvl="5">
      <w:start w:val="1"/>
      <w:numFmt w:val="lowerRoman"/>
      <w:lvlText w:val="%6."/>
      <w:lvlJc w:val="right"/>
      <w:pPr>
        <w:ind w:left="4102" w:hanging="180"/>
      </w:pPr>
    </w:lvl>
    <w:lvl w:ilvl="6">
      <w:start w:val="1"/>
      <w:numFmt w:val="decimal"/>
      <w:lvlText w:val="%7."/>
      <w:lvlJc w:val="left"/>
      <w:pPr>
        <w:ind w:left="4822" w:hanging="360"/>
      </w:pPr>
    </w:lvl>
    <w:lvl w:ilvl="7">
      <w:start w:val="1"/>
      <w:numFmt w:val="lowerLetter"/>
      <w:lvlText w:val="%8."/>
      <w:lvlJc w:val="left"/>
      <w:pPr>
        <w:ind w:left="5542" w:hanging="360"/>
      </w:pPr>
    </w:lvl>
    <w:lvl w:ilvl="8">
      <w:start w:val="1"/>
      <w:numFmt w:val="lowerRoman"/>
      <w:lvlText w:val="%9."/>
      <w:lvlJc w:val="right"/>
      <w:pPr>
        <w:ind w:left="6262" w:hanging="180"/>
      </w:pPr>
    </w:lvl>
  </w:abstractNum>
  <w:num w:numId="1">
    <w:abstractNumId w:val="0"/>
  </w:num>
  <w:num w:numId="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53D4"/>
    <w:rsid w:val="001676A3"/>
    <w:rsid w:val="001F7B50"/>
    <w:rsid w:val="00232BEA"/>
    <w:rsid w:val="00632EEC"/>
    <w:rsid w:val="00761690"/>
    <w:rsid w:val="00803F09"/>
    <w:rsid w:val="00825E28"/>
    <w:rsid w:val="00A575F9"/>
    <w:rsid w:val="00BA53D4"/>
    <w:rsid w:val="00DD115F"/>
    <w:rsid w:val="00F02960"/>
    <w:rsid w:val="00F77C47"/>
    <w:rsid w:val="00FA14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9DE896-76CD-4A9D-8679-D025B33E3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53D4"/>
    <w:pPr>
      <w:spacing w:after="0" w:line="240" w:lineRule="auto"/>
    </w:pPr>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A53D4"/>
    <w:pPr>
      <w:jc w:val="both"/>
    </w:pPr>
  </w:style>
  <w:style w:type="character" w:customStyle="1" w:styleId="BodyTextChar">
    <w:name w:val="Body Text Char"/>
    <w:basedOn w:val="DefaultParagraphFont"/>
    <w:link w:val="BodyText"/>
    <w:rsid w:val="00BA53D4"/>
    <w:rPr>
      <w:rFonts w:ascii="Times New Roman" w:eastAsia="Times New Roman" w:hAnsi="Times New Roman" w:cs="Times New Roman"/>
      <w:sz w:val="24"/>
      <w:szCs w:val="24"/>
      <w:lang w:val="en-GB"/>
    </w:rPr>
  </w:style>
  <w:style w:type="paragraph" w:styleId="ListParagraph">
    <w:name w:val="List Paragraph"/>
    <w:basedOn w:val="Normal"/>
    <w:qFormat/>
    <w:rsid w:val="00BA53D4"/>
    <w:pPr>
      <w:suppressAutoHyphens/>
      <w:autoSpaceDN w:val="0"/>
      <w:spacing w:after="200" w:line="276" w:lineRule="auto"/>
      <w:ind w:left="720"/>
      <w:textAlignment w:val="baseline"/>
    </w:pPr>
    <w:rPr>
      <w:rFonts w:ascii="Calibri" w:eastAsia="Calibri" w:hAnsi="Calibri"/>
      <w:sz w:val="22"/>
      <w:szCs w:val="22"/>
    </w:rPr>
  </w:style>
  <w:style w:type="paragraph" w:styleId="NoSpacing">
    <w:name w:val="No Spacing"/>
    <w:qFormat/>
    <w:rsid w:val="00BA53D4"/>
    <w:pPr>
      <w:spacing w:after="0"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365</Words>
  <Characters>2085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2017-11-23T17:01:00Z</dcterms:created>
  <dcterms:modified xsi:type="dcterms:W3CDTF">2017-11-23T17:03:00Z</dcterms:modified>
</cp:coreProperties>
</file>