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C5751" w14:textId="77777777" w:rsidR="00A46016" w:rsidRPr="00F0371C" w:rsidRDefault="00A46016" w:rsidP="00A46016">
      <w:pPr>
        <w:spacing w:line="360" w:lineRule="auto"/>
        <w:jc w:val="center"/>
        <w:rPr>
          <w:rFonts w:ascii="Times New Roman" w:hAnsi="Times New Roman" w:cs="Times New Roman"/>
          <w:b/>
          <w:bCs/>
          <w:sz w:val="32"/>
          <w:szCs w:val="32"/>
        </w:rPr>
      </w:pPr>
    </w:p>
    <w:p w14:paraId="273E9F03" w14:textId="5F917018" w:rsidR="00A46016" w:rsidRPr="00F0371C" w:rsidRDefault="00997D9C" w:rsidP="00A46016">
      <w:pPr>
        <w:spacing w:line="360" w:lineRule="auto"/>
        <w:jc w:val="center"/>
        <w:rPr>
          <w:rFonts w:ascii="Times New Roman" w:hAnsi="Times New Roman" w:cs="Times New Roman"/>
          <w:b/>
          <w:bCs/>
          <w:sz w:val="32"/>
          <w:szCs w:val="32"/>
        </w:rPr>
      </w:pPr>
      <w:r w:rsidRPr="00F0371C">
        <w:rPr>
          <w:rFonts w:ascii="Times New Roman" w:hAnsi="Times New Roman" w:cs="Times New Roman"/>
          <w:b/>
          <w:bCs/>
          <w:noProof/>
          <w:sz w:val="32"/>
          <w:szCs w:val="32"/>
        </w:rPr>
        <w:drawing>
          <wp:inline distT="0" distB="0" distL="0" distR="0" wp14:anchorId="69863A3C" wp14:editId="4F91BDEE">
            <wp:extent cx="3413760" cy="1775460"/>
            <wp:effectExtent l="0" t="0" r="0" b="0"/>
            <wp:docPr id="1934397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397840" name="Picture 1934397840"/>
                    <pic:cNvPicPr/>
                  </pic:nvPicPr>
                  <pic:blipFill>
                    <a:blip r:embed="rId7">
                      <a:extLst>
                        <a:ext uri="{28A0092B-C50C-407E-A947-70E740481C1C}">
                          <a14:useLocalDpi xmlns:a14="http://schemas.microsoft.com/office/drawing/2010/main" val="0"/>
                        </a:ext>
                      </a:extLst>
                    </a:blip>
                    <a:stretch>
                      <a:fillRect/>
                    </a:stretch>
                  </pic:blipFill>
                  <pic:spPr>
                    <a:xfrm>
                      <a:off x="0" y="0"/>
                      <a:ext cx="3413760" cy="1775460"/>
                    </a:xfrm>
                    <a:prstGeom prst="rect">
                      <a:avLst/>
                    </a:prstGeom>
                  </pic:spPr>
                </pic:pic>
              </a:graphicData>
            </a:graphic>
          </wp:inline>
        </w:drawing>
      </w:r>
    </w:p>
    <w:p w14:paraId="5A3B872D" w14:textId="77777777" w:rsidR="00A46016" w:rsidRPr="00F0371C" w:rsidRDefault="00A46016" w:rsidP="00D27F88">
      <w:pPr>
        <w:spacing w:line="360" w:lineRule="auto"/>
        <w:rPr>
          <w:rFonts w:ascii="Times New Roman" w:hAnsi="Times New Roman" w:cs="Times New Roman"/>
          <w:b/>
          <w:bCs/>
          <w:sz w:val="32"/>
          <w:szCs w:val="32"/>
        </w:rPr>
      </w:pPr>
    </w:p>
    <w:p w14:paraId="38BDB16C" w14:textId="77777777" w:rsidR="00A46016" w:rsidRPr="00F0371C" w:rsidRDefault="00A46016" w:rsidP="00A46016">
      <w:pPr>
        <w:spacing w:line="360" w:lineRule="auto"/>
        <w:jc w:val="center"/>
        <w:rPr>
          <w:rFonts w:ascii="Times New Roman" w:hAnsi="Times New Roman" w:cs="Times New Roman"/>
          <w:b/>
          <w:bCs/>
          <w:sz w:val="32"/>
          <w:szCs w:val="32"/>
        </w:rPr>
      </w:pPr>
    </w:p>
    <w:p w14:paraId="604C6189" w14:textId="77777777" w:rsidR="00A46016" w:rsidRPr="00F0371C" w:rsidRDefault="00A46016" w:rsidP="00A46016">
      <w:pPr>
        <w:spacing w:line="360" w:lineRule="auto"/>
        <w:jc w:val="center"/>
        <w:rPr>
          <w:rFonts w:ascii="Times New Roman" w:hAnsi="Times New Roman" w:cs="Times New Roman"/>
          <w:b/>
          <w:bCs/>
          <w:sz w:val="32"/>
          <w:szCs w:val="32"/>
        </w:rPr>
      </w:pPr>
      <w:r w:rsidRPr="00F0371C">
        <w:rPr>
          <w:rFonts w:ascii="Times New Roman" w:hAnsi="Times New Roman" w:cs="Times New Roman"/>
          <w:b/>
          <w:bCs/>
          <w:sz w:val="32"/>
          <w:szCs w:val="32"/>
        </w:rPr>
        <w:t>ASSESSMENT COMPONENT 1: MARKETING ENVIRONMENT ANALYSIS</w:t>
      </w:r>
    </w:p>
    <w:p w14:paraId="6D46B4C9" w14:textId="77777777" w:rsidR="00A46016" w:rsidRPr="00F0371C" w:rsidRDefault="00A46016" w:rsidP="00A46016">
      <w:pPr>
        <w:spacing w:line="360" w:lineRule="auto"/>
        <w:jc w:val="center"/>
        <w:rPr>
          <w:rFonts w:ascii="Times New Roman" w:hAnsi="Times New Roman" w:cs="Times New Roman"/>
        </w:rPr>
      </w:pPr>
      <w:r w:rsidRPr="00F0371C">
        <w:rPr>
          <w:rFonts w:ascii="Times New Roman" w:hAnsi="Times New Roman" w:cs="Times New Roman"/>
        </w:rPr>
        <w:t>Module: Marketing Management</w:t>
      </w:r>
    </w:p>
    <w:p w14:paraId="4C927210" w14:textId="77777777" w:rsidR="00A46016" w:rsidRPr="00F0371C" w:rsidRDefault="00A46016" w:rsidP="00A46016">
      <w:pPr>
        <w:spacing w:line="360" w:lineRule="auto"/>
        <w:jc w:val="center"/>
        <w:rPr>
          <w:rFonts w:ascii="Times New Roman" w:hAnsi="Times New Roman" w:cs="Times New Roman"/>
        </w:rPr>
      </w:pPr>
      <w:r w:rsidRPr="00F0371C">
        <w:rPr>
          <w:rFonts w:ascii="Times New Roman" w:hAnsi="Times New Roman" w:cs="Times New Roman"/>
        </w:rPr>
        <w:t>Module Code: LCMB7024</w:t>
      </w:r>
    </w:p>
    <w:p w14:paraId="292EB125" w14:textId="13D41AA6" w:rsidR="00A46016" w:rsidRPr="00F0371C" w:rsidRDefault="00A46016" w:rsidP="00A46016">
      <w:pPr>
        <w:spacing w:line="360" w:lineRule="auto"/>
        <w:jc w:val="center"/>
        <w:rPr>
          <w:rFonts w:ascii="Times New Roman" w:hAnsi="Times New Roman" w:cs="Times New Roman"/>
        </w:rPr>
      </w:pPr>
      <w:r w:rsidRPr="00F0371C">
        <w:rPr>
          <w:rFonts w:ascii="Times New Roman" w:hAnsi="Times New Roman" w:cs="Times New Roman"/>
        </w:rPr>
        <w:t xml:space="preserve">Lecturer: </w:t>
      </w:r>
      <w:r w:rsidR="00A86C77" w:rsidRPr="00F0371C">
        <w:rPr>
          <w:rFonts w:ascii="Times New Roman" w:hAnsi="Times New Roman" w:cs="Times New Roman"/>
        </w:rPr>
        <w:t xml:space="preserve">Dr </w:t>
      </w:r>
      <w:r w:rsidR="00997D9C" w:rsidRPr="00F0371C">
        <w:rPr>
          <w:rFonts w:ascii="Times New Roman" w:hAnsi="Times New Roman" w:cs="Times New Roman"/>
        </w:rPr>
        <w:t>Tushara Balendran</w:t>
      </w:r>
    </w:p>
    <w:p w14:paraId="7F4EB067" w14:textId="1B5DFED8" w:rsidR="00A46016" w:rsidRPr="00F0371C" w:rsidRDefault="00A46016" w:rsidP="00A46016">
      <w:pPr>
        <w:spacing w:line="360" w:lineRule="auto"/>
        <w:jc w:val="center"/>
        <w:rPr>
          <w:rFonts w:ascii="Times New Roman" w:eastAsia="Aptos" w:hAnsi="Times New Roman" w:cs="Times New Roman"/>
        </w:rPr>
      </w:pPr>
      <w:r w:rsidRPr="00F0371C">
        <w:rPr>
          <w:rFonts w:ascii="Times New Roman" w:eastAsia="Aptos" w:hAnsi="Times New Roman" w:cs="Times New Roman"/>
        </w:rPr>
        <w:t>Student Name:</w:t>
      </w:r>
      <w:r w:rsidR="00997D9C" w:rsidRPr="00F0371C">
        <w:rPr>
          <w:rFonts w:ascii="Times New Roman" w:eastAsia="Aptos" w:hAnsi="Times New Roman" w:cs="Times New Roman"/>
        </w:rPr>
        <w:t xml:space="preserve"> Minuddin Sarker</w:t>
      </w:r>
    </w:p>
    <w:p w14:paraId="08D26911" w14:textId="36984A01" w:rsidR="00A46016" w:rsidRPr="00F0371C" w:rsidRDefault="00A46016" w:rsidP="00A46016">
      <w:pPr>
        <w:spacing w:line="360" w:lineRule="auto"/>
        <w:jc w:val="center"/>
        <w:rPr>
          <w:rFonts w:ascii="Times New Roman" w:eastAsia="Aptos" w:hAnsi="Times New Roman" w:cs="Times New Roman"/>
        </w:rPr>
      </w:pPr>
      <w:r w:rsidRPr="00F0371C">
        <w:rPr>
          <w:rFonts w:ascii="Times New Roman" w:eastAsia="Aptos" w:hAnsi="Times New Roman" w:cs="Times New Roman"/>
        </w:rPr>
        <w:t>Student ID:</w:t>
      </w:r>
      <w:r w:rsidR="00997D9C" w:rsidRPr="00F0371C">
        <w:rPr>
          <w:rFonts w:ascii="Times New Roman" w:eastAsia="Aptos" w:hAnsi="Times New Roman" w:cs="Times New Roman"/>
        </w:rPr>
        <w:t xml:space="preserve"> 2503533</w:t>
      </w:r>
    </w:p>
    <w:p w14:paraId="7C38E0DB" w14:textId="0E010422" w:rsidR="00EA1353" w:rsidRPr="00F0371C" w:rsidRDefault="00EA1353" w:rsidP="00A46016">
      <w:pPr>
        <w:spacing w:line="360" w:lineRule="auto"/>
        <w:jc w:val="center"/>
        <w:rPr>
          <w:rFonts w:ascii="Times New Roman" w:eastAsia="Aptos" w:hAnsi="Times New Roman" w:cs="Times New Roman"/>
        </w:rPr>
      </w:pPr>
      <w:r w:rsidRPr="00F0371C">
        <w:rPr>
          <w:rFonts w:ascii="Times New Roman" w:eastAsia="Aptos" w:hAnsi="Times New Roman" w:cs="Times New Roman"/>
        </w:rPr>
        <w:t>Group: 03</w:t>
      </w:r>
    </w:p>
    <w:p w14:paraId="25FCCF3A" w14:textId="77777777" w:rsidR="00A46016" w:rsidRPr="00F0371C" w:rsidRDefault="00A46016">
      <w:pPr>
        <w:rPr>
          <w:rFonts w:ascii="Times New Roman" w:hAnsi="Times New Roman" w:cs="Times New Roman"/>
          <w:b/>
          <w:bCs/>
        </w:rPr>
      </w:pPr>
      <w:r w:rsidRPr="00F0371C">
        <w:br w:type="page"/>
      </w:r>
    </w:p>
    <w:sdt>
      <w:sdtPr>
        <w:rPr>
          <w:rFonts w:ascii="Times New Roman" w:eastAsiaTheme="minorHAnsi" w:hAnsi="Times New Roman" w:cs="Times New Roman"/>
          <w:color w:val="auto"/>
          <w:kern w:val="2"/>
          <w:sz w:val="24"/>
          <w:szCs w:val="24"/>
          <w14:ligatures w14:val="standardContextual"/>
        </w:rPr>
        <w:id w:val="818305901"/>
        <w:docPartObj>
          <w:docPartGallery w:val="Table of Contents"/>
          <w:docPartUnique/>
        </w:docPartObj>
      </w:sdtPr>
      <w:sdtEndPr>
        <w:rPr>
          <w:b/>
          <w:bCs/>
          <w:noProof/>
        </w:rPr>
      </w:sdtEndPr>
      <w:sdtContent>
        <w:p w14:paraId="51DE0698" w14:textId="7C3B35A8" w:rsidR="00A46016" w:rsidRPr="00F0371C" w:rsidRDefault="00A46016" w:rsidP="00A46016">
          <w:pPr>
            <w:pStyle w:val="TOCHeading"/>
            <w:spacing w:line="360" w:lineRule="auto"/>
            <w:jc w:val="center"/>
            <w:rPr>
              <w:rFonts w:ascii="Times New Roman" w:hAnsi="Times New Roman" w:cs="Times New Roman"/>
              <w:b/>
              <w:bCs/>
              <w:color w:val="auto"/>
              <w:sz w:val="24"/>
              <w:szCs w:val="24"/>
              <w:u w:val="single"/>
            </w:rPr>
          </w:pPr>
          <w:r w:rsidRPr="00F0371C">
            <w:rPr>
              <w:rFonts w:ascii="Times New Roman" w:hAnsi="Times New Roman" w:cs="Times New Roman"/>
              <w:b/>
              <w:bCs/>
              <w:color w:val="auto"/>
              <w:sz w:val="24"/>
              <w:szCs w:val="24"/>
              <w:u w:val="single"/>
            </w:rPr>
            <w:t>Table of Contents</w:t>
          </w:r>
        </w:p>
        <w:p w14:paraId="60796ACA" w14:textId="60935E06" w:rsidR="003E66EE" w:rsidRPr="003E66EE" w:rsidRDefault="00A46016" w:rsidP="003E66EE">
          <w:pPr>
            <w:pStyle w:val="TOC1"/>
            <w:tabs>
              <w:tab w:val="right" w:leader="dot" w:pos="9350"/>
            </w:tabs>
            <w:spacing w:line="360" w:lineRule="auto"/>
            <w:rPr>
              <w:rFonts w:ascii="Times New Roman" w:eastAsiaTheme="minorEastAsia" w:hAnsi="Times New Roman" w:cs="Times New Roman"/>
              <w:noProof/>
            </w:rPr>
          </w:pPr>
          <w:r w:rsidRPr="00F0371C">
            <w:rPr>
              <w:rFonts w:ascii="Times New Roman" w:hAnsi="Times New Roman" w:cs="Times New Roman"/>
            </w:rPr>
            <w:fldChar w:fldCharType="begin"/>
          </w:r>
          <w:r w:rsidRPr="00F0371C">
            <w:rPr>
              <w:rFonts w:ascii="Times New Roman" w:hAnsi="Times New Roman" w:cs="Times New Roman"/>
            </w:rPr>
            <w:instrText xml:space="preserve"> TOC \o "1-3" \h \z \u </w:instrText>
          </w:r>
          <w:r w:rsidRPr="00F0371C">
            <w:rPr>
              <w:rFonts w:ascii="Times New Roman" w:hAnsi="Times New Roman" w:cs="Times New Roman"/>
            </w:rPr>
            <w:fldChar w:fldCharType="separate"/>
          </w:r>
          <w:hyperlink w:anchor="_Toc214547620" w:history="1">
            <w:r w:rsidR="003E66EE" w:rsidRPr="003E66EE">
              <w:rPr>
                <w:rStyle w:val="Hyperlink"/>
                <w:rFonts w:ascii="Times New Roman" w:hAnsi="Times New Roman" w:cs="Times New Roman"/>
                <w:noProof/>
              </w:rPr>
              <w:t>Introduction</w:t>
            </w:r>
            <w:r w:rsidR="003E66EE" w:rsidRPr="003E66EE">
              <w:rPr>
                <w:rFonts w:ascii="Times New Roman" w:hAnsi="Times New Roman" w:cs="Times New Roman"/>
                <w:noProof/>
                <w:webHidden/>
              </w:rPr>
              <w:tab/>
            </w:r>
            <w:r w:rsidR="003E66EE" w:rsidRPr="003E66EE">
              <w:rPr>
                <w:rFonts w:ascii="Times New Roman" w:hAnsi="Times New Roman" w:cs="Times New Roman"/>
                <w:noProof/>
                <w:webHidden/>
              </w:rPr>
              <w:fldChar w:fldCharType="begin"/>
            </w:r>
            <w:r w:rsidR="003E66EE" w:rsidRPr="003E66EE">
              <w:rPr>
                <w:rFonts w:ascii="Times New Roman" w:hAnsi="Times New Roman" w:cs="Times New Roman"/>
                <w:noProof/>
                <w:webHidden/>
              </w:rPr>
              <w:instrText xml:space="preserve"> PAGEREF _Toc214547620 \h </w:instrText>
            </w:r>
            <w:r w:rsidR="003E66EE" w:rsidRPr="003E66EE">
              <w:rPr>
                <w:rFonts w:ascii="Times New Roman" w:hAnsi="Times New Roman" w:cs="Times New Roman"/>
                <w:noProof/>
                <w:webHidden/>
              </w:rPr>
            </w:r>
            <w:r w:rsidR="003E66EE" w:rsidRPr="003E66EE">
              <w:rPr>
                <w:rFonts w:ascii="Times New Roman" w:hAnsi="Times New Roman" w:cs="Times New Roman"/>
                <w:noProof/>
                <w:webHidden/>
              </w:rPr>
              <w:fldChar w:fldCharType="separate"/>
            </w:r>
            <w:r w:rsidR="003E66EE" w:rsidRPr="003E66EE">
              <w:rPr>
                <w:rFonts w:ascii="Times New Roman" w:hAnsi="Times New Roman" w:cs="Times New Roman"/>
                <w:noProof/>
                <w:webHidden/>
              </w:rPr>
              <w:t>3</w:t>
            </w:r>
            <w:r w:rsidR="003E66EE" w:rsidRPr="003E66EE">
              <w:rPr>
                <w:rFonts w:ascii="Times New Roman" w:hAnsi="Times New Roman" w:cs="Times New Roman"/>
                <w:noProof/>
                <w:webHidden/>
              </w:rPr>
              <w:fldChar w:fldCharType="end"/>
            </w:r>
          </w:hyperlink>
        </w:p>
        <w:p w14:paraId="2D02B78D" w14:textId="3ED77AC3" w:rsidR="003E66EE" w:rsidRPr="003E66EE" w:rsidRDefault="003E66EE" w:rsidP="003E66EE">
          <w:pPr>
            <w:pStyle w:val="TOC1"/>
            <w:tabs>
              <w:tab w:val="right" w:leader="dot" w:pos="9350"/>
            </w:tabs>
            <w:spacing w:line="360" w:lineRule="auto"/>
            <w:rPr>
              <w:rFonts w:ascii="Times New Roman" w:eastAsiaTheme="minorEastAsia" w:hAnsi="Times New Roman" w:cs="Times New Roman"/>
              <w:noProof/>
            </w:rPr>
          </w:pPr>
          <w:hyperlink w:anchor="_Toc214547621" w:history="1">
            <w:r w:rsidRPr="003E66EE">
              <w:rPr>
                <w:rStyle w:val="Hyperlink"/>
                <w:rFonts w:ascii="Times New Roman" w:hAnsi="Times New Roman" w:cs="Times New Roman"/>
                <w:noProof/>
              </w:rPr>
              <w:t>2. Task 1: Critical Analysis of the Macro Marketing Environment</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_Toc214547621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3</w:t>
            </w:r>
            <w:r w:rsidRPr="003E66EE">
              <w:rPr>
                <w:rFonts w:ascii="Times New Roman" w:hAnsi="Times New Roman" w:cs="Times New Roman"/>
                <w:noProof/>
                <w:webHidden/>
              </w:rPr>
              <w:fldChar w:fldCharType="end"/>
            </w:r>
          </w:hyperlink>
        </w:p>
        <w:p w14:paraId="5C4872D7" w14:textId="275F9B49" w:rsidR="003E66EE" w:rsidRPr="003E66EE" w:rsidRDefault="003E66EE" w:rsidP="003E66EE">
          <w:pPr>
            <w:pStyle w:val="TOC2"/>
            <w:tabs>
              <w:tab w:val="right" w:leader="dot" w:pos="9350"/>
            </w:tabs>
            <w:spacing w:line="360" w:lineRule="auto"/>
            <w:rPr>
              <w:rFonts w:ascii="Times New Roman" w:eastAsiaTheme="minorEastAsia" w:hAnsi="Times New Roman" w:cs="Times New Roman"/>
              <w:noProof/>
            </w:rPr>
          </w:pPr>
          <w:hyperlink w:anchor="_Toc214547622" w:history="1">
            <w:r w:rsidRPr="003E66EE">
              <w:rPr>
                <w:rStyle w:val="Hyperlink"/>
                <w:rFonts w:ascii="Times New Roman" w:hAnsi="Times New Roman" w:cs="Times New Roman"/>
                <w:noProof/>
              </w:rPr>
              <w:t>2.1 Overview of the Macro Marketing Environment</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_Toc214547622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3</w:t>
            </w:r>
            <w:r w:rsidRPr="003E66EE">
              <w:rPr>
                <w:rFonts w:ascii="Times New Roman" w:hAnsi="Times New Roman" w:cs="Times New Roman"/>
                <w:noProof/>
                <w:webHidden/>
              </w:rPr>
              <w:fldChar w:fldCharType="end"/>
            </w:r>
          </w:hyperlink>
        </w:p>
        <w:p w14:paraId="626A7B0B" w14:textId="1CB6CD11" w:rsidR="003E66EE" w:rsidRPr="003E66EE" w:rsidRDefault="003E66EE" w:rsidP="003E66EE">
          <w:pPr>
            <w:pStyle w:val="TOC2"/>
            <w:tabs>
              <w:tab w:val="right" w:leader="dot" w:pos="9350"/>
            </w:tabs>
            <w:spacing w:line="360" w:lineRule="auto"/>
            <w:rPr>
              <w:rFonts w:ascii="Times New Roman" w:eastAsiaTheme="minorEastAsia" w:hAnsi="Times New Roman" w:cs="Times New Roman"/>
              <w:noProof/>
            </w:rPr>
          </w:pPr>
          <w:hyperlink w:anchor="_Toc214547623" w:history="1">
            <w:r w:rsidRPr="003E66EE">
              <w:rPr>
                <w:rStyle w:val="Hyperlink"/>
                <w:rFonts w:ascii="Times New Roman" w:hAnsi="Times New Roman" w:cs="Times New Roman"/>
                <w:noProof/>
              </w:rPr>
              <w:t>2.2 Selection of Two External Macro Marketing Actors</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_Toc214547623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5</w:t>
            </w:r>
            <w:r w:rsidRPr="003E66EE">
              <w:rPr>
                <w:rFonts w:ascii="Times New Roman" w:hAnsi="Times New Roman" w:cs="Times New Roman"/>
                <w:noProof/>
                <w:webHidden/>
              </w:rPr>
              <w:fldChar w:fldCharType="end"/>
            </w:r>
          </w:hyperlink>
        </w:p>
        <w:p w14:paraId="29FF4624" w14:textId="27346CFB" w:rsidR="003E66EE" w:rsidRPr="003E66EE" w:rsidRDefault="003E66EE" w:rsidP="003E66EE">
          <w:pPr>
            <w:pStyle w:val="TOC2"/>
            <w:tabs>
              <w:tab w:val="right" w:leader="dot" w:pos="9350"/>
            </w:tabs>
            <w:spacing w:line="360" w:lineRule="auto"/>
            <w:rPr>
              <w:rFonts w:ascii="Times New Roman" w:eastAsiaTheme="minorEastAsia" w:hAnsi="Times New Roman" w:cs="Times New Roman"/>
              <w:noProof/>
            </w:rPr>
          </w:pPr>
          <w:hyperlink w:anchor="_Toc214547624" w:history="1">
            <w:r w:rsidRPr="003E66EE">
              <w:rPr>
                <w:rStyle w:val="Hyperlink"/>
                <w:rFonts w:ascii="Times New Roman" w:hAnsi="Times New Roman" w:cs="Times New Roman"/>
                <w:noProof/>
              </w:rPr>
              <w:t>2.3 Critical Analysis of Each Actor</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_Toc214547624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6</w:t>
            </w:r>
            <w:r w:rsidRPr="003E66EE">
              <w:rPr>
                <w:rFonts w:ascii="Times New Roman" w:hAnsi="Times New Roman" w:cs="Times New Roman"/>
                <w:noProof/>
                <w:webHidden/>
              </w:rPr>
              <w:fldChar w:fldCharType="end"/>
            </w:r>
          </w:hyperlink>
        </w:p>
        <w:p w14:paraId="41329132" w14:textId="05517423" w:rsidR="003E66EE" w:rsidRPr="003E66EE" w:rsidRDefault="003E66EE" w:rsidP="003E66EE">
          <w:pPr>
            <w:pStyle w:val="TOC1"/>
            <w:tabs>
              <w:tab w:val="right" w:leader="dot" w:pos="9350"/>
            </w:tabs>
            <w:spacing w:line="360" w:lineRule="auto"/>
            <w:rPr>
              <w:rFonts w:ascii="Times New Roman" w:eastAsiaTheme="minorEastAsia" w:hAnsi="Times New Roman" w:cs="Times New Roman"/>
              <w:noProof/>
            </w:rPr>
          </w:pPr>
          <w:hyperlink w:anchor="_Toc214547625" w:history="1">
            <w:r w:rsidRPr="003E66EE">
              <w:rPr>
                <w:rStyle w:val="Hyperlink"/>
                <w:rFonts w:ascii="Times New Roman" w:hAnsi="Times New Roman" w:cs="Times New Roman"/>
                <w:noProof/>
              </w:rPr>
              <w:t>3. Task 2: Strategic Responses of Pioneering and Follower Organisations</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_Toc214547625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6</w:t>
            </w:r>
            <w:r w:rsidRPr="003E66EE">
              <w:rPr>
                <w:rFonts w:ascii="Times New Roman" w:hAnsi="Times New Roman" w:cs="Times New Roman"/>
                <w:noProof/>
                <w:webHidden/>
              </w:rPr>
              <w:fldChar w:fldCharType="end"/>
            </w:r>
          </w:hyperlink>
        </w:p>
        <w:p w14:paraId="4BF8F4E5" w14:textId="7787572D" w:rsidR="003E66EE" w:rsidRPr="003E66EE" w:rsidRDefault="003E66EE" w:rsidP="003E66EE">
          <w:pPr>
            <w:pStyle w:val="TOC2"/>
            <w:tabs>
              <w:tab w:val="right" w:leader="dot" w:pos="9350"/>
            </w:tabs>
            <w:spacing w:line="360" w:lineRule="auto"/>
            <w:rPr>
              <w:rFonts w:ascii="Times New Roman" w:eastAsiaTheme="minorEastAsia" w:hAnsi="Times New Roman" w:cs="Times New Roman"/>
              <w:noProof/>
            </w:rPr>
          </w:pPr>
          <w:hyperlink w:anchor="_Toc214547626" w:history="1">
            <w:r w:rsidRPr="003E66EE">
              <w:rPr>
                <w:rStyle w:val="Hyperlink"/>
                <w:rFonts w:ascii="Times New Roman" w:hAnsi="Times New Roman" w:cs="Times New Roman"/>
                <w:noProof/>
              </w:rPr>
              <w:t>3.1 Pioneering Organizations’ Strategic Responses</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_Toc214547626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6</w:t>
            </w:r>
            <w:r w:rsidRPr="003E66EE">
              <w:rPr>
                <w:rFonts w:ascii="Times New Roman" w:hAnsi="Times New Roman" w:cs="Times New Roman"/>
                <w:noProof/>
                <w:webHidden/>
              </w:rPr>
              <w:fldChar w:fldCharType="end"/>
            </w:r>
          </w:hyperlink>
        </w:p>
        <w:p w14:paraId="28D7C4D8" w14:textId="09DB6C2F" w:rsidR="003E66EE" w:rsidRPr="003E66EE" w:rsidRDefault="003E66EE" w:rsidP="003E66EE">
          <w:pPr>
            <w:pStyle w:val="TOC2"/>
            <w:tabs>
              <w:tab w:val="right" w:leader="dot" w:pos="9350"/>
            </w:tabs>
            <w:spacing w:line="360" w:lineRule="auto"/>
            <w:rPr>
              <w:rFonts w:ascii="Times New Roman" w:eastAsiaTheme="minorEastAsia" w:hAnsi="Times New Roman" w:cs="Times New Roman"/>
              <w:noProof/>
            </w:rPr>
          </w:pPr>
          <w:hyperlink w:anchor="_Toc214547627" w:history="1">
            <w:r w:rsidRPr="003E66EE">
              <w:rPr>
                <w:rStyle w:val="Hyperlink"/>
                <w:rFonts w:ascii="Times New Roman" w:hAnsi="Times New Roman" w:cs="Times New Roman"/>
                <w:noProof/>
              </w:rPr>
              <w:t>3.2 Follower Organizations’ Strategic Responses</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_Toc214547627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8</w:t>
            </w:r>
            <w:r w:rsidRPr="003E66EE">
              <w:rPr>
                <w:rFonts w:ascii="Times New Roman" w:hAnsi="Times New Roman" w:cs="Times New Roman"/>
                <w:noProof/>
                <w:webHidden/>
              </w:rPr>
              <w:fldChar w:fldCharType="end"/>
            </w:r>
          </w:hyperlink>
        </w:p>
        <w:p w14:paraId="78A7492A" w14:textId="30F2D479" w:rsidR="003E66EE" w:rsidRPr="003E66EE" w:rsidRDefault="003E66EE" w:rsidP="003E66EE">
          <w:pPr>
            <w:pStyle w:val="TOC1"/>
            <w:tabs>
              <w:tab w:val="right" w:leader="dot" w:pos="9350"/>
            </w:tabs>
            <w:spacing w:line="360" w:lineRule="auto"/>
            <w:rPr>
              <w:rFonts w:ascii="Times New Roman" w:eastAsiaTheme="minorEastAsia" w:hAnsi="Times New Roman" w:cs="Times New Roman"/>
              <w:noProof/>
            </w:rPr>
          </w:pPr>
          <w:hyperlink w:anchor="_Toc214547628" w:history="1">
            <w:r w:rsidRPr="003E66EE">
              <w:rPr>
                <w:rStyle w:val="Hyperlink"/>
                <w:rFonts w:ascii="Times New Roman" w:hAnsi="Times New Roman" w:cs="Times New Roman"/>
                <w:noProof/>
              </w:rPr>
              <w:t>Conclusion</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_Toc214547628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9</w:t>
            </w:r>
            <w:r w:rsidRPr="003E66EE">
              <w:rPr>
                <w:rFonts w:ascii="Times New Roman" w:hAnsi="Times New Roman" w:cs="Times New Roman"/>
                <w:noProof/>
                <w:webHidden/>
              </w:rPr>
              <w:fldChar w:fldCharType="end"/>
            </w:r>
          </w:hyperlink>
        </w:p>
        <w:p w14:paraId="44AEC106" w14:textId="6C18121A" w:rsidR="003E66EE" w:rsidRPr="003E66EE" w:rsidRDefault="003E66EE" w:rsidP="003E66EE">
          <w:pPr>
            <w:pStyle w:val="TOC1"/>
            <w:tabs>
              <w:tab w:val="right" w:leader="dot" w:pos="9350"/>
            </w:tabs>
            <w:spacing w:line="360" w:lineRule="auto"/>
            <w:rPr>
              <w:rFonts w:ascii="Times New Roman" w:eastAsiaTheme="minorEastAsia" w:hAnsi="Times New Roman" w:cs="Times New Roman"/>
              <w:noProof/>
            </w:rPr>
          </w:pPr>
          <w:hyperlink w:anchor="_Toc214547629" w:history="1">
            <w:r w:rsidRPr="003E66EE">
              <w:rPr>
                <w:rStyle w:val="Hyperlink"/>
                <w:rFonts w:ascii="Times New Roman" w:hAnsi="Times New Roman" w:cs="Times New Roman"/>
                <w:noProof/>
              </w:rPr>
              <w:t>Reference List</w:t>
            </w:r>
            <w:r w:rsidRPr="003E66EE">
              <w:rPr>
                <w:rFonts w:ascii="Times New Roman" w:hAnsi="Times New Roman" w:cs="Times New Roman"/>
                <w:noProof/>
                <w:webHidden/>
              </w:rPr>
              <w:tab/>
            </w:r>
            <w:r w:rsidRPr="003E66EE">
              <w:rPr>
                <w:rFonts w:ascii="Times New Roman" w:hAnsi="Times New Roman" w:cs="Times New Roman"/>
                <w:noProof/>
                <w:webHidden/>
              </w:rPr>
              <w:fldChar w:fldCharType="begin"/>
            </w:r>
            <w:r w:rsidRPr="003E66EE">
              <w:rPr>
                <w:rFonts w:ascii="Times New Roman" w:hAnsi="Times New Roman" w:cs="Times New Roman"/>
                <w:noProof/>
                <w:webHidden/>
              </w:rPr>
              <w:instrText xml:space="preserve"> PAGEREF _Toc214547629 \h </w:instrText>
            </w:r>
            <w:r w:rsidRPr="003E66EE">
              <w:rPr>
                <w:rFonts w:ascii="Times New Roman" w:hAnsi="Times New Roman" w:cs="Times New Roman"/>
                <w:noProof/>
                <w:webHidden/>
              </w:rPr>
            </w:r>
            <w:r w:rsidRPr="003E66EE">
              <w:rPr>
                <w:rFonts w:ascii="Times New Roman" w:hAnsi="Times New Roman" w:cs="Times New Roman"/>
                <w:noProof/>
                <w:webHidden/>
              </w:rPr>
              <w:fldChar w:fldCharType="separate"/>
            </w:r>
            <w:r w:rsidRPr="003E66EE">
              <w:rPr>
                <w:rFonts w:ascii="Times New Roman" w:hAnsi="Times New Roman" w:cs="Times New Roman"/>
                <w:noProof/>
                <w:webHidden/>
              </w:rPr>
              <w:t>11</w:t>
            </w:r>
            <w:r w:rsidRPr="003E66EE">
              <w:rPr>
                <w:rFonts w:ascii="Times New Roman" w:hAnsi="Times New Roman" w:cs="Times New Roman"/>
                <w:noProof/>
                <w:webHidden/>
              </w:rPr>
              <w:fldChar w:fldCharType="end"/>
            </w:r>
          </w:hyperlink>
        </w:p>
        <w:p w14:paraId="4DAFC804" w14:textId="7F2FEB40" w:rsidR="00A46016" w:rsidRPr="00F0371C" w:rsidRDefault="00A46016" w:rsidP="00A46016">
          <w:pPr>
            <w:spacing w:line="360" w:lineRule="auto"/>
            <w:jc w:val="both"/>
            <w:rPr>
              <w:rFonts w:ascii="Times New Roman" w:hAnsi="Times New Roman" w:cs="Times New Roman"/>
            </w:rPr>
          </w:pPr>
          <w:r w:rsidRPr="00F0371C">
            <w:rPr>
              <w:rFonts w:ascii="Times New Roman" w:hAnsi="Times New Roman" w:cs="Times New Roman"/>
              <w:b/>
              <w:bCs/>
              <w:noProof/>
            </w:rPr>
            <w:fldChar w:fldCharType="end"/>
          </w:r>
        </w:p>
      </w:sdtContent>
    </w:sdt>
    <w:p w14:paraId="0D7D0912" w14:textId="77777777" w:rsidR="00A46016" w:rsidRPr="00F0371C" w:rsidRDefault="00A46016" w:rsidP="00A46016">
      <w:pPr>
        <w:spacing w:line="360" w:lineRule="auto"/>
        <w:jc w:val="both"/>
        <w:rPr>
          <w:rFonts w:ascii="Times New Roman" w:hAnsi="Times New Roman" w:cs="Times New Roman"/>
          <w:b/>
          <w:bCs/>
        </w:rPr>
      </w:pPr>
      <w:r w:rsidRPr="00F0371C">
        <w:rPr>
          <w:rFonts w:ascii="Times New Roman" w:hAnsi="Times New Roman" w:cs="Times New Roman"/>
        </w:rPr>
        <w:br w:type="page"/>
      </w:r>
    </w:p>
    <w:p w14:paraId="0D6B2C60" w14:textId="6EA6BBBC" w:rsidR="00FC0E69" w:rsidRPr="00F0371C" w:rsidRDefault="00FC0E69" w:rsidP="00A46016">
      <w:pPr>
        <w:pStyle w:val="Heading1"/>
      </w:pPr>
      <w:bookmarkStart w:id="0" w:name="_Toc214547620"/>
      <w:r w:rsidRPr="00F0371C">
        <w:t>Introduction</w:t>
      </w:r>
      <w:bookmarkEnd w:id="0"/>
    </w:p>
    <w:p w14:paraId="61E6831C" w14:textId="77777777" w:rsidR="00F0371C" w:rsidRPr="00F0371C" w:rsidRDefault="00F0371C" w:rsidP="00F0371C">
      <w:pPr>
        <w:spacing w:line="360" w:lineRule="auto"/>
        <w:jc w:val="both"/>
        <w:rPr>
          <w:rFonts w:ascii="Times New Roman" w:hAnsi="Times New Roman" w:cs="Times New Roman"/>
        </w:rPr>
      </w:pPr>
      <w:r w:rsidRPr="00F0371C">
        <w:rPr>
          <w:rFonts w:ascii="Times New Roman" w:hAnsi="Times New Roman" w:cs="Times New Roman"/>
        </w:rPr>
        <w:t>The macro marketing environment impacts the choices made by organizations with regard to their strategy in that it presents them to the external forces beyond their control. These forces influence the potential and threats of the companies that influence the market position, competitive strength, and growth in the long term. The awareness of such factors is quite crucial in the development of a proper set of marketing strategies because organizations can be in a position to know what is in store and how they can respond to the upheaval in addition to aligning their products to the evolving consumer demands. PESTEL frameworks present a methodological approach of analyzing the political, economic, social, technological, environmental, and legal forces in a manner that an intended firm could be in a good position to analyze the external environment and make strategic decisions.</w:t>
      </w:r>
    </w:p>
    <w:p w14:paraId="3AC16B87" w14:textId="55A75539" w:rsidR="00D27F88" w:rsidRPr="00F0371C" w:rsidRDefault="00F0371C" w:rsidP="00F0371C">
      <w:pPr>
        <w:spacing w:line="360" w:lineRule="auto"/>
        <w:jc w:val="both"/>
        <w:rPr>
          <w:rFonts w:ascii="Times New Roman" w:hAnsi="Times New Roman" w:cs="Times New Roman"/>
        </w:rPr>
      </w:pPr>
      <w:r w:rsidRPr="00F0371C">
        <w:rPr>
          <w:rFonts w:ascii="Times New Roman" w:hAnsi="Times New Roman" w:cs="Times New Roman"/>
        </w:rPr>
        <w:t>There are two macro players that are key in shaping the performance of organisations, and they include technological innovation and environmental sustainability in dynamic industries. Businesses will toil in the rapid world of technology and meet the expectations of the clients alongside the government in terms of sustainability. One of the ways that can be linked to become a pioneering firm is by being at the forefront by innovating new solutions and green practices, this can be regarded as a differentiation and long-term value. Critically by decoding how they pose to these macro forces the pioneers and followers will respond to them, organizations will be able to gain insights on how being strategic on matters of innovation, sustainability and adaptability to the market will assist them to gain resilience and competitive advantage.</w:t>
      </w:r>
      <w:r w:rsidR="00C62EA9" w:rsidRPr="00F0371C">
        <w:rPr>
          <w:rFonts w:ascii="Times New Roman" w:hAnsi="Times New Roman" w:cs="Times New Roman"/>
        </w:rPr>
        <w:t xml:space="preserve"> </w:t>
      </w:r>
    </w:p>
    <w:p w14:paraId="612A1C0B" w14:textId="235CA135" w:rsidR="00FD1A9E" w:rsidRPr="00F0371C" w:rsidRDefault="00FD1A9E" w:rsidP="00FD1A9E">
      <w:pPr>
        <w:pStyle w:val="Heading1"/>
        <w:rPr>
          <w:rStyle w:val="Heading1Char"/>
          <w:b/>
          <w:bCs/>
        </w:rPr>
      </w:pPr>
      <w:bookmarkStart w:id="1" w:name="_Toc214547621"/>
      <w:r w:rsidRPr="00F0371C">
        <w:rPr>
          <w:rStyle w:val="Heading1Char"/>
          <w:b/>
          <w:bCs/>
        </w:rPr>
        <w:t>2. Task 1: Critical Analysis of the Macro Marketing Environment</w:t>
      </w:r>
      <w:bookmarkEnd w:id="1"/>
    </w:p>
    <w:p w14:paraId="4F4BF9C0" w14:textId="77777777" w:rsidR="00FD1A9E" w:rsidRPr="00F0371C" w:rsidRDefault="00FD1A9E" w:rsidP="00FD1A9E">
      <w:pPr>
        <w:pStyle w:val="Heading2"/>
      </w:pPr>
      <w:bookmarkStart w:id="2" w:name="_Toc214547622"/>
      <w:r w:rsidRPr="00F0371C">
        <w:t>2.1 Overview of the Macro Marketing Environment</w:t>
      </w:r>
      <w:bookmarkEnd w:id="2"/>
      <w:r w:rsidRPr="00F0371C">
        <w:t xml:space="preserve"> </w:t>
      </w:r>
    </w:p>
    <w:p w14:paraId="30B91A49"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 xml:space="preserve">The macro marketing environment encompasses external factors that affect the marketing process and strategy of a business, but which do not have much influence. The macro environment introduces the factors that have no immediate relationship with the firm as is the case in the macro environment but rather high-level opportunity or threat to the business. PESTEL is a form of analysis that has been predominant with some of the strategic marketing projections because its analysis involved the study of Political, Economic, Social, Technological, Environmental, and Legal factors (Nair and Gupta, 2021). </w:t>
      </w:r>
    </w:p>
    <w:p w14:paraId="48322CB3" w14:textId="77777777" w:rsidR="00FD1A9E" w:rsidRPr="00F0371C" w:rsidRDefault="00FD1A9E" w:rsidP="00FD1A9E">
      <w:pPr>
        <w:spacing w:line="360" w:lineRule="auto"/>
        <w:jc w:val="both"/>
        <w:rPr>
          <w:rFonts w:ascii="Times New Roman" w:hAnsi="Times New Roman" w:cs="Times New Roman"/>
        </w:rPr>
      </w:pPr>
      <w:r w:rsidRPr="00F0371C">
        <w:rPr>
          <w:noProof/>
        </w:rPr>
        <w:drawing>
          <wp:inline distT="0" distB="0" distL="0" distR="0" wp14:anchorId="5844358A" wp14:editId="4BC6D808">
            <wp:extent cx="5943600" cy="3716263"/>
            <wp:effectExtent l="0" t="0" r="0" b="0"/>
            <wp:docPr id="1048544602" name="Picture 1" descr="Micro and Macro environment factors to be analyzed for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 and Macro environment factors to be analyzed for compan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54459" cy="3723052"/>
                    </a:xfrm>
                    <a:prstGeom prst="rect">
                      <a:avLst/>
                    </a:prstGeom>
                    <a:noFill/>
                    <a:ln>
                      <a:noFill/>
                    </a:ln>
                  </pic:spPr>
                </pic:pic>
              </a:graphicData>
            </a:graphic>
          </wp:inline>
        </w:drawing>
      </w:r>
    </w:p>
    <w:p w14:paraId="47E9A21F" w14:textId="77777777" w:rsidR="00FD1A9E" w:rsidRPr="00F0371C" w:rsidRDefault="00FD1A9E" w:rsidP="00FD1A9E">
      <w:pPr>
        <w:spacing w:line="360" w:lineRule="auto"/>
        <w:jc w:val="center"/>
        <w:rPr>
          <w:rFonts w:ascii="Times New Roman" w:hAnsi="Times New Roman" w:cs="Times New Roman"/>
          <w:b/>
          <w:bCs/>
        </w:rPr>
      </w:pPr>
      <w:r w:rsidRPr="00F0371C">
        <w:rPr>
          <w:rFonts w:ascii="Times New Roman" w:hAnsi="Times New Roman" w:cs="Times New Roman"/>
          <w:b/>
          <w:bCs/>
        </w:rPr>
        <w:t>Figure 1: Macro Environment</w:t>
      </w:r>
    </w:p>
    <w:p w14:paraId="68FD69F5" w14:textId="77777777" w:rsidR="00FD1A9E" w:rsidRPr="00F0371C" w:rsidRDefault="00FD1A9E" w:rsidP="00FD1A9E">
      <w:pPr>
        <w:spacing w:line="360" w:lineRule="auto"/>
        <w:jc w:val="center"/>
        <w:rPr>
          <w:rFonts w:ascii="Times New Roman" w:hAnsi="Times New Roman" w:cs="Times New Roman"/>
        </w:rPr>
      </w:pPr>
      <w:r w:rsidRPr="00F0371C">
        <w:rPr>
          <w:rFonts w:ascii="Times New Roman" w:hAnsi="Times New Roman" w:cs="Times New Roman"/>
        </w:rPr>
        <w:t>(Source: Created by Author)</w:t>
      </w:r>
    </w:p>
    <w:p w14:paraId="5CD6CF04"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 xml:space="preserve">Understanding of the macro environment is significant to the marketing strategy because it helps firms to respond positively to changes in technology, behavior among consumers, regulation, and economy. An example of this is that emerging technologies such as AI and big data redefined the concept of customer experience and personalization, and, at the same time, specific customer trends and environmental pressures burdened the brand positioning (Wu and Monfort, 2023). The political and legal issues will affect regulatory compliance and boundaries of operation, whereas the social and economic forces will have an impact on the demand patterns. </w:t>
      </w:r>
    </w:p>
    <w:p w14:paraId="37D0C5B0" w14:textId="77777777" w:rsidR="00FD1A9E" w:rsidRPr="00830897" w:rsidRDefault="00FD1A9E" w:rsidP="00FD1A9E">
      <w:pPr>
        <w:spacing w:line="360" w:lineRule="auto"/>
        <w:jc w:val="both"/>
        <w:rPr>
          <w:rFonts w:ascii="Times New Roman" w:hAnsi="Times New Roman" w:cs="Times New Roman"/>
        </w:rPr>
      </w:pPr>
      <w:r w:rsidRPr="00F0371C">
        <w:rPr>
          <w:rFonts w:ascii="Times New Roman" w:hAnsi="Times New Roman" w:cs="Times New Roman"/>
        </w:rPr>
        <w:t>The macro-environmental forces are usually graphically depicted by a circular or a hexagonal shape such that the organisation is in the centre with the six blocks of the PESTEL located around it (Nair and Gupta, 2021). This portrays the all-encompassing and broad variety of such effects over strategic decisions. By mapping such factors, the organizations can see of the trends over the long-term period, emergent risks and driving factors in the market that are obligatory in informed decision making. Such external forces observed by companies will position them better to respect their opportunities and adapt to change and develop resilient market strategies that will ensure sustainable growth.</w:t>
      </w:r>
    </w:p>
    <w:p w14:paraId="5F3CC6BB" w14:textId="77777777" w:rsidR="00FD1A9E" w:rsidRPr="00F0371C" w:rsidRDefault="00FD1A9E" w:rsidP="00FD1A9E">
      <w:pPr>
        <w:pStyle w:val="Heading2"/>
      </w:pPr>
      <w:bookmarkStart w:id="3" w:name="_Toc214547623"/>
      <w:r w:rsidRPr="00F0371C">
        <w:t>2.2 Selection of Two External Macro Marketing Actors</w:t>
      </w:r>
      <w:bookmarkEnd w:id="3"/>
    </w:p>
    <w:p w14:paraId="39A0CCF3"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Technological and environmental factors are some of the macro actors that are more relevant in the modern marketplaces. Technological changes of the type of artificial intelligence (AI), big data analytics, and online stores changed the relationship between companies and customers (Nair and Gupta, 2021). Through this, the pioneers can make correct targeting and predictive analytics as well as improved customer engagement (Wu and Monfort, 2023). At the same time, technological innovation is expensive, it faces the risk of becoming obsolete, and it is a threat to cybersecurity, which is a strategic matter of initiators and followers (Peattie, 2023). Examples are such companies as Tesla and Amazon, which are the ways of technological innovation to generate a competitive advantage and become a leader in the industry when a firm is the first to embrace it (Gomez et al., 2022).</w:t>
      </w:r>
    </w:p>
    <w:p w14:paraId="68E35806"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 xml:space="preserve">It is also pertinent to the environmental variables, including sustainability, ecological responsibility and climate change. The reputation of the company and financial benefits may then follow to the companies that carry a sustainable business strategy in their marketing efforts and the examples of Patagonia and Tesla (Feng, Zhang, and Li, 2022). However, the downsides of environmental leadership are also rather high and may encompass start-up expenses, compliance with legislation, and the risk of a damaged reputation, in case sustainability throws itself on the side of greenwashing (Dreiling and Bican, 2022). </w:t>
      </w:r>
    </w:p>
    <w:p w14:paraId="74B4BE89" w14:textId="77777777" w:rsidR="00FD1A9E" w:rsidRPr="00830897" w:rsidRDefault="00FD1A9E" w:rsidP="00FD1A9E">
      <w:pPr>
        <w:spacing w:line="360" w:lineRule="auto"/>
        <w:jc w:val="both"/>
        <w:rPr>
          <w:rFonts w:ascii="Times New Roman" w:hAnsi="Times New Roman" w:cs="Times New Roman"/>
        </w:rPr>
      </w:pPr>
      <w:r w:rsidRPr="00F0371C">
        <w:rPr>
          <w:rFonts w:ascii="Times New Roman" w:hAnsi="Times New Roman" w:cs="Times New Roman"/>
        </w:rPr>
        <w:t>Both technological and environmental elements are significant in pioneering and followers’ strategic decisions. Technological aspects can assist businesses in creating their own points of difference through the development of personalized marketing and predictive analytics and operation efficiency (Saura, 2021). Environmental sustainability encourages product development, branding, and trust among the consumers (Sharma, 2021). Through monitoring these, the firms can exploit opportunities, check their risks and adjust their marketing plans according to the emerging trends. The duality of technology and sustainability gives a discourse that the two variables must be used together where the innovation must be matched by sustainable practices to ensure that the business remains at the forefront of the pack.</w:t>
      </w:r>
    </w:p>
    <w:p w14:paraId="54FE7E3C" w14:textId="77777777" w:rsidR="00FD1A9E" w:rsidRPr="00F0371C" w:rsidRDefault="00FD1A9E" w:rsidP="00FD1A9E">
      <w:pPr>
        <w:pStyle w:val="Heading2"/>
      </w:pPr>
      <w:bookmarkStart w:id="4" w:name="_Toc214547624"/>
      <w:r w:rsidRPr="00F0371C">
        <w:t>2.3 Critical Analysis of Each Actor</w:t>
      </w:r>
      <w:bookmarkEnd w:id="4"/>
      <w:r w:rsidRPr="00F0371C">
        <w:t xml:space="preserve"> </w:t>
      </w:r>
    </w:p>
    <w:p w14:paraId="423DB65D"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Technological change is an opportunity and a threat to pioneer and follow companies in unique ways. Brand differentiation, market share expansion and setting the industry norms is the first-mover advantage of pioneers (Nair and Gupta, 2021; Saura, 2021). Tesla may be used as an example and its usage of real-time data analytics and OTA software updates to enhance customer experience and loyalty and superpower consumer engagement and data control using the AI-based recommendation systems applied by Amazon (Wu and Monfort, 2023). However, first movers experience risk premium on strategies that concern technology obsolescence, and security threats as well as uncertainty over the adoption of technology by consumers. It is also an ethical concern that can be discredited by very simple means like data bias and data abuse (Peattie, 2023).</w:t>
      </w:r>
    </w:p>
    <w:p w14:paraId="5489DD35"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The technological issue of follow-down companies is varied, depending on the adaptive imitation and watching of the pioneers to reduce the cost of innovations (Wei et al., 2021). They have an opportunity to modify the existing technology to the niche as Toyota did to transition to hybrid technology after the leaders of electric mobility (Li and Zhang, 2021). Yet, the chain of command firms requires some outside technological support that is highly dependent, and therefore, limiting about the creation of value, margination, and marketing information (Giachetti and Pira, 2022). Even though they minimize control costs and risk, the follower will face the issue of data fragmentation and the lack of the power to analyze as well as will have fewer opportunities to compete (Giachetti and Pira, 2022).</w:t>
      </w:r>
    </w:p>
    <w:p w14:paraId="4B32A614" w14:textId="2A864797" w:rsidR="00FD1A9E" w:rsidRPr="00F0371C" w:rsidRDefault="00FD1A9E" w:rsidP="00FC0E69">
      <w:pPr>
        <w:spacing w:line="360" w:lineRule="auto"/>
        <w:jc w:val="both"/>
        <w:rPr>
          <w:rFonts w:ascii="Times New Roman" w:hAnsi="Times New Roman" w:cs="Times New Roman"/>
        </w:rPr>
      </w:pPr>
      <w:r w:rsidRPr="00F0371C">
        <w:rPr>
          <w:rFonts w:ascii="Times New Roman" w:hAnsi="Times New Roman" w:cs="Times New Roman"/>
        </w:rPr>
        <w:t>The opportunities and threats are those provided by sustainability of the environment. Pioneering businesses that integrate the use of green practices in the company marketing strategies can earn consumer trust and loyalty, along with regulatory backing (Sharma, 2021). The examples of environmental leadership given by Patagonia and Tesla are the ones that emerged as the brands of environmentalism and electric mobility respectively, thereby demonstrating how such strategy could develop competitive advantage. Still, the operational and strategy obstacles of greenwashing are the high initial costs, the regulation and reputational damage (Dreiling and Bican, 2022). These are just but few factors that ought to be dealt with well to guarantee sustainability and profitability.</w:t>
      </w:r>
    </w:p>
    <w:p w14:paraId="2192CA2B" w14:textId="2236617F" w:rsidR="00FD1A9E" w:rsidRPr="00F0371C" w:rsidRDefault="00F0371C" w:rsidP="00F0371C">
      <w:pPr>
        <w:pStyle w:val="Heading1"/>
      </w:pPr>
      <w:bookmarkStart w:id="5" w:name="_Toc214547625"/>
      <w:r w:rsidRPr="00F0371C">
        <w:rPr>
          <w:rStyle w:val="Heading1Char"/>
          <w:b/>
          <w:bCs/>
        </w:rPr>
        <w:t>3. Task 2: Strategic Responses of Pioneering and Follower Organisations</w:t>
      </w:r>
      <w:bookmarkEnd w:id="5"/>
    </w:p>
    <w:p w14:paraId="5C546809" w14:textId="77777777" w:rsidR="00FD1A9E" w:rsidRPr="00F0371C" w:rsidRDefault="00FD1A9E" w:rsidP="00F0371C">
      <w:pPr>
        <w:pStyle w:val="Heading2"/>
      </w:pPr>
      <w:bookmarkStart w:id="6" w:name="_Toc214547626"/>
      <w:r w:rsidRPr="00F0371C">
        <w:t>3.1 Pioneering Organizations’ Strategic Responses</w:t>
      </w:r>
      <w:bookmarkEnd w:id="6"/>
    </w:p>
    <w:p w14:paraId="2D2819E8"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Pioneering firms get competitive advantage using technological and environmental forces. Technological first-mover strategies help the leaders to establish the general standards and develop a unique value proposal (Wu and Monfort, 2023). According to the Growth Matrix of Ansoff, these companies grow or diversify their markets through innovations or digitization of their product or digital service offerings to their new and existing markets (Nair and Gupta, 2021). Such an approach as Tesla data analytics and over-the-air software updates are one of them because the company provides customers with better experience and engages them in real time. Such strategies allow the innovators to make themselves the leaders and innovators in the market.</w:t>
      </w:r>
    </w:p>
    <w:p w14:paraId="76769DB0"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The test of differentiation proposed by Porter forms the basis of the strategies of the innovative firms, as they allow them to be differentiated through the assistance of technology (Gomez et al., 2022). Amazon demonstrates it by relying on AI-built recommendation algorithm, which creates an extremely personalized shopping experience (Wu and Monforce, 2023). Predictive analytics offer a chance to communicate with a customer anytime, and introduce barriers to copying (Kamp &amp; Ruiz de Apodaca, 2023). Innovation and technology earned with market smartness enables innovators to create higher value on the first mover advantage. Strategic agility also ensures that they are at their advantage in operating in a fast-changing environment.</w:t>
      </w:r>
    </w:p>
    <w:p w14:paraId="3F8C62EC"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Environmental sustainability is the other pillar of pioneering strategy, as it allows companies to combine marketing and consumer values, which are environmentally friendly (Sharma, 2021). Tesla has combined sustainability with technology and focuses on customers who are concerned about the environment around them and are backed by government subsidies (Lin and Zhang, 2023). The opportunity of renewable energy and green mobility services with the help of the strategy of product development and diversification in the market, Ansoff pioneers work with the opportunities and build reputational capital (Sharma, 2021). Cause-based marketing enhances the degree of genuineness and customer loyalty (Kaur, Gangwar, and Dash, 2022). These kinds of strategies will enable innovators to have a sustainable brand image and social reputation.</w:t>
      </w:r>
    </w:p>
    <w:p w14:paraId="07BBC67D" w14:textId="77777777" w:rsidR="00FD1A9E" w:rsidRPr="00DE7577" w:rsidRDefault="00FD1A9E" w:rsidP="00FD1A9E">
      <w:pPr>
        <w:spacing w:line="360" w:lineRule="auto"/>
        <w:jc w:val="both"/>
        <w:rPr>
          <w:rFonts w:ascii="Times New Roman" w:hAnsi="Times New Roman" w:cs="Times New Roman"/>
        </w:rPr>
      </w:pPr>
      <w:r w:rsidRPr="00F0371C">
        <w:rPr>
          <w:rFonts w:ascii="Times New Roman" w:hAnsi="Times New Roman" w:cs="Times New Roman"/>
        </w:rPr>
        <w:t>First separate adopters enjoy the advantage of technology-sustainability integration (Chen et al., 2022). By means of digital systems use, it is possible to provide real-time monitoring, transparency, and predictive marketing that contributes to the growth of the effectiveness of the operations, not mentioning their responsiveness in the market (Wu &amp; Monfort, 2023). The ability to update on the air shows the strength of digital devices as Tesla and Amazon do at first by improving and maintaining customer contact and by AI personalization. By making digital transformation sustainable, it is one of the methods that can improve their competitive and ethical positioning. This proactive strategy ensures that the creation of long-term values is undertaken on the technological and environmental trends. Strategically, the pioneers incorporate the concept of sustainability in value propositions in the environmental context associating the green innovation with the brand leadership. This can be seen with Tesla, which uses the aspect of being technologically advanced and friendly to the environment to establish a position of captivity in the eyes of ecologically aware consumers and reach government subsidies.</w:t>
      </w:r>
    </w:p>
    <w:p w14:paraId="49BA5937" w14:textId="77777777" w:rsidR="00FD1A9E" w:rsidRPr="00F0371C" w:rsidRDefault="00FD1A9E" w:rsidP="00F0371C">
      <w:pPr>
        <w:pStyle w:val="Heading2"/>
      </w:pPr>
      <w:bookmarkStart w:id="7" w:name="_Toc214547627"/>
      <w:r w:rsidRPr="00F0371C">
        <w:t>3.2 Follower Organizations’ Strategic Responses</w:t>
      </w:r>
      <w:bookmarkEnd w:id="7"/>
    </w:p>
    <w:p w14:paraId="0CFD687A"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Adaptive imitation and economical adoption are the main ways in which the follower firms respond to technological problems and other environmental threats (Peattie, 2023). They would be able to view fantastic designs or innovations and imitate it to provide services to niche markets at lower prices (Wei et al., 2021). The network intrusion of Walmart is another occurrence where the followers take advantage of the already existing digital infrastructure at the minimal expenditure as per research and development (Chen et al., 2022). This progressive change will see the followers remain competitive and address market needs without necessarily engaging in the risks of being the first to invest. They worry about efficiency and productivity stability in order to stay up to date with the turbulent markets.</w:t>
      </w:r>
    </w:p>
    <w:p w14:paraId="709DCD76"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At strategy level, the followers will pursue either penetration strategy or product development strategies in Growth Matrix of Ansoff (Nair and Gupta, 2021). By combining them with either the cost-leadership or the focused differentiation strategies as postulated by Porter, the followers maximize their returns and minimize the risks of innovation. This is supported by the fact that hybrid technology has been introduced by Toyota that allows the company to tap into the consumers of the environmentally conscious segment once the pioneers have already verified the market (Lin and Zhang, 2023). They remain competitive as an organization since the followers implement the innovations that have been proven and streamline operations. The strategy will allow them to satisfy the measure of risk management and strategic advancement.</w:t>
      </w:r>
    </w:p>
    <w:p w14:paraId="70E00A18"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Follower companies are responsive to environmental demands and create conformity between compliance and marketing and regulatory demands (Majeed et al., 2022). The BP and Shell cases indicate the way companies can diversify their operations into renewable energy infrastructure to address the sustainability should and receive government subsidies (Lin and Zhang, 2023). The followers’ strategies are more likely to be based on some insignificant changes in the environment, such as more efficient emissions and less packaging to demonstrate their adherence, without incurring an additional significant cost (Sharma, 2021). Though they do raise the degree of legitimacy, they have little to no reputation or market differentiation of first mover strategy. It is common that regulators align themselves with the followers when they want to make sure that social contribity is achieved.</w:t>
      </w:r>
    </w:p>
    <w:p w14:paraId="5DF04004" w14:textId="77777777" w:rsidR="00FD1A9E" w:rsidRPr="00F0371C" w:rsidRDefault="00FD1A9E" w:rsidP="00FD1A9E">
      <w:pPr>
        <w:spacing w:line="360" w:lineRule="auto"/>
        <w:jc w:val="both"/>
        <w:rPr>
          <w:rFonts w:ascii="Times New Roman" w:hAnsi="Times New Roman" w:cs="Times New Roman"/>
        </w:rPr>
      </w:pPr>
      <w:r w:rsidRPr="00F0371C">
        <w:rPr>
          <w:rFonts w:ascii="Times New Roman" w:hAnsi="Times New Roman" w:cs="Times New Roman"/>
        </w:rPr>
        <w:t>The followers use both technology and sustainability to increase credibility and operating efficiency (Chen et al., 2022). Digital tracing systems and data analytics can aid in making supply chains and environmental impact more transparent and therefore less opaque (Rollins et al., 2023). Such alliances as Ford and Google allow the followers to take advantage of better features, without any deep internally founded research and development (Chen et al., 2022). With the combination of the disparate tactical acclimatization with the regulatory compliance, the adherents maintain in the market the participation and legitimacy of the stakeholders. This will assist them in balancing between the pledges in maintainability and technological developments in a manner that is resource efficient.</w:t>
      </w:r>
    </w:p>
    <w:p w14:paraId="5CFC76FE" w14:textId="2EADD6B4" w:rsidR="00FD1A9E" w:rsidRPr="00F0371C" w:rsidRDefault="00FD1A9E" w:rsidP="00FC0E69">
      <w:pPr>
        <w:spacing w:line="360" w:lineRule="auto"/>
        <w:jc w:val="both"/>
        <w:rPr>
          <w:rFonts w:ascii="Times New Roman" w:hAnsi="Times New Roman" w:cs="Times New Roman"/>
        </w:rPr>
      </w:pPr>
      <w:r w:rsidRPr="00F0371C">
        <w:rPr>
          <w:rFonts w:ascii="Times New Roman" w:hAnsi="Times New Roman" w:cs="Times New Roman"/>
        </w:rPr>
        <w:t>Porters’ differentiation strategy is linked to strategies of the first mover companies in terms of technology as well as sustainability. The trend is towards companies like Amazon energizing the shift towards the next stage of creating hyper-personal customer shopping experiences through AI-helped marketing strategies and predictive analytics, which boost customer loyalty and increase the brand strength (Wu and Monfort, 2023; Gomez et al., 2022). Such practices allow the first to benefit more with the first mover advantage as the lock in through technological innovation and customer acumen sets obstacles to imitation. Moreover, the technology agility will assist such entities adapt quickly in case of changes in the market to ensure that they remain in a situation of perpetual competitive advantage.</w:t>
      </w:r>
    </w:p>
    <w:p w14:paraId="7D2B542C" w14:textId="77777777" w:rsidR="005C56AB" w:rsidRPr="00F0371C" w:rsidRDefault="005C56AB" w:rsidP="005C56AB">
      <w:pPr>
        <w:pStyle w:val="Heading1"/>
      </w:pPr>
      <w:bookmarkStart w:id="8" w:name="_Toc214547628"/>
      <w:r w:rsidRPr="00F0371C">
        <w:t>Conclusion</w:t>
      </w:r>
      <w:bookmarkEnd w:id="8"/>
    </w:p>
    <w:p w14:paraId="4B630CA7" w14:textId="77777777" w:rsidR="00F0371C" w:rsidRPr="00F0371C" w:rsidRDefault="00F0371C" w:rsidP="00F0371C">
      <w:pPr>
        <w:spacing w:line="360" w:lineRule="auto"/>
        <w:jc w:val="both"/>
        <w:rPr>
          <w:rFonts w:ascii="Times New Roman" w:hAnsi="Times New Roman" w:cs="Times New Roman"/>
        </w:rPr>
      </w:pPr>
      <w:r w:rsidRPr="00F0371C">
        <w:rPr>
          <w:rFonts w:ascii="Times New Roman" w:hAnsi="Times New Roman" w:cs="Times New Roman"/>
        </w:rPr>
        <w:t>In shaping the strategic direction of organizations and more so of those businesses that are technology oriented and more of sustainability, macro marketing environment plays a crucial role. First-mover advantages play the role of creating, differentiated as well as influencing expectations of the consumers as the succeeding companies adopt cost-effective and adaptive strategies to make ends meet in the market. The two practices are sensitive to external influences in form of technology development, governmental laws as well as consumer tastes and preferences. Understanding how these macro forces influence the strategic opportunities and threats make the firms able to synchronize marketing programs with the broader organizational objectives and stay viable in the market in the long term.</w:t>
      </w:r>
    </w:p>
    <w:p w14:paraId="355A9096" w14:textId="31E95289" w:rsidR="00A46016" w:rsidRPr="00F0371C" w:rsidRDefault="00F0371C" w:rsidP="00F0371C">
      <w:pPr>
        <w:spacing w:line="360" w:lineRule="auto"/>
        <w:jc w:val="both"/>
        <w:rPr>
          <w:rFonts w:ascii="Times New Roman" w:hAnsi="Times New Roman" w:cs="Times New Roman"/>
        </w:rPr>
      </w:pPr>
      <w:r w:rsidRPr="00F0371C">
        <w:rPr>
          <w:rFonts w:ascii="Times New Roman" w:hAnsi="Times New Roman" w:cs="Times New Roman"/>
        </w:rPr>
        <w:t>The reaction of the technological-contextual forces to the factors of the strategy suggests that it was required to reconcile the innovativeness and risk management traits. The proactive strategy which is leveraged by innovators to drive the digital transformation processes and sustainability campaign, the design of value cycles and brand loyalty, and the compliance regulation geared towards being considered legitimate and efficient can be applied to the followers who pursue to enhance most processes by a small margin. When such strategies are analyzed, the firms can identify the most suitable strategies they can utilize macro-environmental forces and attain sustainable competitive advantage. Lastly, flexibility, creativity, and the process of integrating and introducing strategic perception of the outside forces determine the level of strength with which the firms can handle uncertainties and the way in which they can exploit the external market opportunities.</w:t>
      </w:r>
    </w:p>
    <w:p w14:paraId="07A569C4" w14:textId="77777777" w:rsidR="00FD1A9E" w:rsidRPr="00F0371C" w:rsidRDefault="00FD1A9E">
      <w:pPr>
        <w:rPr>
          <w:rFonts w:ascii="Times New Roman" w:hAnsi="Times New Roman" w:cs="Times New Roman"/>
          <w:b/>
          <w:bCs/>
        </w:rPr>
      </w:pPr>
      <w:r w:rsidRPr="00F0371C">
        <w:br w:type="page"/>
      </w:r>
    </w:p>
    <w:p w14:paraId="6D16D310" w14:textId="5E1285D7" w:rsidR="00FC0E69" w:rsidRPr="00F0371C" w:rsidRDefault="00A46016" w:rsidP="00A46016">
      <w:pPr>
        <w:pStyle w:val="Heading1"/>
      </w:pPr>
      <w:bookmarkStart w:id="9" w:name="_Toc214547629"/>
      <w:r w:rsidRPr="00F0371C">
        <w:t>Reference List</w:t>
      </w:r>
      <w:bookmarkEnd w:id="9"/>
    </w:p>
    <w:p w14:paraId="0583246A"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Apaza-Panca, C.M., Quevedo, L.A.F. and Reyes, L.M.C., 2024. </w:t>
      </w:r>
      <w:r w:rsidRPr="00F0371C">
        <w:rPr>
          <w:rFonts w:ascii="Times New Roman" w:hAnsi="Times New Roman" w:cs="Times New Roman"/>
          <w:i/>
          <w:iCs/>
        </w:rPr>
        <w:t>Green marketing to promote the natural protected area.</w:t>
      </w:r>
      <w:r w:rsidRPr="00F0371C">
        <w:rPr>
          <w:rFonts w:ascii="Times New Roman" w:hAnsi="Times New Roman" w:cs="Times New Roman"/>
        </w:rPr>
        <w:t xml:space="preserve"> </w:t>
      </w:r>
      <w:r w:rsidRPr="00F0371C">
        <w:rPr>
          <w:rFonts w:ascii="Times New Roman" w:hAnsi="Times New Roman" w:cs="Times New Roman"/>
          <w:i/>
          <w:iCs/>
        </w:rPr>
        <w:t>Sustainable Technology and Entrepreneurship,</w:t>
      </w:r>
      <w:r w:rsidRPr="00F0371C">
        <w:rPr>
          <w:rFonts w:ascii="Times New Roman" w:hAnsi="Times New Roman" w:cs="Times New Roman"/>
        </w:rPr>
        <w:t xml:space="preserve"> 3(3), p.100067.</w:t>
      </w:r>
    </w:p>
    <w:p w14:paraId="1318A7AA"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Donthu, N., Kumar, S., Pattnaik, D. and Lim, W.M., 2021. </w:t>
      </w:r>
      <w:r w:rsidRPr="00F0371C">
        <w:rPr>
          <w:rFonts w:ascii="Times New Roman" w:hAnsi="Times New Roman" w:cs="Times New Roman"/>
          <w:i/>
          <w:iCs/>
        </w:rPr>
        <w:t>A bibliometric retrospection of marketing from the lens of psychology: Insights from Psychology &amp; Marketing.</w:t>
      </w:r>
      <w:r w:rsidRPr="00F0371C">
        <w:rPr>
          <w:rFonts w:ascii="Times New Roman" w:hAnsi="Times New Roman" w:cs="Times New Roman"/>
        </w:rPr>
        <w:t xml:space="preserve"> </w:t>
      </w:r>
      <w:r w:rsidRPr="00F0371C">
        <w:rPr>
          <w:rFonts w:ascii="Times New Roman" w:hAnsi="Times New Roman" w:cs="Times New Roman"/>
          <w:i/>
          <w:iCs/>
        </w:rPr>
        <w:t>Psychology &amp; Marketing,</w:t>
      </w:r>
      <w:r w:rsidRPr="00F0371C">
        <w:rPr>
          <w:rFonts w:ascii="Times New Roman" w:hAnsi="Times New Roman" w:cs="Times New Roman"/>
        </w:rPr>
        <w:t xml:space="preserve"> 38(5), pp.834–865.</w:t>
      </w:r>
    </w:p>
    <w:p w14:paraId="33E4DE3B" w14:textId="77777777" w:rsidR="00937EE2" w:rsidRPr="00F0371C" w:rsidRDefault="00937EE2" w:rsidP="007B1D7B">
      <w:pPr>
        <w:spacing w:line="360" w:lineRule="auto"/>
        <w:jc w:val="both"/>
        <w:rPr>
          <w:rFonts w:ascii="Times New Roman" w:hAnsi="Times New Roman" w:cs="Times New Roman"/>
        </w:rPr>
      </w:pPr>
      <w:r w:rsidRPr="00F0371C">
        <w:rPr>
          <w:rFonts w:ascii="Times New Roman" w:hAnsi="Times New Roman" w:cs="Times New Roman"/>
        </w:rPr>
        <w:t>Dreiling, A. and Bican, P.M., 2022. Pioneer or follower: Which strategy to choose?. In The Routledge companion to technology management (pp. 100-115). Routledge.</w:t>
      </w:r>
    </w:p>
    <w:p w14:paraId="6E2E3D1F"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Feng, S., Zhang, R. and Li, G., 2022. </w:t>
      </w:r>
      <w:r w:rsidRPr="00F0371C">
        <w:rPr>
          <w:rFonts w:ascii="Times New Roman" w:hAnsi="Times New Roman" w:cs="Times New Roman"/>
          <w:i/>
          <w:iCs/>
        </w:rPr>
        <w:t>Environmental decentralization, digital finance and green technology innovation.</w:t>
      </w:r>
      <w:r w:rsidRPr="00F0371C">
        <w:rPr>
          <w:rFonts w:ascii="Times New Roman" w:hAnsi="Times New Roman" w:cs="Times New Roman"/>
        </w:rPr>
        <w:t xml:space="preserve"> </w:t>
      </w:r>
      <w:r w:rsidRPr="00F0371C">
        <w:rPr>
          <w:rFonts w:ascii="Times New Roman" w:hAnsi="Times New Roman" w:cs="Times New Roman"/>
          <w:i/>
          <w:iCs/>
        </w:rPr>
        <w:t>Structural Change and Economic Dynamics,</w:t>
      </w:r>
      <w:r w:rsidRPr="00F0371C">
        <w:rPr>
          <w:rFonts w:ascii="Times New Roman" w:hAnsi="Times New Roman" w:cs="Times New Roman"/>
        </w:rPr>
        <w:t xml:space="preserve"> 61, pp.70–83.</w:t>
      </w:r>
    </w:p>
    <w:p w14:paraId="7EEBB73C" w14:textId="77777777" w:rsidR="00937EE2" w:rsidRPr="00F0371C" w:rsidRDefault="00937EE2" w:rsidP="007B1D7B">
      <w:pPr>
        <w:spacing w:line="360" w:lineRule="auto"/>
        <w:jc w:val="both"/>
        <w:rPr>
          <w:rFonts w:ascii="Times New Roman" w:hAnsi="Times New Roman" w:cs="Times New Roman"/>
        </w:rPr>
      </w:pPr>
      <w:r w:rsidRPr="00F0371C">
        <w:rPr>
          <w:rFonts w:ascii="Times New Roman" w:hAnsi="Times New Roman" w:cs="Times New Roman"/>
        </w:rPr>
        <w:t>Giachetti, C. and Pira, S.L., 2022. Catching up with the market leader: Does it pay to rapidly imitate its innovations?. Research Policy, 51(5), p.104505.</w:t>
      </w:r>
    </w:p>
    <w:p w14:paraId="33E16512" w14:textId="77777777" w:rsidR="00937EE2" w:rsidRPr="00F0371C" w:rsidRDefault="00937EE2" w:rsidP="007B1D7B">
      <w:pPr>
        <w:spacing w:line="360" w:lineRule="auto"/>
        <w:jc w:val="both"/>
        <w:rPr>
          <w:rFonts w:ascii="Times New Roman" w:hAnsi="Times New Roman" w:cs="Times New Roman"/>
        </w:rPr>
      </w:pPr>
      <w:r w:rsidRPr="00F0371C">
        <w:rPr>
          <w:rFonts w:ascii="Times New Roman" w:hAnsi="Times New Roman" w:cs="Times New Roman"/>
        </w:rPr>
        <w:t>Gomez, J., Perez-Aradros, B. and Salazar, I., 2022. How to beat early movers: The role of competitive strategy and industry dynamism on followers’ performance in the telecommunications industry. Long Range Planning, 55(5), p.102244.</w:t>
      </w:r>
    </w:p>
    <w:p w14:paraId="68EF2925" w14:textId="77777777" w:rsidR="00937EE2" w:rsidRPr="00F0371C" w:rsidRDefault="00937EE2" w:rsidP="007B1D7B">
      <w:pPr>
        <w:spacing w:line="360" w:lineRule="auto"/>
        <w:jc w:val="both"/>
        <w:rPr>
          <w:rFonts w:ascii="Times New Roman" w:hAnsi="Times New Roman" w:cs="Times New Roman"/>
        </w:rPr>
      </w:pPr>
      <w:r w:rsidRPr="00F0371C">
        <w:rPr>
          <w:rFonts w:ascii="Times New Roman" w:hAnsi="Times New Roman" w:cs="Times New Roman"/>
        </w:rPr>
        <w:t>Kamp, B. and Ruiz de Apodaca, I., 2023. Leveraging (in) formal early-mover and diligent-follower advantage mechanisms to attain international niche market leadership: insights from Basque “hidden champions”. Competitiveness Review: An International Business Journal, 33(6), pp.1013-1045.</w:t>
      </w:r>
    </w:p>
    <w:p w14:paraId="3A0A66D4"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Kant, S., Adula, M., Yadete, F.D. and Asefa, K., 2023. </w:t>
      </w:r>
      <w:r w:rsidRPr="00F0371C">
        <w:rPr>
          <w:rFonts w:ascii="Times New Roman" w:hAnsi="Times New Roman" w:cs="Times New Roman"/>
          <w:i/>
          <w:iCs/>
        </w:rPr>
        <w:t>Entrepreneurial Innovation Mediating among Marketing Strategies and Venture Sustainability in Ethiopia's.</w:t>
      </w:r>
      <w:r w:rsidRPr="00F0371C">
        <w:rPr>
          <w:rFonts w:ascii="Times New Roman" w:hAnsi="Times New Roman" w:cs="Times New Roman"/>
        </w:rPr>
        <w:t xml:space="preserve"> </w:t>
      </w:r>
      <w:r w:rsidRPr="00F0371C">
        <w:rPr>
          <w:rFonts w:ascii="Times New Roman" w:hAnsi="Times New Roman" w:cs="Times New Roman"/>
          <w:i/>
          <w:iCs/>
        </w:rPr>
        <w:t>International Journal of Entrepreneurship, Business and Creative Economy,</w:t>
      </w:r>
      <w:r w:rsidRPr="00F0371C">
        <w:rPr>
          <w:rFonts w:ascii="Times New Roman" w:hAnsi="Times New Roman" w:cs="Times New Roman"/>
        </w:rPr>
        <w:t xml:space="preserve"> 3(2), p.92.</w:t>
      </w:r>
    </w:p>
    <w:p w14:paraId="3C17AC8E"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Kaur, B., Gangwar, V.P. and Dash, G., 2022. </w:t>
      </w:r>
      <w:r w:rsidRPr="00F0371C">
        <w:rPr>
          <w:rFonts w:ascii="Times New Roman" w:hAnsi="Times New Roman" w:cs="Times New Roman"/>
          <w:i/>
          <w:iCs/>
        </w:rPr>
        <w:t>Green marketing strategies, environmental attitude, and green buying intention: A multi-group analysis in an emerging economy context.</w:t>
      </w:r>
      <w:r w:rsidRPr="00F0371C">
        <w:rPr>
          <w:rFonts w:ascii="Times New Roman" w:hAnsi="Times New Roman" w:cs="Times New Roman"/>
        </w:rPr>
        <w:t xml:space="preserve"> </w:t>
      </w:r>
      <w:r w:rsidRPr="00F0371C">
        <w:rPr>
          <w:rFonts w:ascii="Times New Roman" w:hAnsi="Times New Roman" w:cs="Times New Roman"/>
          <w:i/>
          <w:iCs/>
        </w:rPr>
        <w:t>Sustainability,</w:t>
      </w:r>
      <w:r w:rsidRPr="00F0371C">
        <w:rPr>
          <w:rFonts w:ascii="Times New Roman" w:hAnsi="Times New Roman" w:cs="Times New Roman"/>
        </w:rPr>
        <w:t xml:space="preserve"> 14(10), p.6107.</w:t>
      </w:r>
    </w:p>
    <w:p w14:paraId="73439FBF"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Lin, B. and Zhang, A., 2023. </w:t>
      </w:r>
      <w:r w:rsidRPr="00F0371C">
        <w:rPr>
          <w:rFonts w:ascii="Times New Roman" w:hAnsi="Times New Roman" w:cs="Times New Roman"/>
          <w:i/>
          <w:iCs/>
        </w:rPr>
        <w:t>Government subsidies, market competition and the TFP of new energy enterprises.</w:t>
      </w:r>
      <w:r w:rsidRPr="00F0371C">
        <w:rPr>
          <w:rFonts w:ascii="Times New Roman" w:hAnsi="Times New Roman" w:cs="Times New Roman"/>
        </w:rPr>
        <w:t xml:space="preserve"> </w:t>
      </w:r>
      <w:r w:rsidRPr="00F0371C">
        <w:rPr>
          <w:rFonts w:ascii="Times New Roman" w:hAnsi="Times New Roman" w:cs="Times New Roman"/>
          <w:i/>
          <w:iCs/>
        </w:rPr>
        <w:t>Renewable Energy,</w:t>
      </w:r>
      <w:r w:rsidRPr="00F0371C">
        <w:rPr>
          <w:rFonts w:ascii="Times New Roman" w:hAnsi="Times New Roman" w:cs="Times New Roman"/>
        </w:rPr>
        <w:t xml:space="preserve"> 216, p.119090.</w:t>
      </w:r>
    </w:p>
    <w:p w14:paraId="04544C44"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Majeed, M.U., Aslam, S., Murtaza, S.A., Attila, S. and Molnár, E., 2022. </w:t>
      </w:r>
      <w:r w:rsidRPr="00F0371C">
        <w:rPr>
          <w:rFonts w:ascii="Times New Roman" w:hAnsi="Times New Roman" w:cs="Times New Roman"/>
          <w:i/>
          <w:iCs/>
        </w:rPr>
        <w:t>Green marketing approaches and their impact on green purchase intentions.</w:t>
      </w:r>
      <w:r w:rsidRPr="00F0371C">
        <w:rPr>
          <w:rFonts w:ascii="Times New Roman" w:hAnsi="Times New Roman" w:cs="Times New Roman"/>
        </w:rPr>
        <w:t xml:space="preserve"> </w:t>
      </w:r>
      <w:r w:rsidRPr="00F0371C">
        <w:rPr>
          <w:rFonts w:ascii="Times New Roman" w:hAnsi="Times New Roman" w:cs="Times New Roman"/>
          <w:i/>
          <w:iCs/>
        </w:rPr>
        <w:t>Sustainability,</w:t>
      </w:r>
      <w:r w:rsidRPr="00F0371C">
        <w:rPr>
          <w:rFonts w:ascii="Times New Roman" w:hAnsi="Times New Roman" w:cs="Times New Roman"/>
        </w:rPr>
        <w:t xml:space="preserve"> 14(18), p.11703.</w:t>
      </w:r>
    </w:p>
    <w:p w14:paraId="30FE7325"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Nair, K. and Gupta, R., 2021. </w:t>
      </w:r>
      <w:r w:rsidRPr="00F0371C">
        <w:rPr>
          <w:rFonts w:ascii="Times New Roman" w:hAnsi="Times New Roman" w:cs="Times New Roman"/>
          <w:i/>
          <w:iCs/>
        </w:rPr>
        <w:t>Application of AI technology in modern digital marketing environment.</w:t>
      </w:r>
      <w:r w:rsidRPr="00F0371C">
        <w:rPr>
          <w:rFonts w:ascii="Times New Roman" w:hAnsi="Times New Roman" w:cs="Times New Roman"/>
        </w:rPr>
        <w:t xml:space="preserve"> </w:t>
      </w:r>
      <w:r w:rsidRPr="00F0371C">
        <w:rPr>
          <w:rFonts w:ascii="Times New Roman" w:hAnsi="Times New Roman" w:cs="Times New Roman"/>
          <w:i/>
          <w:iCs/>
        </w:rPr>
        <w:t>World Journal of Entrepreneurship, Management and Sustainable Development,</w:t>
      </w:r>
      <w:r w:rsidRPr="00F0371C">
        <w:rPr>
          <w:rFonts w:ascii="Times New Roman" w:hAnsi="Times New Roman" w:cs="Times New Roman"/>
        </w:rPr>
        <w:t xml:space="preserve"> 17(3), pp.318–328.</w:t>
      </w:r>
    </w:p>
    <w:p w14:paraId="2C940CE3"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Peattie, K., 2023. </w:t>
      </w:r>
      <w:r w:rsidRPr="00F0371C">
        <w:rPr>
          <w:rFonts w:ascii="Times New Roman" w:hAnsi="Times New Roman" w:cs="Times New Roman"/>
          <w:i/>
          <w:iCs/>
        </w:rPr>
        <w:t>The Marketing Environment for.</w:t>
      </w:r>
      <w:r w:rsidRPr="00F0371C">
        <w:rPr>
          <w:rFonts w:ascii="Times New Roman" w:hAnsi="Times New Roman" w:cs="Times New Roman"/>
        </w:rPr>
        <w:t xml:space="preserve"> </w:t>
      </w:r>
      <w:r w:rsidRPr="00F0371C">
        <w:rPr>
          <w:rFonts w:ascii="Times New Roman" w:hAnsi="Times New Roman" w:cs="Times New Roman"/>
          <w:i/>
          <w:iCs/>
        </w:rPr>
        <w:t>Strategic Management in Tourism: [9789368424017],</w:t>
      </w:r>
      <w:r w:rsidRPr="00F0371C">
        <w:rPr>
          <w:rFonts w:ascii="Times New Roman" w:hAnsi="Times New Roman" w:cs="Times New Roman"/>
        </w:rPr>
        <w:t xml:space="preserve"> p.17.</w:t>
      </w:r>
    </w:p>
    <w:p w14:paraId="46BF2E04"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Rollins, N., Piwoz, E., Baker, P., Kingston, G., Mabaso, K.M., McCoy, D., Neves, P.A.R., Pérez-Escamilla, R., Richter, L., Russ, K. and Sen, G., 2023. </w:t>
      </w:r>
      <w:r w:rsidRPr="00F0371C">
        <w:rPr>
          <w:rFonts w:ascii="Times New Roman" w:hAnsi="Times New Roman" w:cs="Times New Roman"/>
          <w:i/>
          <w:iCs/>
        </w:rPr>
        <w:t>Marketing of commercial milk formula: a system to capture parents, communities, science, and policy.</w:t>
      </w:r>
      <w:r w:rsidRPr="00F0371C">
        <w:rPr>
          <w:rFonts w:ascii="Times New Roman" w:hAnsi="Times New Roman" w:cs="Times New Roman"/>
        </w:rPr>
        <w:t xml:space="preserve"> </w:t>
      </w:r>
      <w:r w:rsidRPr="00F0371C">
        <w:rPr>
          <w:rFonts w:ascii="Times New Roman" w:hAnsi="Times New Roman" w:cs="Times New Roman"/>
          <w:i/>
          <w:iCs/>
        </w:rPr>
        <w:t>The Lancet,</w:t>
      </w:r>
      <w:r w:rsidRPr="00F0371C">
        <w:rPr>
          <w:rFonts w:ascii="Times New Roman" w:hAnsi="Times New Roman" w:cs="Times New Roman"/>
        </w:rPr>
        <w:t xml:space="preserve"> 401(10375), pp.486–502.</w:t>
      </w:r>
    </w:p>
    <w:p w14:paraId="2F552938"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Saura, J.R., 2021. </w:t>
      </w:r>
      <w:r w:rsidRPr="00F0371C">
        <w:rPr>
          <w:rFonts w:ascii="Times New Roman" w:hAnsi="Times New Roman" w:cs="Times New Roman"/>
          <w:i/>
          <w:iCs/>
        </w:rPr>
        <w:t>Using data sciences in digital marketing: Framework, methods, and performance metrics.</w:t>
      </w:r>
      <w:r w:rsidRPr="00F0371C">
        <w:rPr>
          <w:rFonts w:ascii="Times New Roman" w:hAnsi="Times New Roman" w:cs="Times New Roman"/>
        </w:rPr>
        <w:t xml:space="preserve"> </w:t>
      </w:r>
      <w:r w:rsidRPr="00F0371C">
        <w:rPr>
          <w:rFonts w:ascii="Times New Roman" w:hAnsi="Times New Roman" w:cs="Times New Roman"/>
          <w:i/>
          <w:iCs/>
        </w:rPr>
        <w:t>Journal of Innovation &amp; Knowledge,</w:t>
      </w:r>
      <w:r w:rsidRPr="00F0371C">
        <w:rPr>
          <w:rFonts w:ascii="Times New Roman" w:hAnsi="Times New Roman" w:cs="Times New Roman"/>
        </w:rPr>
        <w:t xml:space="preserve"> 6(2), pp.92–102.</w:t>
      </w:r>
    </w:p>
    <w:p w14:paraId="711B140B"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Sharma, A.P., 2021. </w:t>
      </w:r>
      <w:r w:rsidRPr="00F0371C">
        <w:rPr>
          <w:rFonts w:ascii="Times New Roman" w:hAnsi="Times New Roman" w:cs="Times New Roman"/>
          <w:i/>
          <w:iCs/>
        </w:rPr>
        <w:t>Consumers’ purchase behaviour and green marketing: A synthesis, review and agenda.</w:t>
      </w:r>
      <w:r w:rsidRPr="00F0371C">
        <w:rPr>
          <w:rFonts w:ascii="Times New Roman" w:hAnsi="Times New Roman" w:cs="Times New Roman"/>
        </w:rPr>
        <w:t xml:space="preserve"> </w:t>
      </w:r>
      <w:r w:rsidRPr="00F0371C">
        <w:rPr>
          <w:rFonts w:ascii="Times New Roman" w:hAnsi="Times New Roman" w:cs="Times New Roman"/>
          <w:i/>
          <w:iCs/>
        </w:rPr>
        <w:t>International Journal of Consumer Studies,</w:t>
      </w:r>
      <w:r w:rsidRPr="00F0371C">
        <w:rPr>
          <w:rFonts w:ascii="Times New Roman" w:hAnsi="Times New Roman" w:cs="Times New Roman"/>
        </w:rPr>
        <w:t xml:space="preserve"> 45(6), pp.1217–1238.</w:t>
      </w:r>
    </w:p>
    <w:p w14:paraId="36DCEDDF" w14:textId="77777777" w:rsidR="00937EE2" w:rsidRPr="00F0371C" w:rsidRDefault="00937EE2" w:rsidP="007B1D7B">
      <w:pPr>
        <w:spacing w:line="360" w:lineRule="auto"/>
        <w:jc w:val="both"/>
        <w:rPr>
          <w:rFonts w:ascii="Times New Roman" w:hAnsi="Times New Roman" w:cs="Times New Roman"/>
        </w:rPr>
      </w:pPr>
      <w:r w:rsidRPr="00F0371C">
        <w:rPr>
          <w:rFonts w:ascii="Times New Roman" w:hAnsi="Times New Roman" w:cs="Times New Roman"/>
        </w:rPr>
        <w:t>Wei, S.J., Wei, Z. and Xu, J., 2021. On the market failure of “missing pioneers”. Journal of Development Economics, 152, p.102705.</w:t>
      </w:r>
    </w:p>
    <w:p w14:paraId="549E51DC" w14:textId="77777777" w:rsidR="00937EE2" w:rsidRPr="00F0371C" w:rsidRDefault="00937EE2" w:rsidP="00A46016">
      <w:pPr>
        <w:spacing w:line="360" w:lineRule="auto"/>
        <w:jc w:val="both"/>
        <w:rPr>
          <w:rFonts w:ascii="Times New Roman" w:hAnsi="Times New Roman" w:cs="Times New Roman"/>
        </w:rPr>
      </w:pPr>
      <w:r w:rsidRPr="00F0371C">
        <w:rPr>
          <w:rFonts w:ascii="Times New Roman" w:hAnsi="Times New Roman" w:cs="Times New Roman"/>
        </w:rPr>
        <w:t xml:space="preserve">Wu, C.W. and Monfort, A., 2023. </w:t>
      </w:r>
      <w:r w:rsidRPr="00F0371C">
        <w:rPr>
          <w:rFonts w:ascii="Times New Roman" w:hAnsi="Times New Roman" w:cs="Times New Roman"/>
          <w:i/>
          <w:iCs/>
        </w:rPr>
        <w:t>Role of artificial intelligence in marketing strategies and performance.</w:t>
      </w:r>
      <w:r w:rsidRPr="00F0371C">
        <w:rPr>
          <w:rFonts w:ascii="Times New Roman" w:hAnsi="Times New Roman" w:cs="Times New Roman"/>
        </w:rPr>
        <w:t xml:space="preserve"> </w:t>
      </w:r>
      <w:r w:rsidRPr="00F0371C">
        <w:rPr>
          <w:rFonts w:ascii="Times New Roman" w:hAnsi="Times New Roman" w:cs="Times New Roman"/>
          <w:i/>
          <w:iCs/>
        </w:rPr>
        <w:t>Psychology &amp; Marketing,</w:t>
      </w:r>
      <w:r w:rsidRPr="00F0371C">
        <w:rPr>
          <w:rFonts w:ascii="Times New Roman" w:hAnsi="Times New Roman" w:cs="Times New Roman"/>
        </w:rPr>
        <w:t xml:space="preserve"> 40(3), pp.484–496.</w:t>
      </w:r>
    </w:p>
    <w:p w14:paraId="00D21A58" w14:textId="77777777" w:rsidR="00A46016" w:rsidRPr="00F0371C" w:rsidRDefault="00A46016" w:rsidP="00FC0E69">
      <w:pPr>
        <w:spacing w:line="360" w:lineRule="auto"/>
        <w:jc w:val="both"/>
        <w:rPr>
          <w:rFonts w:ascii="Times New Roman" w:hAnsi="Times New Roman" w:cs="Times New Roman"/>
        </w:rPr>
      </w:pPr>
    </w:p>
    <w:sectPr w:rsidR="00A46016" w:rsidRPr="00F0371C" w:rsidSect="007A6459">
      <w:footerReference w:type="default" r:id="rId9"/>
      <w:pgSz w:w="12240" w:h="15840"/>
      <w:pgMar w:top="1440" w:right="1440" w:bottom="1440" w:left="1440" w:header="68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346E0" w14:textId="77777777" w:rsidR="006D0ACD" w:rsidRDefault="006D0ACD" w:rsidP="00A46016">
      <w:pPr>
        <w:spacing w:after="0" w:line="240" w:lineRule="auto"/>
      </w:pPr>
      <w:r>
        <w:separator/>
      </w:r>
    </w:p>
  </w:endnote>
  <w:endnote w:type="continuationSeparator" w:id="0">
    <w:p w14:paraId="472B76B4" w14:textId="77777777" w:rsidR="006D0ACD" w:rsidRDefault="006D0ACD" w:rsidP="00A46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1368516640"/>
      <w:docPartObj>
        <w:docPartGallery w:val="Page Numbers (Bottom of Page)"/>
        <w:docPartUnique/>
      </w:docPartObj>
    </w:sdtPr>
    <w:sdtEndPr>
      <w:rPr>
        <w:noProof/>
      </w:rPr>
    </w:sdtEndPr>
    <w:sdtContent>
      <w:p w14:paraId="4757B0A9" w14:textId="363CD802" w:rsidR="00A46016" w:rsidRPr="00A46016" w:rsidRDefault="00A46016">
        <w:pPr>
          <w:pStyle w:val="Footer"/>
          <w:jc w:val="center"/>
          <w:rPr>
            <w:rFonts w:ascii="Times New Roman" w:hAnsi="Times New Roman" w:cs="Times New Roman"/>
            <w:sz w:val="20"/>
            <w:szCs w:val="20"/>
          </w:rPr>
        </w:pPr>
        <w:r w:rsidRPr="00A46016">
          <w:rPr>
            <w:rFonts w:ascii="Times New Roman" w:hAnsi="Times New Roman" w:cs="Times New Roman"/>
            <w:sz w:val="20"/>
            <w:szCs w:val="20"/>
          </w:rPr>
          <w:fldChar w:fldCharType="begin"/>
        </w:r>
        <w:r w:rsidRPr="00A46016">
          <w:rPr>
            <w:rFonts w:ascii="Times New Roman" w:hAnsi="Times New Roman" w:cs="Times New Roman"/>
            <w:sz w:val="20"/>
            <w:szCs w:val="20"/>
          </w:rPr>
          <w:instrText xml:space="preserve"> PAGE   \* MERGEFORMAT </w:instrText>
        </w:r>
        <w:r w:rsidRPr="00A46016">
          <w:rPr>
            <w:rFonts w:ascii="Times New Roman" w:hAnsi="Times New Roman" w:cs="Times New Roman"/>
            <w:sz w:val="20"/>
            <w:szCs w:val="20"/>
          </w:rPr>
          <w:fldChar w:fldCharType="separate"/>
        </w:r>
        <w:r w:rsidRPr="00A46016">
          <w:rPr>
            <w:rFonts w:ascii="Times New Roman" w:hAnsi="Times New Roman" w:cs="Times New Roman"/>
            <w:noProof/>
            <w:sz w:val="20"/>
            <w:szCs w:val="20"/>
          </w:rPr>
          <w:t>2</w:t>
        </w:r>
        <w:r w:rsidRPr="00A46016">
          <w:rPr>
            <w:rFonts w:ascii="Times New Roman" w:hAnsi="Times New Roman" w:cs="Times New Roman"/>
            <w:noProof/>
            <w:sz w:val="20"/>
            <w:szCs w:val="20"/>
          </w:rPr>
          <w:fldChar w:fldCharType="end"/>
        </w:r>
      </w:p>
    </w:sdtContent>
  </w:sdt>
  <w:p w14:paraId="5F444B83" w14:textId="77777777" w:rsidR="00A46016" w:rsidRPr="00A46016" w:rsidRDefault="00A46016">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46E95" w14:textId="77777777" w:rsidR="006D0ACD" w:rsidRDefault="006D0ACD" w:rsidP="00A46016">
      <w:pPr>
        <w:spacing w:after="0" w:line="240" w:lineRule="auto"/>
      </w:pPr>
      <w:r>
        <w:separator/>
      </w:r>
    </w:p>
  </w:footnote>
  <w:footnote w:type="continuationSeparator" w:id="0">
    <w:p w14:paraId="07C5B6DA" w14:textId="77777777" w:rsidR="006D0ACD" w:rsidRDefault="006D0ACD" w:rsidP="00A460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A25"/>
    <w:rsid w:val="00064BC3"/>
    <w:rsid w:val="00114919"/>
    <w:rsid w:val="0017118D"/>
    <w:rsid w:val="0021117A"/>
    <w:rsid w:val="002C7A25"/>
    <w:rsid w:val="0032241C"/>
    <w:rsid w:val="00324B0F"/>
    <w:rsid w:val="00375292"/>
    <w:rsid w:val="003E66EE"/>
    <w:rsid w:val="0046454F"/>
    <w:rsid w:val="00482EF4"/>
    <w:rsid w:val="005838FB"/>
    <w:rsid w:val="0059432D"/>
    <w:rsid w:val="005C3956"/>
    <w:rsid w:val="005C56AB"/>
    <w:rsid w:val="0065020B"/>
    <w:rsid w:val="006D0ACD"/>
    <w:rsid w:val="007A6459"/>
    <w:rsid w:val="007B1D7B"/>
    <w:rsid w:val="00804A09"/>
    <w:rsid w:val="0085197C"/>
    <w:rsid w:val="00937EE2"/>
    <w:rsid w:val="0097462D"/>
    <w:rsid w:val="009749DD"/>
    <w:rsid w:val="00997D9C"/>
    <w:rsid w:val="009D2D11"/>
    <w:rsid w:val="00A46016"/>
    <w:rsid w:val="00A7191B"/>
    <w:rsid w:val="00A86C77"/>
    <w:rsid w:val="00B420B2"/>
    <w:rsid w:val="00C62EA9"/>
    <w:rsid w:val="00CE10A8"/>
    <w:rsid w:val="00D27F88"/>
    <w:rsid w:val="00D3258A"/>
    <w:rsid w:val="00E944BA"/>
    <w:rsid w:val="00EA1353"/>
    <w:rsid w:val="00F0371C"/>
    <w:rsid w:val="00F80E4C"/>
    <w:rsid w:val="00FB3F71"/>
    <w:rsid w:val="00FC0E69"/>
    <w:rsid w:val="00FD1A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6323A"/>
  <w15:chartTrackingRefBased/>
  <w15:docId w15:val="{F222AF6F-E785-499E-A08A-15E02BFBA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6016"/>
    <w:pPr>
      <w:spacing w:line="360" w:lineRule="auto"/>
      <w:jc w:val="both"/>
      <w:outlineLvl w:val="0"/>
    </w:pPr>
    <w:rPr>
      <w:rFonts w:ascii="Times New Roman" w:hAnsi="Times New Roman" w:cs="Times New Roman"/>
      <w:b/>
      <w:bCs/>
    </w:rPr>
  </w:style>
  <w:style w:type="paragraph" w:styleId="Heading2">
    <w:name w:val="heading 2"/>
    <w:basedOn w:val="Normal"/>
    <w:next w:val="Normal"/>
    <w:link w:val="Heading2Char"/>
    <w:uiPriority w:val="9"/>
    <w:unhideWhenUsed/>
    <w:qFormat/>
    <w:rsid w:val="00A46016"/>
    <w:pPr>
      <w:spacing w:line="360" w:lineRule="auto"/>
      <w:jc w:val="both"/>
      <w:outlineLvl w:val="1"/>
    </w:pPr>
    <w:rPr>
      <w:rFonts w:ascii="Times New Roman" w:hAnsi="Times New Roman" w:cs="Times New Roman"/>
      <w:b/>
      <w:bCs/>
      <w:i/>
      <w:iCs/>
    </w:rPr>
  </w:style>
  <w:style w:type="paragraph" w:styleId="Heading3">
    <w:name w:val="heading 3"/>
    <w:basedOn w:val="Normal"/>
    <w:next w:val="Normal"/>
    <w:link w:val="Heading3Char"/>
    <w:uiPriority w:val="9"/>
    <w:semiHidden/>
    <w:unhideWhenUsed/>
    <w:qFormat/>
    <w:rsid w:val="002C7A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7A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7A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7A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7A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7A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7A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6016"/>
    <w:rPr>
      <w:rFonts w:ascii="Times New Roman" w:hAnsi="Times New Roman" w:cs="Times New Roman"/>
      <w:b/>
      <w:bCs/>
    </w:rPr>
  </w:style>
  <w:style w:type="character" w:customStyle="1" w:styleId="Heading2Char">
    <w:name w:val="Heading 2 Char"/>
    <w:basedOn w:val="DefaultParagraphFont"/>
    <w:link w:val="Heading2"/>
    <w:uiPriority w:val="9"/>
    <w:rsid w:val="00A46016"/>
    <w:rPr>
      <w:rFonts w:ascii="Times New Roman" w:hAnsi="Times New Roman" w:cs="Times New Roman"/>
      <w:b/>
      <w:bCs/>
      <w:i/>
      <w:iCs/>
    </w:rPr>
  </w:style>
  <w:style w:type="character" w:customStyle="1" w:styleId="Heading3Char">
    <w:name w:val="Heading 3 Char"/>
    <w:basedOn w:val="DefaultParagraphFont"/>
    <w:link w:val="Heading3"/>
    <w:uiPriority w:val="9"/>
    <w:semiHidden/>
    <w:rsid w:val="002C7A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7A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7A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7A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7A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7A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7A25"/>
    <w:rPr>
      <w:rFonts w:eastAsiaTheme="majorEastAsia" w:cstheme="majorBidi"/>
      <w:color w:val="272727" w:themeColor="text1" w:themeTint="D8"/>
    </w:rPr>
  </w:style>
  <w:style w:type="paragraph" w:styleId="Title">
    <w:name w:val="Title"/>
    <w:basedOn w:val="Normal"/>
    <w:next w:val="Normal"/>
    <w:link w:val="TitleChar"/>
    <w:uiPriority w:val="10"/>
    <w:qFormat/>
    <w:rsid w:val="002C7A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7A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7A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7A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7A25"/>
    <w:pPr>
      <w:spacing w:before="160"/>
      <w:jc w:val="center"/>
    </w:pPr>
    <w:rPr>
      <w:i/>
      <w:iCs/>
      <w:color w:val="404040" w:themeColor="text1" w:themeTint="BF"/>
    </w:rPr>
  </w:style>
  <w:style w:type="character" w:customStyle="1" w:styleId="QuoteChar">
    <w:name w:val="Quote Char"/>
    <w:basedOn w:val="DefaultParagraphFont"/>
    <w:link w:val="Quote"/>
    <w:uiPriority w:val="29"/>
    <w:rsid w:val="002C7A25"/>
    <w:rPr>
      <w:i/>
      <w:iCs/>
      <w:color w:val="404040" w:themeColor="text1" w:themeTint="BF"/>
    </w:rPr>
  </w:style>
  <w:style w:type="paragraph" w:styleId="ListParagraph">
    <w:name w:val="List Paragraph"/>
    <w:basedOn w:val="Normal"/>
    <w:uiPriority w:val="34"/>
    <w:qFormat/>
    <w:rsid w:val="002C7A25"/>
    <w:pPr>
      <w:ind w:left="720"/>
      <w:contextualSpacing/>
    </w:pPr>
  </w:style>
  <w:style w:type="character" w:styleId="IntenseEmphasis">
    <w:name w:val="Intense Emphasis"/>
    <w:basedOn w:val="DefaultParagraphFont"/>
    <w:uiPriority w:val="21"/>
    <w:qFormat/>
    <w:rsid w:val="002C7A25"/>
    <w:rPr>
      <w:i/>
      <w:iCs/>
      <w:color w:val="0F4761" w:themeColor="accent1" w:themeShade="BF"/>
    </w:rPr>
  </w:style>
  <w:style w:type="paragraph" w:styleId="IntenseQuote">
    <w:name w:val="Intense Quote"/>
    <w:basedOn w:val="Normal"/>
    <w:next w:val="Normal"/>
    <w:link w:val="IntenseQuoteChar"/>
    <w:uiPriority w:val="30"/>
    <w:qFormat/>
    <w:rsid w:val="002C7A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7A25"/>
    <w:rPr>
      <w:i/>
      <w:iCs/>
      <w:color w:val="0F4761" w:themeColor="accent1" w:themeShade="BF"/>
    </w:rPr>
  </w:style>
  <w:style w:type="character" w:styleId="IntenseReference">
    <w:name w:val="Intense Reference"/>
    <w:basedOn w:val="DefaultParagraphFont"/>
    <w:uiPriority w:val="32"/>
    <w:qFormat/>
    <w:rsid w:val="002C7A25"/>
    <w:rPr>
      <w:b/>
      <w:bCs/>
      <w:smallCaps/>
      <w:color w:val="0F4761" w:themeColor="accent1" w:themeShade="BF"/>
      <w:spacing w:val="5"/>
    </w:rPr>
  </w:style>
  <w:style w:type="table" w:styleId="GridTable4-Accent1">
    <w:name w:val="Grid Table 4 Accent 1"/>
    <w:basedOn w:val="TableNormal"/>
    <w:uiPriority w:val="49"/>
    <w:rsid w:val="0097462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A46016"/>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A46016"/>
    <w:pPr>
      <w:spacing w:after="100"/>
    </w:pPr>
  </w:style>
  <w:style w:type="paragraph" w:styleId="TOC2">
    <w:name w:val="toc 2"/>
    <w:basedOn w:val="Normal"/>
    <w:next w:val="Normal"/>
    <w:autoRedefine/>
    <w:uiPriority w:val="39"/>
    <w:unhideWhenUsed/>
    <w:rsid w:val="00A46016"/>
    <w:pPr>
      <w:spacing w:after="100"/>
      <w:ind w:left="240"/>
    </w:pPr>
  </w:style>
  <w:style w:type="character" w:styleId="Hyperlink">
    <w:name w:val="Hyperlink"/>
    <w:basedOn w:val="DefaultParagraphFont"/>
    <w:uiPriority w:val="99"/>
    <w:unhideWhenUsed/>
    <w:rsid w:val="00A46016"/>
    <w:rPr>
      <w:color w:val="467886" w:themeColor="hyperlink"/>
      <w:u w:val="single"/>
    </w:rPr>
  </w:style>
  <w:style w:type="paragraph" w:styleId="Header">
    <w:name w:val="header"/>
    <w:basedOn w:val="Normal"/>
    <w:link w:val="HeaderChar"/>
    <w:uiPriority w:val="99"/>
    <w:unhideWhenUsed/>
    <w:rsid w:val="00A460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6016"/>
  </w:style>
  <w:style w:type="paragraph" w:styleId="Footer">
    <w:name w:val="footer"/>
    <w:basedOn w:val="Normal"/>
    <w:link w:val="FooterChar"/>
    <w:uiPriority w:val="99"/>
    <w:unhideWhenUsed/>
    <w:rsid w:val="00A46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6016"/>
  </w:style>
  <w:style w:type="table" w:styleId="GridTable4-Accent3">
    <w:name w:val="Grid Table 4 Accent 3"/>
    <w:basedOn w:val="TableNormal"/>
    <w:uiPriority w:val="49"/>
    <w:rsid w:val="005C56AB"/>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5C56AB"/>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3" Type="http://schemas.openxmlformats.org/officeDocument/2006/relationships/settings" Target="settings.xml" /><Relationship Id="rId7" Type="http://schemas.openxmlformats.org/officeDocument/2006/relationships/image" Target="media/image1.jp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C867B1-3EEE-41A2-A9F7-A737505481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3439</Words>
  <Characters>19604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Shubhojit Manik</dc:creator>
  <cp:keywords/>
  <dc:description/>
  <cp:lastModifiedBy>minuddin sarker</cp:lastModifiedBy>
  <cp:revision>2</cp:revision>
  <dcterms:created xsi:type="dcterms:W3CDTF">2025-11-21T08:43:00Z</dcterms:created>
  <dcterms:modified xsi:type="dcterms:W3CDTF">2025-11-21T08:43:00Z</dcterms:modified>
</cp:coreProperties>
</file>