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DDB41" w14:textId="04B559D9" w:rsidR="00401FDB" w:rsidRPr="00BF758E" w:rsidRDefault="00D709A4" w:rsidP="00D709A4">
      <w:pPr>
        <w:rPr>
          <w:rFonts w:ascii="Calibri" w:hAnsi="Calibri" w:cs="Calibri"/>
        </w:rPr>
      </w:pPr>
      <w:r w:rsidRPr="00BF758E">
        <w:rPr>
          <w:rFonts w:ascii="Calibri" w:hAnsi="Calibri" w:cs="Calibri"/>
          <w:noProof/>
        </w:rPr>
        <w:drawing>
          <wp:inline distT="0" distB="0" distL="0" distR="0" wp14:anchorId="75BB8D7F" wp14:editId="61D61D45">
            <wp:extent cx="1844790" cy="647700"/>
            <wp:effectExtent l="0" t="0" r="3175" b="0"/>
            <wp:docPr id="613470409" name="Picture 1" descr="Prifysgol Cymru Y Drindod Dewi Sant University of W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46840" cy="648420"/>
                    </a:xfrm>
                    <a:prstGeom prst="rect">
                      <a:avLst/>
                    </a:prstGeom>
                    <a:noFill/>
                    <a:ln>
                      <a:noFill/>
                    </a:ln>
                  </pic:spPr>
                </pic:pic>
              </a:graphicData>
            </a:graphic>
          </wp:inline>
        </w:drawing>
      </w:r>
    </w:p>
    <w:p w14:paraId="2803E192" w14:textId="77777777" w:rsidR="00401FDB" w:rsidRPr="00BF758E" w:rsidRDefault="00401FDB" w:rsidP="00401FDB">
      <w:pPr>
        <w:jc w:val="center"/>
        <w:rPr>
          <w:rFonts w:ascii="Calibri" w:hAnsi="Calibri" w:cs="Calibri"/>
          <w:b/>
          <w:bCs/>
          <w:sz w:val="28"/>
          <w:szCs w:val="24"/>
        </w:rPr>
      </w:pPr>
    </w:p>
    <w:p w14:paraId="14F2E586" w14:textId="77777777" w:rsidR="00401FDB" w:rsidRPr="00BF758E" w:rsidRDefault="00401FDB" w:rsidP="00401FDB">
      <w:pPr>
        <w:jc w:val="center"/>
        <w:rPr>
          <w:rFonts w:ascii="Calibri" w:hAnsi="Calibri" w:cs="Calibri"/>
          <w:b/>
          <w:bCs/>
          <w:sz w:val="28"/>
          <w:szCs w:val="24"/>
        </w:rPr>
      </w:pPr>
    </w:p>
    <w:p w14:paraId="75161DD4" w14:textId="77777777" w:rsidR="00401FDB" w:rsidRPr="00BF758E" w:rsidRDefault="00401FDB" w:rsidP="00401FDB">
      <w:pPr>
        <w:jc w:val="center"/>
        <w:rPr>
          <w:rFonts w:ascii="Calibri" w:hAnsi="Calibri" w:cs="Calibri"/>
          <w:b/>
          <w:bCs/>
          <w:sz w:val="28"/>
          <w:szCs w:val="24"/>
        </w:rPr>
      </w:pPr>
    </w:p>
    <w:p w14:paraId="03963518" w14:textId="77777777" w:rsidR="00401FDB" w:rsidRPr="00BF758E" w:rsidRDefault="00401FDB" w:rsidP="00401FDB">
      <w:pPr>
        <w:jc w:val="center"/>
        <w:rPr>
          <w:rFonts w:ascii="Calibri" w:hAnsi="Calibri" w:cs="Calibri"/>
          <w:b/>
          <w:bCs/>
          <w:sz w:val="28"/>
          <w:szCs w:val="24"/>
        </w:rPr>
      </w:pPr>
    </w:p>
    <w:p w14:paraId="007FABD0" w14:textId="6C83490C" w:rsidR="00401FDB" w:rsidRPr="00BF758E" w:rsidRDefault="00401FDB" w:rsidP="00401FDB">
      <w:pPr>
        <w:jc w:val="center"/>
        <w:rPr>
          <w:rFonts w:ascii="Calibri" w:hAnsi="Calibri" w:cs="Calibri"/>
          <w:b/>
          <w:bCs/>
          <w:sz w:val="28"/>
          <w:szCs w:val="24"/>
        </w:rPr>
      </w:pPr>
      <w:r w:rsidRPr="00BF758E">
        <w:rPr>
          <w:rFonts w:ascii="Calibri" w:hAnsi="Calibri" w:cs="Calibri"/>
          <w:b/>
          <w:bCs/>
          <w:sz w:val="28"/>
          <w:szCs w:val="24"/>
        </w:rPr>
        <w:t>Strategic Management and Sustainability</w:t>
      </w:r>
    </w:p>
    <w:p w14:paraId="28E03BC7" w14:textId="03BBEA4A" w:rsidR="00401FDB" w:rsidRPr="00BF758E" w:rsidRDefault="00401FDB" w:rsidP="00401FDB">
      <w:pPr>
        <w:jc w:val="center"/>
        <w:rPr>
          <w:rFonts w:ascii="Calibri" w:hAnsi="Calibri" w:cs="Calibri"/>
          <w:b/>
          <w:bCs/>
          <w:sz w:val="28"/>
          <w:szCs w:val="24"/>
        </w:rPr>
      </w:pPr>
      <w:r w:rsidRPr="00BF758E">
        <w:rPr>
          <w:rFonts w:ascii="Calibri" w:hAnsi="Calibri" w:cs="Calibri"/>
          <w:b/>
          <w:bCs/>
          <w:sz w:val="28"/>
          <w:szCs w:val="24"/>
        </w:rPr>
        <w:t>BMBM6015</w:t>
      </w:r>
    </w:p>
    <w:p w14:paraId="5616DFA0" w14:textId="77777777" w:rsidR="00751453" w:rsidRDefault="00F6380A" w:rsidP="00401FDB">
      <w:pPr>
        <w:jc w:val="center"/>
        <w:rPr>
          <w:rFonts w:ascii="Calibri" w:hAnsi="Calibri" w:cs="Calibri"/>
          <w:b/>
          <w:bCs/>
          <w:sz w:val="28"/>
          <w:szCs w:val="24"/>
        </w:rPr>
      </w:pPr>
      <w:r w:rsidRPr="00BF758E">
        <w:rPr>
          <w:rFonts w:ascii="Calibri" w:hAnsi="Calibri" w:cs="Calibri"/>
          <w:b/>
          <w:bCs/>
          <w:sz w:val="28"/>
          <w:szCs w:val="24"/>
        </w:rPr>
        <w:t xml:space="preserve">Strategic Management Evaluation of </w:t>
      </w:r>
      <w:r w:rsidR="00401FDB" w:rsidRPr="00BF758E">
        <w:rPr>
          <w:rFonts w:ascii="Calibri" w:hAnsi="Calibri" w:cs="Calibri"/>
          <w:b/>
          <w:bCs/>
          <w:sz w:val="28"/>
          <w:szCs w:val="24"/>
        </w:rPr>
        <w:t>Tesla</w:t>
      </w:r>
    </w:p>
    <w:p w14:paraId="4A3D563F" w14:textId="77777777" w:rsidR="00751453" w:rsidRDefault="00751453" w:rsidP="00751453">
      <w:pPr>
        <w:rPr>
          <w:rFonts w:ascii="Calibri" w:hAnsi="Calibri" w:cs="Calibri"/>
          <w:b/>
          <w:bCs/>
          <w:sz w:val="28"/>
          <w:szCs w:val="24"/>
        </w:rPr>
      </w:pPr>
    </w:p>
    <w:p w14:paraId="7FE981F6" w14:textId="77777777" w:rsidR="00751453" w:rsidRDefault="00751453" w:rsidP="00751453">
      <w:pPr>
        <w:rPr>
          <w:rFonts w:ascii="Calibri" w:hAnsi="Calibri" w:cs="Calibri"/>
          <w:b/>
          <w:bCs/>
          <w:sz w:val="28"/>
          <w:szCs w:val="24"/>
        </w:rPr>
      </w:pPr>
    </w:p>
    <w:p w14:paraId="72A19BCE" w14:textId="77777777" w:rsidR="00751453" w:rsidRDefault="00751453" w:rsidP="00751453">
      <w:pPr>
        <w:rPr>
          <w:rFonts w:ascii="Calibri" w:hAnsi="Calibri" w:cs="Calibri"/>
          <w:b/>
          <w:bCs/>
          <w:sz w:val="28"/>
          <w:szCs w:val="24"/>
        </w:rPr>
      </w:pPr>
    </w:p>
    <w:p w14:paraId="6E56963F" w14:textId="77777777" w:rsidR="00751453" w:rsidRDefault="00751453" w:rsidP="00751453">
      <w:pPr>
        <w:rPr>
          <w:rFonts w:ascii="Calibri" w:hAnsi="Calibri" w:cs="Calibri"/>
          <w:b/>
          <w:bCs/>
          <w:sz w:val="28"/>
          <w:szCs w:val="24"/>
        </w:rPr>
      </w:pPr>
    </w:p>
    <w:p w14:paraId="19D4E102" w14:textId="77777777" w:rsidR="00751453" w:rsidRDefault="00751453" w:rsidP="00751453">
      <w:pPr>
        <w:rPr>
          <w:rFonts w:ascii="Calibri" w:hAnsi="Calibri" w:cs="Calibri"/>
          <w:b/>
          <w:bCs/>
          <w:sz w:val="28"/>
          <w:szCs w:val="24"/>
        </w:rPr>
      </w:pPr>
    </w:p>
    <w:p w14:paraId="30CF85E1" w14:textId="77777777" w:rsidR="00751453" w:rsidRDefault="00751453" w:rsidP="00751453">
      <w:pPr>
        <w:rPr>
          <w:rFonts w:ascii="Calibri" w:hAnsi="Calibri" w:cs="Calibri"/>
          <w:b/>
          <w:bCs/>
          <w:sz w:val="28"/>
          <w:szCs w:val="24"/>
        </w:rPr>
      </w:pPr>
    </w:p>
    <w:p w14:paraId="25CE4F4C" w14:textId="77777777" w:rsidR="00751453" w:rsidRDefault="00751453" w:rsidP="00751453">
      <w:pPr>
        <w:rPr>
          <w:rFonts w:ascii="Calibri" w:hAnsi="Calibri" w:cs="Calibri"/>
          <w:b/>
          <w:bCs/>
          <w:sz w:val="28"/>
          <w:szCs w:val="24"/>
        </w:rPr>
      </w:pPr>
    </w:p>
    <w:p w14:paraId="07CA7D68" w14:textId="7BB3B6CF" w:rsidR="00751453" w:rsidRDefault="00751453" w:rsidP="00751453">
      <w:pPr>
        <w:rPr>
          <w:rFonts w:ascii="Calibri" w:hAnsi="Calibri" w:cs="Calibri"/>
          <w:b/>
          <w:bCs/>
          <w:sz w:val="28"/>
          <w:szCs w:val="24"/>
        </w:rPr>
      </w:pPr>
      <w:r>
        <w:rPr>
          <w:rFonts w:ascii="Calibri" w:hAnsi="Calibri" w:cs="Calibri"/>
          <w:b/>
          <w:bCs/>
          <w:sz w:val="28"/>
          <w:szCs w:val="24"/>
        </w:rPr>
        <w:t>Student ID:</w:t>
      </w:r>
      <w:r w:rsidR="00771033">
        <w:rPr>
          <w:rFonts w:ascii="Calibri" w:hAnsi="Calibri" w:cs="Calibri"/>
          <w:b/>
          <w:bCs/>
          <w:sz w:val="28"/>
          <w:szCs w:val="24"/>
        </w:rPr>
        <w:t xml:space="preserve"> 2207918</w:t>
      </w:r>
    </w:p>
    <w:p w14:paraId="0ED02116" w14:textId="62D35E50" w:rsidR="00040EF0" w:rsidRPr="00BF758E" w:rsidRDefault="00751453" w:rsidP="00751453">
      <w:pPr>
        <w:rPr>
          <w:rFonts w:ascii="Calibri" w:hAnsi="Calibri" w:cs="Calibri"/>
        </w:rPr>
      </w:pPr>
      <w:r>
        <w:rPr>
          <w:rFonts w:ascii="Calibri" w:hAnsi="Calibri" w:cs="Calibri"/>
          <w:b/>
          <w:bCs/>
          <w:sz w:val="28"/>
          <w:szCs w:val="24"/>
        </w:rPr>
        <w:t>Student Name:</w:t>
      </w:r>
      <w:r w:rsidR="00401FDB" w:rsidRPr="00BF758E">
        <w:rPr>
          <w:rFonts w:ascii="Calibri" w:hAnsi="Calibri" w:cs="Calibri"/>
          <w:b/>
          <w:bCs/>
          <w:sz w:val="28"/>
          <w:szCs w:val="24"/>
        </w:rPr>
        <w:t xml:space="preserve"> </w:t>
      </w:r>
      <w:r w:rsidR="00771033">
        <w:rPr>
          <w:rFonts w:ascii="Calibri" w:hAnsi="Calibri" w:cs="Calibri"/>
          <w:b/>
          <w:bCs/>
          <w:sz w:val="28"/>
          <w:szCs w:val="24"/>
        </w:rPr>
        <w:t>Vimal Maddichetti</w:t>
      </w:r>
      <w:r w:rsidR="00040EF0" w:rsidRPr="00BF758E">
        <w:rPr>
          <w:rFonts w:ascii="Calibri" w:hAnsi="Calibri" w:cs="Calibri"/>
        </w:rPr>
        <w:br w:type="page"/>
      </w:r>
    </w:p>
    <w:p w14:paraId="41C67D34" w14:textId="0FEF4535" w:rsidR="00040EF0" w:rsidRPr="00BF758E" w:rsidRDefault="00040EF0" w:rsidP="00040EF0">
      <w:pPr>
        <w:pStyle w:val="Heading1"/>
        <w:rPr>
          <w:rFonts w:ascii="Calibri" w:hAnsi="Calibri" w:cs="Calibri"/>
        </w:rPr>
      </w:pPr>
      <w:bookmarkStart w:id="0" w:name="_Toc193220964"/>
      <w:r w:rsidRPr="00BF758E">
        <w:rPr>
          <w:rFonts w:ascii="Calibri" w:hAnsi="Calibri" w:cs="Calibri"/>
        </w:rPr>
        <w:lastRenderedPageBreak/>
        <w:t>Executive Summary</w:t>
      </w:r>
      <w:bookmarkEnd w:id="0"/>
      <w:r w:rsidRPr="00BF758E">
        <w:rPr>
          <w:rFonts w:ascii="Calibri" w:hAnsi="Calibri" w:cs="Calibri"/>
        </w:rPr>
        <w:t xml:space="preserve"> </w:t>
      </w:r>
    </w:p>
    <w:p w14:paraId="71AEECCC" w14:textId="152AA2BE" w:rsidR="00040EF0" w:rsidRPr="00BF758E" w:rsidRDefault="00040EF0" w:rsidP="00040EF0">
      <w:pPr>
        <w:rPr>
          <w:rFonts w:ascii="Calibri" w:hAnsi="Calibri" w:cs="Calibri"/>
        </w:rPr>
      </w:pPr>
      <w:r w:rsidRPr="00BF758E">
        <w:rPr>
          <w:rFonts w:ascii="Calibri" w:hAnsi="Calibri" w:cs="Calibri"/>
        </w:rPr>
        <w:t>Tesla Inc. is a globally leading EV (electric vehicle) company, clean energy provider and innovation in sustainability. In an age of stark changes in the automotive industry, where the industry moves to decarbonisation, digitalisation and mobility-as-a service (</w:t>
      </w:r>
      <w:proofErr w:type="spellStart"/>
      <w:r w:rsidRPr="00BF758E">
        <w:rPr>
          <w:rFonts w:ascii="Calibri" w:hAnsi="Calibri" w:cs="Calibri"/>
        </w:rPr>
        <w:t>MaaS</w:t>
      </w:r>
      <w:proofErr w:type="spellEnd"/>
      <w:r w:rsidRPr="00BF758E">
        <w:rPr>
          <w:rFonts w:ascii="Calibri" w:hAnsi="Calibri" w:cs="Calibri"/>
        </w:rPr>
        <w:t>), Tesla stays on the top by continuing to push technological frontiers and integrating vertically. Global market dynamics, policy changes and a change in consumer preferences shape the company’s strategic trajectory.</w:t>
      </w:r>
    </w:p>
    <w:p w14:paraId="68C24C1F" w14:textId="7A3631F6" w:rsidR="00040EF0" w:rsidRPr="00BF758E" w:rsidRDefault="00040EF0" w:rsidP="00040EF0">
      <w:pPr>
        <w:rPr>
          <w:rFonts w:ascii="Calibri" w:hAnsi="Calibri" w:cs="Calibri"/>
        </w:rPr>
      </w:pPr>
      <w:r w:rsidRPr="00BF758E">
        <w:rPr>
          <w:rFonts w:ascii="Calibri" w:hAnsi="Calibri" w:cs="Calibri"/>
        </w:rPr>
        <w:t>Analysis of external factors reveals opportunities based on strong growth of global EV market and sustainability policies; however, also puts Tesla at risk of raw material scarcity, regulatory barriers and increased competition. Tesla’s competitive advantage internally is its exclusive resource base, its state-of-the-art production capability, and its differentiation strategy through innovation. Changes in Market Trends such as demand elasticity, macroeconomic recovery and technological disruption offer both strategic hurdles and growth opportunities.</w:t>
      </w:r>
    </w:p>
    <w:p w14:paraId="00EF3ACD" w14:textId="77777777" w:rsidR="00040EF0" w:rsidRPr="00BF758E" w:rsidRDefault="00040EF0" w:rsidP="00040EF0">
      <w:pPr>
        <w:rPr>
          <w:rFonts w:ascii="Calibri" w:hAnsi="Calibri" w:cs="Calibri"/>
        </w:rPr>
      </w:pPr>
      <w:r w:rsidRPr="00BF758E">
        <w:rPr>
          <w:rFonts w:ascii="Calibri" w:hAnsi="Calibri" w:cs="Calibri"/>
        </w:rPr>
        <w:t>The recommendations are related to further development of circular supply chains, reaching out to the emerging markets, and utilizing software led revenue models. Strategic management tools such as Porter’s Five Forces, PESTEL, and the Resource-Based View underpin the evaluation of Tesla’s market environment and sustainability-oriented direction.</w:t>
      </w:r>
    </w:p>
    <w:p w14:paraId="243945A0" w14:textId="77777777" w:rsidR="00F6380A" w:rsidRPr="00BF758E" w:rsidRDefault="00F6380A" w:rsidP="00040EF0">
      <w:pPr>
        <w:rPr>
          <w:rFonts w:ascii="Calibri" w:hAnsi="Calibri" w:cs="Calibri"/>
        </w:rPr>
      </w:pPr>
    </w:p>
    <w:p w14:paraId="217F3868" w14:textId="77777777" w:rsidR="00F6380A" w:rsidRPr="00BF758E" w:rsidRDefault="00F6380A" w:rsidP="00040EF0">
      <w:pPr>
        <w:rPr>
          <w:rFonts w:ascii="Calibri" w:hAnsi="Calibri" w:cs="Calibri"/>
        </w:rPr>
      </w:pPr>
    </w:p>
    <w:p w14:paraId="39DD068C" w14:textId="77777777" w:rsidR="00F6380A" w:rsidRPr="00BF758E" w:rsidRDefault="00F6380A" w:rsidP="00040EF0">
      <w:pPr>
        <w:rPr>
          <w:rFonts w:ascii="Calibri" w:hAnsi="Calibri" w:cs="Calibri"/>
        </w:rPr>
      </w:pPr>
    </w:p>
    <w:p w14:paraId="118E0274" w14:textId="77777777" w:rsidR="00F6380A" w:rsidRPr="00BF758E" w:rsidRDefault="00F6380A" w:rsidP="00040EF0">
      <w:pPr>
        <w:rPr>
          <w:rFonts w:ascii="Calibri" w:hAnsi="Calibri" w:cs="Calibri"/>
        </w:rPr>
      </w:pPr>
    </w:p>
    <w:p w14:paraId="0AC4EB17" w14:textId="77777777" w:rsidR="00F6380A" w:rsidRPr="00BF758E" w:rsidRDefault="00F6380A" w:rsidP="00040EF0">
      <w:pPr>
        <w:rPr>
          <w:rFonts w:ascii="Calibri" w:hAnsi="Calibri" w:cs="Calibri"/>
        </w:rPr>
      </w:pPr>
    </w:p>
    <w:p w14:paraId="01B7A4A4" w14:textId="77777777" w:rsidR="00F6380A" w:rsidRPr="00BF758E" w:rsidRDefault="00F6380A" w:rsidP="00040EF0">
      <w:pPr>
        <w:rPr>
          <w:rFonts w:ascii="Calibri" w:hAnsi="Calibri" w:cs="Calibri"/>
        </w:rPr>
      </w:pPr>
    </w:p>
    <w:p w14:paraId="478A4F3A" w14:textId="77777777" w:rsidR="00F6380A" w:rsidRPr="00BF758E" w:rsidRDefault="00F6380A" w:rsidP="00040EF0">
      <w:pPr>
        <w:rPr>
          <w:rFonts w:ascii="Calibri" w:hAnsi="Calibri" w:cs="Calibri"/>
        </w:rPr>
      </w:pPr>
    </w:p>
    <w:p w14:paraId="5FD6C961" w14:textId="77777777" w:rsidR="00F6380A" w:rsidRPr="00BF758E" w:rsidRDefault="00F6380A" w:rsidP="00040EF0">
      <w:pPr>
        <w:rPr>
          <w:rFonts w:ascii="Calibri" w:hAnsi="Calibri" w:cs="Calibri"/>
        </w:rPr>
      </w:pPr>
    </w:p>
    <w:p w14:paraId="524124F3" w14:textId="77777777" w:rsidR="00F6380A" w:rsidRPr="00BF758E" w:rsidRDefault="00F6380A" w:rsidP="00040EF0">
      <w:pPr>
        <w:rPr>
          <w:rFonts w:ascii="Calibri" w:hAnsi="Calibri" w:cs="Calibri"/>
        </w:rPr>
      </w:pPr>
    </w:p>
    <w:p w14:paraId="53A8D581" w14:textId="77777777" w:rsidR="00F6380A" w:rsidRPr="00BF758E" w:rsidRDefault="00F6380A" w:rsidP="00040EF0">
      <w:pPr>
        <w:rPr>
          <w:rFonts w:ascii="Calibri" w:hAnsi="Calibri" w:cs="Calibri"/>
        </w:rPr>
      </w:pPr>
    </w:p>
    <w:sdt>
      <w:sdtPr>
        <w:rPr>
          <w:rFonts w:ascii="Calibri" w:eastAsiaTheme="minorHAnsi" w:hAnsi="Calibri" w:cs="Calibri"/>
          <w:color w:val="auto"/>
          <w:sz w:val="24"/>
          <w:szCs w:val="22"/>
          <w:lang w:val="en-GB" w:eastAsia="en-GB"/>
        </w:rPr>
        <w:id w:val="2013946322"/>
        <w:docPartObj>
          <w:docPartGallery w:val="Table of Contents"/>
          <w:docPartUnique/>
        </w:docPartObj>
      </w:sdtPr>
      <w:sdtEndPr>
        <w:rPr>
          <w:b/>
          <w:bCs/>
          <w:noProof/>
        </w:rPr>
      </w:sdtEndPr>
      <w:sdtContent>
        <w:p w14:paraId="0EBC6222" w14:textId="57CBAEFF" w:rsidR="00F6380A" w:rsidRPr="00BF758E" w:rsidRDefault="00F6380A">
          <w:pPr>
            <w:pStyle w:val="TOCHeading"/>
            <w:rPr>
              <w:rFonts w:ascii="Calibri" w:hAnsi="Calibri" w:cs="Calibri"/>
            </w:rPr>
          </w:pPr>
          <w:r w:rsidRPr="00BF758E">
            <w:rPr>
              <w:rFonts w:ascii="Calibri" w:hAnsi="Calibri" w:cs="Calibri"/>
            </w:rPr>
            <w:t>Table of Contents</w:t>
          </w:r>
        </w:p>
        <w:p w14:paraId="458D837D" w14:textId="57D91735" w:rsidR="00F6380A" w:rsidRPr="00BF758E" w:rsidRDefault="00F6380A">
          <w:pPr>
            <w:pStyle w:val="TOC1"/>
            <w:tabs>
              <w:tab w:val="right" w:leader="dot" w:pos="9016"/>
            </w:tabs>
            <w:rPr>
              <w:rFonts w:ascii="Calibri" w:eastAsiaTheme="minorEastAsia" w:hAnsi="Calibri" w:cs="Calibri"/>
              <w:noProof/>
              <w:kern w:val="2"/>
              <w:szCs w:val="24"/>
              <w:lang w:val="en-IN" w:eastAsia="en-IN"/>
              <w14:ligatures w14:val="standardContextual"/>
            </w:rPr>
          </w:pPr>
          <w:r w:rsidRPr="00BF758E">
            <w:rPr>
              <w:rFonts w:ascii="Calibri" w:hAnsi="Calibri" w:cs="Calibri"/>
            </w:rPr>
            <w:fldChar w:fldCharType="begin"/>
          </w:r>
          <w:r w:rsidRPr="00BF758E">
            <w:rPr>
              <w:rFonts w:ascii="Calibri" w:hAnsi="Calibri" w:cs="Calibri"/>
            </w:rPr>
            <w:instrText xml:space="preserve"> TOC \o "1-3" \h \z \u </w:instrText>
          </w:r>
          <w:r w:rsidRPr="00BF758E">
            <w:rPr>
              <w:rFonts w:ascii="Calibri" w:hAnsi="Calibri" w:cs="Calibri"/>
            </w:rPr>
            <w:fldChar w:fldCharType="separate"/>
          </w:r>
          <w:hyperlink w:anchor="_Toc193220964" w:history="1">
            <w:r w:rsidRPr="00BF758E">
              <w:rPr>
                <w:rStyle w:val="Hyperlink"/>
                <w:rFonts w:ascii="Calibri" w:hAnsi="Calibri" w:cs="Calibri"/>
                <w:noProof/>
              </w:rPr>
              <w:t>Executive Summary</w:t>
            </w:r>
            <w:r w:rsidRPr="00BF758E">
              <w:rPr>
                <w:rFonts w:ascii="Calibri" w:hAnsi="Calibri" w:cs="Calibri"/>
                <w:noProof/>
                <w:webHidden/>
              </w:rPr>
              <w:tab/>
            </w:r>
            <w:r w:rsidRPr="00BF758E">
              <w:rPr>
                <w:rFonts w:ascii="Calibri" w:hAnsi="Calibri" w:cs="Calibri"/>
                <w:noProof/>
                <w:webHidden/>
              </w:rPr>
              <w:fldChar w:fldCharType="begin"/>
            </w:r>
            <w:r w:rsidRPr="00BF758E">
              <w:rPr>
                <w:rFonts w:ascii="Calibri" w:hAnsi="Calibri" w:cs="Calibri"/>
                <w:noProof/>
                <w:webHidden/>
              </w:rPr>
              <w:instrText xml:space="preserve"> PAGEREF _Toc193220964 \h </w:instrText>
            </w:r>
            <w:r w:rsidRPr="00BF758E">
              <w:rPr>
                <w:rFonts w:ascii="Calibri" w:hAnsi="Calibri" w:cs="Calibri"/>
                <w:noProof/>
                <w:webHidden/>
              </w:rPr>
            </w:r>
            <w:r w:rsidRPr="00BF758E">
              <w:rPr>
                <w:rFonts w:ascii="Calibri" w:hAnsi="Calibri" w:cs="Calibri"/>
                <w:noProof/>
                <w:webHidden/>
              </w:rPr>
              <w:fldChar w:fldCharType="separate"/>
            </w:r>
            <w:r w:rsidR="00BF758E" w:rsidRPr="00BF758E">
              <w:rPr>
                <w:rFonts w:ascii="Calibri" w:hAnsi="Calibri" w:cs="Calibri"/>
                <w:noProof/>
                <w:webHidden/>
              </w:rPr>
              <w:t>2</w:t>
            </w:r>
            <w:r w:rsidRPr="00BF758E">
              <w:rPr>
                <w:rFonts w:ascii="Calibri" w:hAnsi="Calibri" w:cs="Calibri"/>
                <w:noProof/>
                <w:webHidden/>
              </w:rPr>
              <w:fldChar w:fldCharType="end"/>
            </w:r>
          </w:hyperlink>
        </w:p>
        <w:p w14:paraId="60FA317E" w14:textId="6F8A5FC2" w:rsidR="00F6380A" w:rsidRPr="00BF758E" w:rsidRDefault="00F6380A">
          <w:pPr>
            <w:pStyle w:val="TOC1"/>
            <w:tabs>
              <w:tab w:val="right" w:leader="dot" w:pos="9016"/>
            </w:tabs>
            <w:rPr>
              <w:rFonts w:ascii="Calibri" w:eastAsiaTheme="minorEastAsia" w:hAnsi="Calibri" w:cs="Calibri"/>
              <w:noProof/>
              <w:kern w:val="2"/>
              <w:szCs w:val="24"/>
              <w:lang w:val="en-IN" w:eastAsia="en-IN"/>
              <w14:ligatures w14:val="standardContextual"/>
            </w:rPr>
          </w:pPr>
          <w:hyperlink w:anchor="_Toc193220965" w:history="1">
            <w:r w:rsidRPr="00BF758E">
              <w:rPr>
                <w:rStyle w:val="Hyperlink"/>
                <w:rFonts w:ascii="Calibri" w:hAnsi="Calibri" w:cs="Calibri"/>
                <w:noProof/>
              </w:rPr>
              <w:t>1. Introduction</w:t>
            </w:r>
            <w:r w:rsidRPr="00BF758E">
              <w:rPr>
                <w:rFonts w:ascii="Calibri" w:hAnsi="Calibri" w:cs="Calibri"/>
                <w:noProof/>
                <w:webHidden/>
              </w:rPr>
              <w:tab/>
            </w:r>
            <w:r w:rsidRPr="00BF758E">
              <w:rPr>
                <w:rFonts w:ascii="Calibri" w:hAnsi="Calibri" w:cs="Calibri"/>
                <w:noProof/>
                <w:webHidden/>
              </w:rPr>
              <w:fldChar w:fldCharType="begin"/>
            </w:r>
            <w:r w:rsidRPr="00BF758E">
              <w:rPr>
                <w:rFonts w:ascii="Calibri" w:hAnsi="Calibri" w:cs="Calibri"/>
                <w:noProof/>
                <w:webHidden/>
              </w:rPr>
              <w:instrText xml:space="preserve"> PAGEREF _Toc193220965 \h </w:instrText>
            </w:r>
            <w:r w:rsidRPr="00BF758E">
              <w:rPr>
                <w:rFonts w:ascii="Calibri" w:hAnsi="Calibri" w:cs="Calibri"/>
                <w:noProof/>
                <w:webHidden/>
              </w:rPr>
            </w:r>
            <w:r w:rsidRPr="00BF758E">
              <w:rPr>
                <w:rFonts w:ascii="Calibri" w:hAnsi="Calibri" w:cs="Calibri"/>
                <w:noProof/>
                <w:webHidden/>
              </w:rPr>
              <w:fldChar w:fldCharType="separate"/>
            </w:r>
            <w:r w:rsidR="00BF758E" w:rsidRPr="00BF758E">
              <w:rPr>
                <w:rFonts w:ascii="Calibri" w:hAnsi="Calibri" w:cs="Calibri"/>
                <w:noProof/>
                <w:webHidden/>
              </w:rPr>
              <w:t>4</w:t>
            </w:r>
            <w:r w:rsidRPr="00BF758E">
              <w:rPr>
                <w:rFonts w:ascii="Calibri" w:hAnsi="Calibri" w:cs="Calibri"/>
                <w:noProof/>
                <w:webHidden/>
              </w:rPr>
              <w:fldChar w:fldCharType="end"/>
            </w:r>
          </w:hyperlink>
        </w:p>
        <w:p w14:paraId="79499BDE" w14:textId="5586DE83" w:rsidR="00F6380A" w:rsidRPr="00BF758E" w:rsidRDefault="00F6380A">
          <w:pPr>
            <w:pStyle w:val="TOC1"/>
            <w:tabs>
              <w:tab w:val="right" w:leader="dot" w:pos="9016"/>
            </w:tabs>
            <w:rPr>
              <w:rFonts w:ascii="Calibri" w:eastAsiaTheme="minorEastAsia" w:hAnsi="Calibri" w:cs="Calibri"/>
              <w:noProof/>
              <w:kern w:val="2"/>
              <w:szCs w:val="24"/>
              <w:lang w:val="en-IN" w:eastAsia="en-IN"/>
              <w14:ligatures w14:val="standardContextual"/>
            </w:rPr>
          </w:pPr>
          <w:hyperlink w:anchor="_Toc193220966" w:history="1">
            <w:r w:rsidRPr="00BF758E">
              <w:rPr>
                <w:rStyle w:val="Hyperlink"/>
                <w:rFonts w:ascii="Calibri" w:hAnsi="Calibri" w:cs="Calibri"/>
                <w:noProof/>
              </w:rPr>
              <w:t>2. External Environmental Analysis</w:t>
            </w:r>
            <w:r w:rsidRPr="00BF758E">
              <w:rPr>
                <w:rFonts w:ascii="Calibri" w:hAnsi="Calibri" w:cs="Calibri"/>
                <w:noProof/>
                <w:webHidden/>
              </w:rPr>
              <w:tab/>
            </w:r>
            <w:r w:rsidRPr="00BF758E">
              <w:rPr>
                <w:rFonts w:ascii="Calibri" w:hAnsi="Calibri" w:cs="Calibri"/>
                <w:noProof/>
                <w:webHidden/>
              </w:rPr>
              <w:fldChar w:fldCharType="begin"/>
            </w:r>
            <w:r w:rsidRPr="00BF758E">
              <w:rPr>
                <w:rFonts w:ascii="Calibri" w:hAnsi="Calibri" w:cs="Calibri"/>
                <w:noProof/>
                <w:webHidden/>
              </w:rPr>
              <w:instrText xml:space="preserve"> PAGEREF _Toc193220966 \h </w:instrText>
            </w:r>
            <w:r w:rsidRPr="00BF758E">
              <w:rPr>
                <w:rFonts w:ascii="Calibri" w:hAnsi="Calibri" w:cs="Calibri"/>
                <w:noProof/>
                <w:webHidden/>
              </w:rPr>
            </w:r>
            <w:r w:rsidRPr="00BF758E">
              <w:rPr>
                <w:rFonts w:ascii="Calibri" w:hAnsi="Calibri" w:cs="Calibri"/>
                <w:noProof/>
                <w:webHidden/>
              </w:rPr>
              <w:fldChar w:fldCharType="separate"/>
            </w:r>
            <w:r w:rsidR="00BF758E" w:rsidRPr="00BF758E">
              <w:rPr>
                <w:rFonts w:ascii="Calibri" w:hAnsi="Calibri" w:cs="Calibri"/>
                <w:noProof/>
                <w:webHidden/>
              </w:rPr>
              <w:t>4</w:t>
            </w:r>
            <w:r w:rsidRPr="00BF758E">
              <w:rPr>
                <w:rFonts w:ascii="Calibri" w:hAnsi="Calibri" w:cs="Calibri"/>
                <w:noProof/>
                <w:webHidden/>
              </w:rPr>
              <w:fldChar w:fldCharType="end"/>
            </w:r>
          </w:hyperlink>
        </w:p>
        <w:p w14:paraId="17ED7F79" w14:textId="222FF38F" w:rsidR="00F6380A" w:rsidRPr="00BF758E" w:rsidRDefault="00F6380A">
          <w:pPr>
            <w:pStyle w:val="TOC1"/>
            <w:tabs>
              <w:tab w:val="right" w:leader="dot" w:pos="9016"/>
            </w:tabs>
            <w:rPr>
              <w:rFonts w:ascii="Calibri" w:eastAsiaTheme="minorEastAsia" w:hAnsi="Calibri" w:cs="Calibri"/>
              <w:noProof/>
              <w:kern w:val="2"/>
              <w:szCs w:val="24"/>
              <w:lang w:val="en-IN" w:eastAsia="en-IN"/>
              <w14:ligatures w14:val="standardContextual"/>
            </w:rPr>
          </w:pPr>
          <w:hyperlink w:anchor="_Toc193220967" w:history="1">
            <w:r w:rsidRPr="00BF758E">
              <w:rPr>
                <w:rStyle w:val="Hyperlink"/>
                <w:rFonts w:ascii="Calibri" w:hAnsi="Calibri" w:cs="Calibri"/>
                <w:noProof/>
              </w:rPr>
              <w:t>3. Internal analysis</w:t>
            </w:r>
            <w:r w:rsidRPr="00BF758E">
              <w:rPr>
                <w:rFonts w:ascii="Calibri" w:hAnsi="Calibri" w:cs="Calibri"/>
                <w:noProof/>
                <w:webHidden/>
              </w:rPr>
              <w:tab/>
            </w:r>
            <w:r w:rsidRPr="00BF758E">
              <w:rPr>
                <w:rFonts w:ascii="Calibri" w:hAnsi="Calibri" w:cs="Calibri"/>
                <w:noProof/>
                <w:webHidden/>
              </w:rPr>
              <w:fldChar w:fldCharType="begin"/>
            </w:r>
            <w:r w:rsidRPr="00BF758E">
              <w:rPr>
                <w:rFonts w:ascii="Calibri" w:hAnsi="Calibri" w:cs="Calibri"/>
                <w:noProof/>
                <w:webHidden/>
              </w:rPr>
              <w:instrText xml:space="preserve"> PAGEREF _Toc193220967 \h </w:instrText>
            </w:r>
            <w:r w:rsidRPr="00BF758E">
              <w:rPr>
                <w:rFonts w:ascii="Calibri" w:hAnsi="Calibri" w:cs="Calibri"/>
                <w:noProof/>
                <w:webHidden/>
              </w:rPr>
            </w:r>
            <w:r w:rsidRPr="00BF758E">
              <w:rPr>
                <w:rFonts w:ascii="Calibri" w:hAnsi="Calibri" w:cs="Calibri"/>
                <w:noProof/>
                <w:webHidden/>
              </w:rPr>
              <w:fldChar w:fldCharType="separate"/>
            </w:r>
            <w:r w:rsidR="00BF758E" w:rsidRPr="00BF758E">
              <w:rPr>
                <w:rFonts w:ascii="Calibri" w:hAnsi="Calibri" w:cs="Calibri"/>
                <w:noProof/>
                <w:webHidden/>
              </w:rPr>
              <w:t>7</w:t>
            </w:r>
            <w:r w:rsidRPr="00BF758E">
              <w:rPr>
                <w:rFonts w:ascii="Calibri" w:hAnsi="Calibri" w:cs="Calibri"/>
                <w:noProof/>
                <w:webHidden/>
              </w:rPr>
              <w:fldChar w:fldCharType="end"/>
            </w:r>
          </w:hyperlink>
        </w:p>
        <w:p w14:paraId="0D40071F" w14:textId="14C334C3" w:rsidR="00F6380A" w:rsidRPr="00BF758E" w:rsidRDefault="00F6380A">
          <w:pPr>
            <w:pStyle w:val="TOC1"/>
            <w:tabs>
              <w:tab w:val="right" w:leader="dot" w:pos="9016"/>
            </w:tabs>
            <w:rPr>
              <w:rFonts w:ascii="Calibri" w:eastAsiaTheme="minorEastAsia" w:hAnsi="Calibri" w:cs="Calibri"/>
              <w:noProof/>
              <w:kern w:val="2"/>
              <w:szCs w:val="24"/>
              <w:lang w:val="en-IN" w:eastAsia="en-IN"/>
              <w14:ligatures w14:val="standardContextual"/>
            </w:rPr>
          </w:pPr>
          <w:hyperlink w:anchor="_Toc193220968" w:history="1">
            <w:r w:rsidRPr="00BF758E">
              <w:rPr>
                <w:rStyle w:val="Hyperlink"/>
                <w:rFonts w:ascii="Calibri" w:hAnsi="Calibri" w:cs="Calibri"/>
                <w:noProof/>
              </w:rPr>
              <w:t>4. Strategy Formulation &amp; Competitive Positioning</w:t>
            </w:r>
            <w:r w:rsidRPr="00BF758E">
              <w:rPr>
                <w:rFonts w:ascii="Calibri" w:hAnsi="Calibri" w:cs="Calibri"/>
                <w:noProof/>
                <w:webHidden/>
              </w:rPr>
              <w:tab/>
            </w:r>
            <w:r w:rsidRPr="00BF758E">
              <w:rPr>
                <w:rFonts w:ascii="Calibri" w:hAnsi="Calibri" w:cs="Calibri"/>
                <w:noProof/>
                <w:webHidden/>
              </w:rPr>
              <w:fldChar w:fldCharType="begin"/>
            </w:r>
            <w:r w:rsidRPr="00BF758E">
              <w:rPr>
                <w:rFonts w:ascii="Calibri" w:hAnsi="Calibri" w:cs="Calibri"/>
                <w:noProof/>
                <w:webHidden/>
              </w:rPr>
              <w:instrText xml:space="preserve"> PAGEREF _Toc193220968 \h </w:instrText>
            </w:r>
            <w:r w:rsidRPr="00BF758E">
              <w:rPr>
                <w:rFonts w:ascii="Calibri" w:hAnsi="Calibri" w:cs="Calibri"/>
                <w:noProof/>
                <w:webHidden/>
              </w:rPr>
            </w:r>
            <w:r w:rsidRPr="00BF758E">
              <w:rPr>
                <w:rFonts w:ascii="Calibri" w:hAnsi="Calibri" w:cs="Calibri"/>
                <w:noProof/>
                <w:webHidden/>
              </w:rPr>
              <w:fldChar w:fldCharType="separate"/>
            </w:r>
            <w:r w:rsidR="00BF758E" w:rsidRPr="00BF758E">
              <w:rPr>
                <w:rFonts w:ascii="Calibri" w:hAnsi="Calibri" w:cs="Calibri"/>
                <w:noProof/>
                <w:webHidden/>
              </w:rPr>
              <w:t>8</w:t>
            </w:r>
            <w:r w:rsidRPr="00BF758E">
              <w:rPr>
                <w:rFonts w:ascii="Calibri" w:hAnsi="Calibri" w:cs="Calibri"/>
                <w:noProof/>
                <w:webHidden/>
              </w:rPr>
              <w:fldChar w:fldCharType="end"/>
            </w:r>
          </w:hyperlink>
        </w:p>
        <w:p w14:paraId="6C5DF2A5" w14:textId="68D2A74B" w:rsidR="00F6380A" w:rsidRPr="00BF758E" w:rsidRDefault="00F6380A">
          <w:pPr>
            <w:pStyle w:val="TOC1"/>
            <w:tabs>
              <w:tab w:val="right" w:leader="dot" w:pos="9016"/>
            </w:tabs>
            <w:rPr>
              <w:rFonts w:ascii="Calibri" w:eastAsiaTheme="minorEastAsia" w:hAnsi="Calibri" w:cs="Calibri"/>
              <w:noProof/>
              <w:kern w:val="2"/>
              <w:szCs w:val="24"/>
              <w:lang w:val="en-IN" w:eastAsia="en-IN"/>
              <w14:ligatures w14:val="standardContextual"/>
            </w:rPr>
          </w:pPr>
          <w:hyperlink w:anchor="_Toc193220969" w:history="1">
            <w:r w:rsidRPr="00BF758E">
              <w:rPr>
                <w:rStyle w:val="Hyperlink"/>
                <w:rFonts w:ascii="Calibri" w:hAnsi="Calibri" w:cs="Calibri"/>
                <w:noProof/>
              </w:rPr>
              <w:t>5. Sustainability and Strategic Recommendations</w:t>
            </w:r>
            <w:r w:rsidRPr="00BF758E">
              <w:rPr>
                <w:rFonts w:ascii="Calibri" w:hAnsi="Calibri" w:cs="Calibri"/>
                <w:noProof/>
                <w:webHidden/>
              </w:rPr>
              <w:tab/>
            </w:r>
            <w:r w:rsidRPr="00BF758E">
              <w:rPr>
                <w:rFonts w:ascii="Calibri" w:hAnsi="Calibri" w:cs="Calibri"/>
                <w:noProof/>
                <w:webHidden/>
              </w:rPr>
              <w:fldChar w:fldCharType="begin"/>
            </w:r>
            <w:r w:rsidRPr="00BF758E">
              <w:rPr>
                <w:rFonts w:ascii="Calibri" w:hAnsi="Calibri" w:cs="Calibri"/>
                <w:noProof/>
                <w:webHidden/>
              </w:rPr>
              <w:instrText xml:space="preserve"> PAGEREF _Toc193220969 \h </w:instrText>
            </w:r>
            <w:r w:rsidRPr="00BF758E">
              <w:rPr>
                <w:rFonts w:ascii="Calibri" w:hAnsi="Calibri" w:cs="Calibri"/>
                <w:noProof/>
                <w:webHidden/>
              </w:rPr>
            </w:r>
            <w:r w:rsidRPr="00BF758E">
              <w:rPr>
                <w:rFonts w:ascii="Calibri" w:hAnsi="Calibri" w:cs="Calibri"/>
                <w:noProof/>
                <w:webHidden/>
              </w:rPr>
              <w:fldChar w:fldCharType="separate"/>
            </w:r>
            <w:r w:rsidR="00BF758E" w:rsidRPr="00BF758E">
              <w:rPr>
                <w:rFonts w:ascii="Calibri" w:hAnsi="Calibri" w:cs="Calibri"/>
                <w:noProof/>
                <w:webHidden/>
              </w:rPr>
              <w:t>9</w:t>
            </w:r>
            <w:r w:rsidRPr="00BF758E">
              <w:rPr>
                <w:rFonts w:ascii="Calibri" w:hAnsi="Calibri" w:cs="Calibri"/>
                <w:noProof/>
                <w:webHidden/>
              </w:rPr>
              <w:fldChar w:fldCharType="end"/>
            </w:r>
          </w:hyperlink>
        </w:p>
        <w:p w14:paraId="6B32A198" w14:textId="769941BB" w:rsidR="00F6380A" w:rsidRPr="00BF758E" w:rsidRDefault="00F6380A">
          <w:pPr>
            <w:pStyle w:val="TOC1"/>
            <w:tabs>
              <w:tab w:val="right" w:leader="dot" w:pos="9016"/>
            </w:tabs>
            <w:rPr>
              <w:rFonts w:ascii="Calibri" w:eastAsiaTheme="minorEastAsia" w:hAnsi="Calibri" w:cs="Calibri"/>
              <w:noProof/>
              <w:kern w:val="2"/>
              <w:szCs w:val="24"/>
              <w:lang w:val="en-IN" w:eastAsia="en-IN"/>
              <w14:ligatures w14:val="standardContextual"/>
            </w:rPr>
          </w:pPr>
          <w:hyperlink w:anchor="_Toc193220970" w:history="1">
            <w:r w:rsidRPr="00BF758E">
              <w:rPr>
                <w:rStyle w:val="Hyperlink"/>
                <w:rFonts w:ascii="Calibri" w:hAnsi="Calibri" w:cs="Calibri"/>
                <w:noProof/>
              </w:rPr>
              <w:t>6. Conclusion</w:t>
            </w:r>
            <w:r w:rsidRPr="00BF758E">
              <w:rPr>
                <w:rFonts w:ascii="Calibri" w:hAnsi="Calibri" w:cs="Calibri"/>
                <w:noProof/>
                <w:webHidden/>
              </w:rPr>
              <w:tab/>
            </w:r>
            <w:r w:rsidRPr="00BF758E">
              <w:rPr>
                <w:rFonts w:ascii="Calibri" w:hAnsi="Calibri" w:cs="Calibri"/>
                <w:noProof/>
                <w:webHidden/>
              </w:rPr>
              <w:fldChar w:fldCharType="begin"/>
            </w:r>
            <w:r w:rsidRPr="00BF758E">
              <w:rPr>
                <w:rFonts w:ascii="Calibri" w:hAnsi="Calibri" w:cs="Calibri"/>
                <w:noProof/>
                <w:webHidden/>
              </w:rPr>
              <w:instrText xml:space="preserve"> PAGEREF _Toc193220970 \h </w:instrText>
            </w:r>
            <w:r w:rsidRPr="00BF758E">
              <w:rPr>
                <w:rFonts w:ascii="Calibri" w:hAnsi="Calibri" w:cs="Calibri"/>
                <w:noProof/>
                <w:webHidden/>
              </w:rPr>
            </w:r>
            <w:r w:rsidRPr="00BF758E">
              <w:rPr>
                <w:rFonts w:ascii="Calibri" w:hAnsi="Calibri" w:cs="Calibri"/>
                <w:noProof/>
                <w:webHidden/>
              </w:rPr>
              <w:fldChar w:fldCharType="separate"/>
            </w:r>
            <w:r w:rsidR="00BF758E" w:rsidRPr="00BF758E">
              <w:rPr>
                <w:rFonts w:ascii="Calibri" w:hAnsi="Calibri" w:cs="Calibri"/>
                <w:noProof/>
                <w:webHidden/>
              </w:rPr>
              <w:t>10</w:t>
            </w:r>
            <w:r w:rsidRPr="00BF758E">
              <w:rPr>
                <w:rFonts w:ascii="Calibri" w:hAnsi="Calibri" w:cs="Calibri"/>
                <w:noProof/>
                <w:webHidden/>
              </w:rPr>
              <w:fldChar w:fldCharType="end"/>
            </w:r>
          </w:hyperlink>
        </w:p>
        <w:p w14:paraId="106E3597" w14:textId="534DBA87" w:rsidR="00F6380A" w:rsidRPr="00BF758E" w:rsidRDefault="00F6380A">
          <w:pPr>
            <w:pStyle w:val="TOC1"/>
            <w:tabs>
              <w:tab w:val="right" w:leader="dot" w:pos="9016"/>
            </w:tabs>
            <w:rPr>
              <w:rFonts w:ascii="Calibri" w:eastAsiaTheme="minorEastAsia" w:hAnsi="Calibri" w:cs="Calibri"/>
              <w:noProof/>
              <w:kern w:val="2"/>
              <w:szCs w:val="24"/>
              <w:lang w:val="en-IN" w:eastAsia="en-IN"/>
              <w14:ligatures w14:val="standardContextual"/>
            </w:rPr>
          </w:pPr>
          <w:hyperlink w:anchor="_Toc193220971" w:history="1">
            <w:r w:rsidRPr="00BF758E">
              <w:rPr>
                <w:rStyle w:val="Hyperlink"/>
                <w:rFonts w:ascii="Calibri" w:hAnsi="Calibri" w:cs="Calibri"/>
                <w:noProof/>
              </w:rPr>
              <w:t>References</w:t>
            </w:r>
            <w:r w:rsidRPr="00BF758E">
              <w:rPr>
                <w:rFonts w:ascii="Calibri" w:hAnsi="Calibri" w:cs="Calibri"/>
                <w:noProof/>
                <w:webHidden/>
              </w:rPr>
              <w:tab/>
            </w:r>
            <w:r w:rsidRPr="00BF758E">
              <w:rPr>
                <w:rFonts w:ascii="Calibri" w:hAnsi="Calibri" w:cs="Calibri"/>
                <w:noProof/>
                <w:webHidden/>
              </w:rPr>
              <w:fldChar w:fldCharType="begin"/>
            </w:r>
            <w:r w:rsidRPr="00BF758E">
              <w:rPr>
                <w:rFonts w:ascii="Calibri" w:hAnsi="Calibri" w:cs="Calibri"/>
                <w:noProof/>
                <w:webHidden/>
              </w:rPr>
              <w:instrText xml:space="preserve"> PAGEREF _Toc193220971 \h </w:instrText>
            </w:r>
            <w:r w:rsidRPr="00BF758E">
              <w:rPr>
                <w:rFonts w:ascii="Calibri" w:hAnsi="Calibri" w:cs="Calibri"/>
                <w:noProof/>
                <w:webHidden/>
              </w:rPr>
            </w:r>
            <w:r w:rsidRPr="00BF758E">
              <w:rPr>
                <w:rFonts w:ascii="Calibri" w:hAnsi="Calibri" w:cs="Calibri"/>
                <w:noProof/>
                <w:webHidden/>
              </w:rPr>
              <w:fldChar w:fldCharType="separate"/>
            </w:r>
            <w:r w:rsidR="00BF758E" w:rsidRPr="00BF758E">
              <w:rPr>
                <w:rFonts w:ascii="Calibri" w:hAnsi="Calibri" w:cs="Calibri"/>
                <w:noProof/>
                <w:webHidden/>
              </w:rPr>
              <w:t>11</w:t>
            </w:r>
            <w:r w:rsidRPr="00BF758E">
              <w:rPr>
                <w:rFonts w:ascii="Calibri" w:hAnsi="Calibri" w:cs="Calibri"/>
                <w:noProof/>
                <w:webHidden/>
              </w:rPr>
              <w:fldChar w:fldCharType="end"/>
            </w:r>
          </w:hyperlink>
        </w:p>
        <w:p w14:paraId="6C0D6108" w14:textId="581FD217" w:rsidR="00F6380A" w:rsidRPr="00BF758E" w:rsidRDefault="00F6380A">
          <w:pPr>
            <w:rPr>
              <w:rFonts w:ascii="Calibri" w:hAnsi="Calibri" w:cs="Calibri"/>
            </w:rPr>
          </w:pPr>
          <w:r w:rsidRPr="00BF758E">
            <w:rPr>
              <w:rFonts w:ascii="Calibri" w:hAnsi="Calibri" w:cs="Calibri"/>
              <w:b/>
              <w:bCs/>
              <w:noProof/>
            </w:rPr>
            <w:fldChar w:fldCharType="end"/>
          </w:r>
        </w:p>
      </w:sdtContent>
    </w:sdt>
    <w:p w14:paraId="7AF00FE8" w14:textId="77777777" w:rsidR="00F6380A" w:rsidRPr="00BF758E" w:rsidRDefault="00F6380A" w:rsidP="00040EF0">
      <w:pPr>
        <w:rPr>
          <w:rFonts w:ascii="Calibri" w:hAnsi="Calibri" w:cs="Calibri"/>
        </w:rPr>
      </w:pPr>
    </w:p>
    <w:p w14:paraId="6C9F192C" w14:textId="77777777" w:rsidR="00BF758E" w:rsidRPr="00BF758E" w:rsidRDefault="00BF758E" w:rsidP="00040EF0">
      <w:pPr>
        <w:rPr>
          <w:rFonts w:ascii="Calibri" w:hAnsi="Calibri" w:cs="Calibri"/>
        </w:rPr>
      </w:pPr>
    </w:p>
    <w:p w14:paraId="3DBA8C6D" w14:textId="77777777" w:rsidR="00BF758E" w:rsidRPr="00BF758E" w:rsidRDefault="00BF758E" w:rsidP="00040EF0">
      <w:pPr>
        <w:rPr>
          <w:rFonts w:ascii="Calibri" w:hAnsi="Calibri" w:cs="Calibri"/>
        </w:rPr>
      </w:pPr>
    </w:p>
    <w:p w14:paraId="742B4344" w14:textId="77777777" w:rsidR="00BF758E" w:rsidRPr="00BF758E" w:rsidRDefault="00BF758E" w:rsidP="00040EF0">
      <w:pPr>
        <w:rPr>
          <w:rFonts w:ascii="Calibri" w:hAnsi="Calibri" w:cs="Calibri"/>
        </w:rPr>
      </w:pPr>
    </w:p>
    <w:p w14:paraId="556FBC7E" w14:textId="77777777" w:rsidR="00BF758E" w:rsidRPr="00BF758E" w:rsidRDefault="00BF758E" w:rsidP="00040EF0">
      <w:pPr>
        <w:rPr>
          <w:rFonts w:ascii="Calibri" w:hAnsi="Calibri" w:cs="Calibri"/>
        </w:rPr>
      </w:pPr>
    </w:p>
    <w:p w14:paraId="03A793FD" w14:textId="77777777" w:rsidR="00BF758E" w:rsidRPr="00BF758E" w:rsidRDefault="00BF758E" w:rsidP="00040EF0">
      <w:pPr>
        <w:rPr>
          <w:rFonts w:ascii="Calibri" w:hAnsi="Calibri" w:cs="Calibri"/>
        </w:rPr>
      </w:pPr>
    </w:p>
    <w:p w14:paraId="653106B9" w14:textId="77777777" w:rsidR="00BF758E" w:rsidRPr="00BF758E" w:rsidRDefault="00BF758E" w:rsidP="00040EF0">
      <w:pPr>
        <w:rPr>
          <w:rFonts w:ascii="Calibri" w:hAnsi="Calibri" w:cs="Calibri"/>
        </w:rPr>
      </w:pPr>
    </w:p>
    <w:p w14:paraId="3D1F5D16" w14:textId="77777777" w:rsidR="00BF758E" w:rsidRPr="00BF758E" w:rsidRDefault="00BF758E" w:rsidP="00040EF0">
      <w:pPr>
        <w:rPr>
          <w:rFonts w:ascii="Calibri" w:hAnsi="Calibri" w:cs="Calibri"/>
        </w:rPr>
      </w:pPr>
    </w:p>
    <w:p w14:paraId="69AA6CDA" w14:textId="77777777" w:rsidR="00BF758E" w:rsidRPr="00BF758E" w:rsidRDefault="00BF758E" w:rsidP="00040EF0">
      <w:pPr>
        <w:rPr>
          <w:rFonts w:ascii="Calibri" w:hAnsi="Calibri" w:cs="Calibri"/>
        </w:rPr>
      </w:pPr>
    </w:p>
    <w:p w14:paraId="323A3766" w14:textId="77777777" w:rsidR="00BF758E" w:rsidRPr="00BF758E" w:rsidRDefault="00BF758E" w:rsidP="00040EF0">
      <w:pPr>
        <w:rPr>
          <w:rFonts w:ascii="Calibri" w:hAnsi="Calibri" w:cs="Calibri"/>
        </w:rPr>
      </w:pPr>
    </w:p>
    <w:p w14:paraId="70B3B920" w14:textId="77777777" w:rsidR="00BF758E" w:rsidRPr="00BF758E" w:rsidRDefault="00BF758E" w:rsidP="00040EF0">
      <w:pPr>
        <w:rPr>
          <w:rFonts w:ascii="Calibri" w:hAnsi="Calibri" w:cs="Calibri"/>
        </w:rPr>
      </w:pPr>
    </w:p>
    <w:p w14:paraId="3F6D3B69" w14:textId="77777777" w:rsidR="00BF758E" w:rsidRPr="00BF758E" w:rsidRDefault="00BF758E" w:rsidP="00040EF0">
      <w:pPr>
        <w:rPr>
          <w:rFonts w:ascii="Calibri" w:hAnsi="Calibri" w:cs="Calibri"/>
        </w:rPr>
      </w:pPr>
    </w:p>
    <w:p w14:paraId="43B5058C" w14:textId="77777777" w:rsidR="00BF758E" w:rsidRPr="00BF758E" w:rsidRDefault="00BF758E" w:rsidP="00040EF0">
      <w:pPr>
        <w:rPr>
          <w:rFonts w:ascii="Calibri" w:hAnsi="Calibri" w:cs="Calibri"/>
        </w:rPr>
      </w:pPr>
    </w:p>
    <w:p w14:paraId="0951FE0B" w14:textId="161A46E0" w:rsidR="00040EF0" w:rsidRPr="00BF758E" w:rsidRDefault="00040EF0" w:rsidP="00040EF0">
      <w:pPr>
        <w:pStyle w:val="Heading1"/>
        <w:rPr>
          <w:rFonts w:ascii="Calibri" w:hAnsi="Calibri" w:cs="Calibri"/>
        </w:rPr>
      </w:pPr>
      <w:bookmarkStart w:id="1" w:name="_Toc193220965"/>
      <w:r w:rsidRPr="00BF758E">
        <w:rPr>
          <w:rFonts w:ascii="Calibri" w:hAnsi="Calibri" w:cs="Calibri"/>
        </w:rPr>
        <w:lastRenderedPageBreak/>
        <w:t>1. Introduction</w:t>
      </w:r>
      <w:bookmarkEnd w:id="1"/>
      <w:r w:rsidRPr="00BF758E">
        <w:rPr>
          <w:rFonts w:ascii="Calibri" w:hAnsi="Calibri" w:cs="Calibri"/>
        </w:rPr>
        <w:t xml:space="preserve"> </w:t>
      </w:r>
    </w:p>
    <w:p w14:paraId="6D2F6E17" w14:textId="7C3670CC" w:rsidR="00040EF0" w:rsidRPr="00BF758E" w:rsidRDefault="00040EF0" w:rsidP="00040EF0">
      <w:pPr>
        <w:rPr>
          <w:rFonts w:ascii="Calibri" w:hAnsi="Calibri" w:cs="Calibri"/>
        </w:rPr>
      </w:pPr>
      <w:r w:rsidRPr="00BF758E">
        <w:rPr>
          <w:rFonts w:ascii="Calibri" w:hAnsi="Calibri" w:cs="Calibri"/>
        </w:rPr>
        <w:t xml:space="preserve">Tesla Inc. was founded in </w:t>
      </w:r>
      <w:r w:rsidR="00F6380A" w:rsidRPr="00BF758E">
        <w:rPr>
          <w:rFonts w:ascii="Calibri" w:hAnsi="Calibri" w:cs="Calibri"/>
        </w:rPr>
        <w:t xml:space="preserve">the year </w:t>
      </w:r>
      <w:r w:rsidRPr="00BF758E">
        <w:rPr>
          <w:rFonts w:ascii="Calibri" w:hAnsi="Calibri" w:cs="Calibri"/>
        </w:rPr>
        <w:t>2003 and based in Austin, Texas, USA; it is a manufacturer for electric vehicles and renewable energy technologies. The company offers passenger EVs (Model S, 3, X, Y), energy storage products (Powerwall, Megapack), and solar systems. Within the realm of sustainability and innovation, Tesla has revolutioni</w:t>
      </w:r>
      <w:r w:rsidR="00462682">
        <w:rPr>
          <w:rFonts w:ascii="Calibri" w:hAnsi="Calibri" w:cs="Calibri"/>
        </w:rPr>
        <w:t>s</w:t>
      </w:r>
      <w:r w:rsidRPr="00BF758E">
        <w:rPr>
          <w:rFonts w:ascii="Calibri" w:hAnsi="Calibri" w:cs="Calibri"/>
        </w:rPr>
        <w:t>ed mobility, forcing traditional car manufacturers into emission-free and energy source transformation.</w:t>
      </w:r>
    </w:p>
    <w:p w14:paraId="129D1DBE" w14:textId="4E6288DE" w:rsidR="00040EF0" w:rsidRPr="00BF758E" w:rsidRDefault="00040EF0" w:rsidP="00040EF0">
      <w:pPr>
        <w:rPr>
          <w:rFonts w:ascii="Calibri" w:hAnsi="Calibri" w:cs="Calibri"/>
        </w:rPr>
      </w:pPr>
      <w:r w:rsidRPr="00BF758E">
        <w:rPr>
          <w:rFonts w:ascii="Calibri" w:hAnsi="Calibri" w:cs="Calibri"/>
        </w:rPr>
        <w:t xml:space="preserve">These days we are witnessing a major transformation of the automotive industry as global low emission vehicle, digitised mobility service, and autonomous technologies are increasingly becoming mainstream. In this context, Tesla has a central part to play, as it is investing in full </w:t>
      </w:r>
      <w:r w:rsidR="00F6380A" w:rsidRPr="00BF758E">
        <w:rPr>
          <w:rFonts w:ascii="Calibri" w:hAnsi="Calibri" w:cs="Calibri"/>
        </w:rPr>
        <w:t>self-driving</w:t>
      </w:r>
      <w:r w:rsidRPr="00BF758E">
        <w:rPr>
          <w:rFonts w:ascii="Calibri" w:hAnsi="Calibri" w:cs="Calibri"/>
        </w:rPr>
        <w:t xml:space="preserve"> (FSD) software, battery innovation, and gigafactory scalability. Such a combination of production, energy infrastructure and digital services as it </w:t>
      </w:r>
      <w:r w:rsidR="00F6380A" w:rsidRPr="00BF758E">
        <w:rPr>
          <w:rFonts w:ascii="Calibri" w:hAnsi="Calibri" w:cs="Calibri"/>
        </w:rPr>
        <w:t>makes</w:t>
      </w:r>
      <w:r w:rsidRPr="00BF758E">
        <w:rPr>
          <w:rFonts w:ascii="Calibri" w:hAnsi="Calibri" w:cs="Calibri"/>
        </w:rPr>
        <w:t xml:space="preserve"> a unique business ecosystem. </w:t>
      </w:r>
      <w:r w:rsidR="00E8119E">
        <w:rPr>
          <w:rFonts w:ascii="Calibri" w:hAnsi="Calibri" w:cs="Calibri"/>
        </w:rPr>
        <w:t xml:space="preserve">As per </w:t>
      </w:r>
      <w:r w:rsidRPr="00BF758E">
        <w:rPr>
          <w:rFonts w:ascii="Calibri" w:hAnsi="Calibri" w:cs="Calibri"/>
        </w:rPr>
        <w:t>Tesla Inc. (2024), the company’s mission is ‘to accelerate the world’s transition to sustainable energy’. For strategic purposes, Tesla desires to capture market share in the EV market, increase global reach, maintain innovation leadership in products, and improve shareholder value.</w:t>
      </w:r>
    </w:p>
    <w:p w14:paraId="308AC589" w14:textId="60ACC8B6" w:rsidR="00040EF0" w:rsidRPr="00BF758E" w:rsidRDefault="00040EF0" w:rsidP="00040EF0">
      <w:pPr>
        <w:rPr>
          <w:rFonts w:ascii="Calibri" w:hAnsi="Calibri" w:cs="Calibri"/>
        </w:rPr>
      </w:pPr>
      <w:r w:rsidRPr="00BF758E">
        <w:rPr>
          <w:rFonts w:ascii="Calibri" w:hAnsi="Calibri" w:cs="Calibri"/>
        </w:rPr>
        <w:t>On microeconomic level, Tesla is battling with intricate demand and supply curves out of pricing elasticity in diverse global markets. Lithium-ion batteries are costly, labour and semiconductor dependencies are part of its cost structure problems. In addition, macroeconomic shifts like inflation trends, GDP recovery, trade policy fluctuations also impact Tesla’s operational strategy. The company’s decision making and positioning in the global EV sector is an outcome of these interwoven economic and strategic contexts.</w:t>
      </w:r>
    </w:p>
    <w:p w14:paraId="56C8E57F" w14:textId="6357B2EF" w:rsidR="00040EF0" w:rsidRPr="00BF758E" w:rsidRDefault="00040EF0" w:rsidP="00040EF0">
      <w:pPr>
        <w:pStyle w:val="Heading1"/>
        <w:rPr>
          <w:rFonts w:ascii="Calibri" w:hAnsi="Calibri" w:cs="Calibri"/>
        </w:rPr>
      </w:pPr>
      <w:bookmarkStart w:id="2" w:name="_Toc193220966"/>
      <w:r w:rsidRPr="00BF758E">
        <w:rPr>
          <w:rFonts w:ascii="Calibri" w:hAnsi="Calibri" w:cs="Calibri"/>
        </w:rPr>
        <w:t>2. External Environmental Analysis</w:t>
      </w:r>
      <w:bookmarkEnd w:id="2"/>
      <w:r w:rsidRPr="00BF758E">
        <w:rPr>
          <w:rFonts w:ascii="Calibri" w:hAnsi="Calibri" w:cs="Calibri"/>
        </w:rPr>
        <w:t xml:space="preserve"> </w:t>
      </w:r>
    </w:p>
    <w:p w14:paraId="00F9D27F" w14:textId="3758CE08" w:rsidR="00040EF0" w:rsidRPr="00BF758E" w:rsidRDefault="00040EF0" w:rsidP="00040EF0">
      <w:pPr>
        <w:rPr>
          <w:rFonts w:ascii="Calibri" w:hAnsi="Calibri" w:cs="Calibri"/>
          <w:b/>
          <w:bCs/>
        </w:rPr>
      </w:pPr>
      <w:r w:rsidRPr="00BF758E">
        <w:rPr>
          <w:rFonts w:ascii="Calibri" w:hAnsi="Calibri" w:cs="Calibri"/>
          <w:b/>
          <w:bCs/>
        </w:rPr>
        <w:t>PESTEL Analysis</w:t>
      </w:r>
    </w:p>
    <w:p w14:paraId="0D91AA3B" w14:textId="028FC441" w:rsidR="00040EF0" w:rsidRPr="001B4944" w:rsidRDefault="00040EF0" w:rsidP="001B4944">
      <w:pPr>
        <w:rPr>
          <w:rFonts w:ascii="Calibri" w:hAnsi="Calibri" w:cs="Calibri"/>
        </w:rPr>
      </w:pPr>
      <w:r w:rsidRPr="001B4944">
        <w:rPr>
          <w:rFonts w:ascii="Calibri" w:hAnsi="Calibri" w:cs="Calibri"/>
          <w:i/>
          <w:iCs/>
        </w:rPr>
        <w:t>Political</w:t>
      </w:r>
      <w:r w:rsidRPr="001B4944">
        <w:rPr>
          <w:rFonts w:ascii="Calibri" w:hAnsi="Calibri" w:cs="Calibri"/>
        </w:rPr>
        <w:t>: Governmental policy support is a catalyst to the adoption of EV. European vehicle electrification is incentivized in the EU with tax subsidies and a carbon regulation framework (ACEA, 2025). Still, geopolitical tensions and local content requirements create operating challenges for companies such as Tesla in markets where trade protectionism is evident.</w:t>
      </w:r>
    </w:p>
    <w:p w14:paraId="2ABFFB01" w14:textId="62443F3C" w:rsidR="00040EF0" w:rsidRPr="001B4944" w:rsidRDefault="00040EF0" w:rsidP="001B4944">
      <w:pPr>
        <w:rPr>
          <w:rFonts w:ascii="Calibri" w:hAnsi="Calibri" w:cs="Calibri"/>
        </w:rPr>
      </w:pPr>
      <w:r w:rsidRPr="001B4944">
        <w:rPr>
          <w:rFonts w:ascii="Calibri" w:hAnsi="Calibri" w:cs="Calibri"/>
          <w:i/>
          <w:iCs/>
        </w:rPr>
        <w:t>Economic</w:t>
      </w:r>
      <w:r w:rsidRPr="001B4944">
        <w:rPr>
          <w:rFonts w:ascii="Calibri" w:hAnsi="Calibri" w:cs="Calibri"/>
        </w:rPr>
        <w:t xml:space="preserve">: </w:t>
      </w:r>
      <w:r w:rsidR="007F3415" w:rsidRPr="001B4944">
        <w:rPr>
          <w:rFonts w:ascii="Calibri" w:hAnsi="Calibri" w:cs="Calibri"/>
        </w:rPr>
        <w:t xml:space="preserve">Microeconomic principles such as elasticity and marginal analysis have great influence on cost structures, pricing strategies and consumer behaviour in competitive </w:t>
      </w:r>
      <w:r w:rsidR="007F3415" w:rsidRPr="001B4944">
        <w:rPr>
          <w:rFonts w:ascii="Calibri" w:hAnsi="Calibri" w:cs="Calibri"/>
        </w:rPr>
        <w:lastRenderedPageBreak/>
        <w:t xml:space="preserve">markets (Sloman et al., 2019). </w:t>
      </w:r>
      <w:r w:rsidRPr="001B4944">
        <w:rPr>
          <w:rFonts w:ascii="Calibri" w:hAnsi="Calibri" w:cs="Calibri"/>
        </w:rPr>
        <w:t>The global automotive market was valued at USD 3.56 trillion in 2023 and is expected to reach USD 6.86 trillion by 2033 with a CAGR of 6.77% during the forecast period (Spherical Insights, 2024). In the ACEA (2025), it is projected that EU GDP will grow by 1.5% in 2025, and inflation will be 2.6%. The indicators indicate moderate economic rebound pacifying consumer spending in the automotive sectors. Despite this, the disparities in disposable income in most regions of the world affect price elasticity, and affordability for Tesla’s premium EVs.</w:t>
      </w:r>
    </w:p>
    <w:p w14:paraId="6EE87ED9" w14:textId="025A6052" w:rsidR="00040EF0" w:rsidRPr="001B4944" w:rsidRDefault="00040EF0" w:rsidP="001B4944">
      <w:pPr>
        <w:rPr>
          <w:rFonts w:ascii="Calibri" w:hAnsi="Calibri" w:cs="Calibri"/>
        </w:rPr>
      </w:pPr>
      <w:r w:rsidRPr="001B4944">
        <w:rPr>
          <w:rFonts w:ascii="Calibri" w:hAnsi="Calibri" w:cs="Calibri"/>
          <w:i/>
          <w:iCs/>
        </w:rPr>
        <w:t>Social</w:t>
      </w:r>
      <w:r w:rsidRPr="001B4944">
        <w:rPr>
          <w:rFonts w:ascii="Calibri" w:hAnsi="Calibri" w:cs="Calibri"/>
        </w:rPr>
        <w:t>: Heightened environmental awareness and urban sustainability agendas have made their way into the psyche of the consumer. There is strong public interest in carbon neutral lifestyles which sits perfectly with Tesla’s sustainability brand proposition including among Gen Z and millennial consumers in urban markets.</w:t>
      </w:r>
    </w:p>
    <w:p w14:paraId="774F80D7" w14:textId="5596BE1C" w:rsidR="00040EF0" w:rsidRPr="001B4944" w:rsidRDefault="00040EF0" w:rsidP="001B4944">
      <w:pPr>
        <w:rPr>
          <w:rFonts w:ascii="Calibri" w:hAnsi="Calibri" w:cs="Calibri"/>
        </w:rPr>
      </w:pPr>
      <w:r w:rsidRPr="001B4944">
        <w:rPr>
          <w:rFonts w:ascii="Calibri" w:hAnsi="Calibri" w:cs="Calibri"/>
          <w:i/>
          <w:iCs/>
        </w:rPr>
        <w:t>Technological</w:t>
      </w:r>
      <w:r w:rsidRPr="001B4944">
        <w:rPr>
          <w:rFonts w:ascii="Calibri" w:hAnsi="Calibri" w:cs="Calibri"/>
        </w:rPr>
        <w:t>: In technological terms, Tesla’s investments in battery chemistry, autonomous driving, and over-the-air (OTA) software updates create differentiation for its offering. Therefore, other automakers are also accelerating R&amp;D in digital vehicle platforms and AI integration (Liu and Meng, 2017).</w:t>
      </w:r>
    </w:p>
    <w:p w14:paraId="0F2EE6F8" w14:textId="0B976CCC" w:rsidR="00040EF0" w:rsidRPr="001B4944" w:rsidRDefault="00040EF0" w:rsidP="001B4944">
      <w:pPr>
        <w:rPr>
          <w:rFonts w:ascii="Calibri" w:hAnsi="Calibri" w:cs="Calibri"/>
        </w:rPr>
      </w:pPr>
      <w:r w:rsidRPr="001B4944">
        <w:rPr>
          <w:rFonts w:ascii="Calibri" w:hAnsi="Calibri" w:cs="Calibri"/>
          <w:i/>
          <w:iCs/>
        </w:rPr>
        <w:t>Legal</w:t>
      </w:r>
      <w:r w:rsidRPr="001B4944">
        <w:rPr>
          <w:rFonts w:ascii="Calibri" w:hAnsi="Calibri" w:cs="Calibri"/>
        </w:rPr>
        <w:t>: Tesla’s promise of zero emission manufacture contributes with the global decarbonisation agenda. Nevertheless, the carbon footprint and water usage associated with producing batteries remain problematic in terms of lifecycle sustainability.</w:t>
      </w:r>
    </w:p>
    <w:p w14:paraId="155F7D7B" w14:textId="517FC38A" w:rsidR="00040EF0" w:rsidRPr="001B4944" w:rsidRDefault="00040EF0" w:rsidP="001B4944">
      <w:pPr>
        <w:rPr>
          <w:rFonts w:ascii="Calibri" w:hAnsi="Calibri" w:cs="Calibri"/>
        </w:rPr>
      </w:pPr>
      <w:r w:rsidRPr="001B4944">
        <w:rPr>
          <w:rFonts w:ascii="Calibri" w:hAnsi="Calibri" w:cs="Calibri"/>
          <w:i/>
          <w:iCs/>
        </w:rPr>
        <w:t>Environmental</w:t>
      </w:r>
      <w:r w:rsidRPr="001B4944">
        <w:rPr>
          <w:rFonts w:ascii="Calibri" w:hAnsi="Calibri" w:cs="Calibri"/>
        </w:rPr>
        <w:t>: EU Euro 7 emissions standards and the safety management of autonomous vehicles are still being developed, which impact Tesla’s market access and time to innovate (ACEA, 2025).</w:t>
      </w:r>
    </w:p>
    <w:p w14:paraId="1FD5A861" w14:textId="2AD165EA" w:rsidR="00040EF0" w:rsidRPr="00BF758E" w:rsidRDefault="00040EF0" w:rsidP="00040EF0">
      <w:pPr>
        <w:rPr>
          <w:rFonts w:ascii="Calibri" w:hAnsi="Calibri" w:cs="Calibri"/>
          <w:b/>
          <w:bCs/>
        </w:rPr>
      </w:pPr>
      <w:r w:rsidRPr="00BF758E">
        <w:rPr>
          <w:rFonts w:ascii="Calibri" w:hAnsi="Calibri" w:cs="Calibri"/>
          <w:b/>
          <w:bCs/>
        </w:rPr>
        <w:t>Porter’s Five Forces</w:t>
      </w:r>
    </w:p>
    <w:p w14:paraId="12EBF016" w14:textId="7AA843B4" w:rsidR="00040EF0" w:rsidRPr="001B4944" w:rsidRDefault="00040EF0" w:rsidP="001B4944">
      <w:pPr>
        <w:rPr>
          <w:rFonts w:ascii="Calibri" w:hAnsi="Calibri" w:cs="Calibri"/>
        </w:rPr>
      </w:pPr>
      <w:r w:rsidRPr="001B4944">
        <w:rPr>
          <w:rFonts w:ascii="Calibri" w:hAnsi="Calibri" w:cs="Calibri"/>
          <w:i/>
          <w:iCs/>
        </w:rPr>
        <w:t>Industry Rivalry</w:t>
      </w:r>
      <w:r w:rsidRPr="001B4944">
        <w:rPr>
          <w:rFonts w:ascii="Calibri" w:hAnsi="Calibri" w:cs="Calibri"/>
        </w:rPr>
        <w:t>: The industry rivalry is still quite high because of the rise of Chinese competitors like BYD and traditional OEMs like Volkswagen while new entrants have appeared like Rivian. In additional, Tesla must race on the innovation cycles as well as price–performance metrics (Liu et al., 2022).</w:t>
      </w:r>
    </w:p>
    <w:p w14:paraId="6CC48E6B" w14:textId="6F9D252E" w:rsidR="00040EF0" w:rsidRPr="001B4944" w:rsidRDefault="00040EF0" w:rsidP="001B4944">
      <w:pPr>
        <w:rPr>
          <w:rFonts w:ascii="Calibri" w:hAnsi="Calibri" w:cs="Calibri"/>
        </w:rPr>
      </w:pPr>
      <w:r w:rsidRPr="001B4944">
        <w:rPr>
          <w:rFonts w:ascii="Calibri" w:hAnsi="Calibri" w:cs="Calibri"/>
          <w:i/>
          <w:iCs/>
        </w:rPr>
        <w:t>Bargaining Power of Buyers</w:t>
      </w:r>
      <w:r w:rsidRPr="001B4944">
        <w:rPr>
          <w:rFonts w:ascii="Calibri" w:hAnsi="Calibri" w:cs="Calibri"/>
        </w:rPr>
        <w:t xml:space="preserve">: The more the number of EV alternatives on the market increases, the more the consumers’ bargaining power rises. However, high switching costs due to </w:t>
      </w:r>
      <w:r w:rsidRPr="001B4944">
        <w:rPr>
          <w:rFonts w:ascii="Calibri" w:hAnsi="Calibri" w:cs="Calibri"/>
        </w:rPr>
        <w:lastRenderedPageBreak/>
        <w:t>charging infrastructure and vehicle investment limit buyer power in the short term (Liu et al., 2022).</w:t>
      </w:r>
    </w:p>
    <w:p w14:paraId="344D3363" w14:textId="7298C341" w:rsidR="00040EF0" w:rsidRPr="001B4944" w:rsidRDefault="00040EF0" w:rsidP="001B4944">
      <w:pPr>
        <w:rPr>
          <w:rFonts w:ascii="Calibri" w:hAnsi="Calibri" w:cs="Calibri"/>
        </w:rPr>
      </w:pPr>
      <w:r w:rsidRPr="001B4944">
        <w:rPr>
          <w:rFonts w:ascii="Calibri" w:hAnsi="Calibri" w:cs="Calibri"/>
          <w:i/>
          <w:iCs/>
        </w:rPr>
        <w:t>Bargaining power of suppliers</w:t>
      </w:r>
      <w:r w:rsidRPr="001B4944">
        <w:rPr>
          <w:rFonts w:ascii="Calibri" w:hAnsi="Calibri" w:cs="Calibri"/>
        </w:rPr>
        <w:t>: Lithium, cobalt and semiconductor suppliers have a huge bargaining power in case of resource scarcity. Some of this risk is mitigated by Tesla’s strategy of vertical integration (Tesla Inc., 2024).</w:t>
      </w:r>
    </w:p>
    <w:p w14:paraId="2C97ED16" w14:textId="1B0630B3" w:rsidR="00040EF0" w:rsidRPr="001B4944" w:rsidRDefault="00040EF0" w:rsidP="001B4944">
      <w:pPr>
        <w:rPr>
          <w:rFonts w:ascii="Calibri" w:hAnsi="Calibri" w:cs="Calibri"/>
        </w:rPr>
      </w:pPr>
      <w:r w:rsidRPr="001B4944">
        <w:rPr>
          <w:rFonts w:ascii="Calibri" w:hAnsi="Calibri" w:cs="Calibri"/>
          <w:i/>
          <w:iCs/>
        </w:rPr>
        <w:t>The Threat of New Entrants</w:t>
      </w:r>
      <w:r w:rsidRPr="001B4944">
        <w:rPr>
          <w:rFonts w:ascii="Calibri" w:hAnsi="Calibri" w:cs="Calibri"/>
        </w:rPr>
        <w:t>: High capital needs, intellectual property hurdles and economies of scale lower the threat of new entrants, though startups with digital DNA have become a growing threat (Zhou, 2023).</w:t>
      </w:r>
    </w:p>
    <w:p w14:paraId="5B6F3769" w14:textId="2503619A" w:rsidR="00040EF0" w:rsidRPr="001B4944" w:rsidRDefault="00040EF0" w:rsidP="001B4944">
      <w:pPr>
        <w:rPr>
          <w:rFonts w:ascii="Calibri" w:hAnsi="Calibri" w:cs="Calibri"/>
        </w:rPr>
      </w:pPr>
      <w:r w:rsidRPr="001B4944">
        <w:rPr>
          <w:rFonts w:ascii="Calibri" w:hAnsi="Calibri" w:cs="Calibri"/>
          <w:i/>
          <w:iCs/>
        </w:rPr>
        <w:t>Substitutes</w:t>
      </w:r>
      <w:r w:rsidRPr="001B4944">
        <w:rPr>
          <w:rFonts w:ascii="Calibri" w:hAnsi="Calibri" w:cs="Calibri"/>
        </w:rPr>
        <w:t xml:space="preserve">: Substitute products are hybrid vehicles and micro mobility options. Though performance metrics </w:t>
      </w:r>
      <w:r w:rsidR="001B4944" w:rsidRPr="001B4944">
        <w:rPr>
          <w:rFonts w:ascii="Calibri" w:hAnsi="Calibri" w:cs="Calibri"/>
        </w:rPr>
        <w:t>favour</w:t>
      </w:r>
      <w:r w:rsidRPr="001B4944">
        <w:rPr>
          <w:rFonts w:ascii="Calibri" w:hAnsi="Calibri" w:cs="Calibri"/>
        </w:rPr>
        <w:t xml:space="preserve"> Tesla, substitutes will eventually jeopardize market share at cost sensitive segment.</w:t>
      </w:r>
    </w:p>
    <w:p w14:paraId="26402FF0" w14:textId="5A200FAC" w:rsidR="00040EF0" w:rsidRPr="00BF758E" w:rsidRDefault="00040EF0" w:rsidP="00040EF0">
      <w:pPr>
        <w:rPr>
          <w:rFonts w:ascii="Calibri" w:hAnsi="Calibri" w:cs="Calibri"/>
          <w:b/>
          <w:bCs/>
        </w:rPr>
      </w:pPr>
      <w:r w:rsidRPr="00BF758E">
        <w:rPr>
          <w:rFonts w:ascii="Calibri" w:hAnsi="Calibri" w:cs="Calibri"/>
          <w:b/>
          <w:bCs/>
        </w:rPr>
        <w:t>Market Structure Analysis</w:t>
      </w:r>
    </w:p>
    <w:p w14:paraId="077BD9B1" w14:textId="77777777" w:rsidR="00040EF0" w:rsidRPr="00BF758E" w:rsidRDefault="00040EF0" w:rsidP="00040EF0">
      <w:pPr>
        <w:rPr>
          <w:rFonts w:ascii="Calibri" w:hAnsi="Calibri" w:cs="Calibri"/>
        </w:rPr>
      </w:pPr>
      <w:r w:rsidRPr="00BF758E">
        <w:rPr>
          <w:rFonts w:ascii="Calibri" w:hAnsi="Calibri" w:cs="Calibri"/>
        </w:rPr>
        <w:t>Tesla operates in an environment of oligopolistic market structure where the market is run by only a few dominant players with high entry barriers. This structure offers pricing flexibility and innovation driven differentiation and intensifies the competition but also unleashes competition especially in high growth regions such as China and North America.</w:t>
      </w:r>
    </w:p>
    <w:p w14:paraId="7FB7AC74" w14:textId="7FFAF899" w:rsidR="00040EF0" w:rsidRPr="00BF758E" w:rsidRDefault="00040EF0" w:rsidP="00040EF0">
      <w:pPr>
        <w:rPr>
          <w:rFonts w:ascii="Calibri" w:hAnsi="Calibri" w:cs="Calibri"/>
          <w:b/>
          <w:bCs/>
        </w:rPr>
      </w:pPr>
      <w:r w:rsidRPr="00BF758E">
        <w:rPr>
          <w:rFonts w:ascii="Calibri" w:hAnsi="Calibri" w:cs="Calibri"/>
          <w:b/>
          <w:bCs/>
        </w:rPr>
        <w:t>Microeconomic Concepts</w:t>
      </w:r>
    </w:p>
    <w:p w14:paraId="2EE430A4" w14:textId="17FAD042" w:rsidR="00040EF0" w:rsidRPr="00BF758E" w:rsidRDefault="00040EF0" w:rsidP="00040EF0">
      <w:pPr>
        <w:rPr>
          <w:rFonts w:ascii="Calibri" w:hAnsi="Calibri" w:cs="Calibri"/>
        </w:rPr>
      </w:pPr>
      <w:r w:rsidRPr="00BF758E">
        <w:rPr>
          <w:rFonts w:ascii="Calibri" w:hAnsi="Calibri" w:cs="Calibri"/>
        </w:rPr>
        <w:t xml:space="preserve">Consumer sensitivity for EV pricing and government subsidies affect Tesla’s sales dynamics which are demand and supply oriented. The robust demand of Model Y made it the </w:t>
      </w:r>
      <w:r w:rsidR="001B4944" w:rsidRPr="00BF758E">
        <w:rPr>
          <w:rFonts w:ascii="Calibri" w:hAnsi="Calibri" w:cs="Calibri"/>
        </w:rPr>
        <w:t>best-selling</w:t>
      </w:r>
      <w:r w:rsidRPr="00BF758E">
        <w:rPr>
          <w:rFonts w:ascii="Calibri" w:hAnsi="Calibri" w:cs="Calibri"/>
        </w:rPr>
        <w:t xml:space="preserve"> car globally in 2023 (Tesla Inc., 2024).</w:t>
      </w:r>
    </w:p>
    <w:p w14:paraId="1F323B66" w14:textId="0550989A" w:rsidR="00040EF0" w:rsidRPr="00BF758E" w:rsidRDefault="00040EF0" w:rsidP="00040EF0">
      <w:pPr>
        <w:rPr>
          <w:rFonts w:ascii="Calibri" w:hAnsi="Calibri" w:cs="Calibri"/>
        </w:rPr>
      </w:pPr>
      <w:r w:rsidRPr="00BF758E">
        <w:rPr>
          <w:rFonts w:ascii="Calibri" w:hAnsi="Calibri" w:cs="Calibri"/>
        </w:rPr>
        <w:t>Price Elasticity: Tesla’s high-end models are still highly elastic in developing markets, where they are priced out of affordable range, while Model 3 type mid-range models have better elasticity because of their value for performance (Zhou, 2023).</w:t>
      </w:r>
    </w:p>
    <w:p w14:paraId="16A1E7D9" w14:textId="651D73FF" w:rsidR="00032D9E" w:rsidRPr="00BF758E" w:rsidRDefault="00040EF0" w:rsidP="00040EF0">
      <w:pPr>
        <w:rPr>
          <w:rFonts w:ascii="Calibri" w:hAnsi="Calibri" w:cs="Calibri"/>
        </w:rPr>
      </w:pPr>
      <w:r w:rsidRPr="00BF758E">
        <w:rPr>
          <w:rFonts w:ascii="Calibri" w:hAnsi="Calibri" w:cs="Calibri"/>
        </w:rPr>
        <w:t>Battery costs accounts for 25–30% of vehicle cost. Tesla Inc. (2024) states that with 4680 cell innovation, these costs should be cut in half over time. Gigafactory production models also achieve economies of scale that improve cost competitiveness.</w:t>
      </w:r>
    </w:p>
    <w:p w14:paraId="41CE4219" w14:textId="068CB308" w:rsidR="0081628B" w:rsidRPr="00BF758E" w:rsidRDefault="007F3415" w:rsidP="0081628B">
      <w:pPr>
        <w:pStyle w:val="Heading1"/>
        <w:rPr>
          <w:rFonts w:ascii="Calibri" w:hAnsi="Calibri" w:cs="Calibri"/>
        </w:rPr>
      </w:pPr>
      <w:bookmarkStart w:id="3" w:name="_Toc193220967"/>
      <w:r w:rsidRPr="00BF758E">
        <w:rPr>
          <w:rFonts w:ascii="Calibri" w:hAnsi="Calibri" w:cs="Calibri"/>
        </w:rPr>
        <w:lastRenderedPageBreak/>
        <w:t xml:space="preserve">3. </w:t>
      </w:r>
      <w:r w:rsidR="0081628B" w:rsidRPr="00BF758E">
        <w:rPr>
          <w:rFonts w:ascii="Calibri" w:hAnsi="Calibri" w:cs="Calibri"/>
        </w:rPr>
        <w:t>Internal analysis</w:t>
      </w:r>
      <w:bookmarkEnd w:id="3"/>
    </w:p>
    <w:p w14:paraId="20CA8D4E" w14:textId="77777777" w:rsidR="0081628B" w:rsidRPr="00BF758E" w:rsidRDefault="0081628B" w:rsidP="0081628B">
      <w:pPr>
        <w:rPr>
          <w:rFonts w:ascii="Calibri" w:hAnsi="Calibri" w:cs="Calibri"/>
        </w:rPr>
      </w:pPr>
      <w:r w:rsidRPr="00BF758E">
        <w:rPr>
          <w:rFonts w:ascii="Calibri" w:hAnsi="Calibri" w:cs="Calibri"/>
        </w:rPr>
        <w:t>Through internal analysis of Tesla, it is shown that it has either a unique blend of capabilities or a unique combination of assets that gives rise to its sustained competitive advantage.</w:t>
      </w:r>
    </w:p>
    <w:p w14:paraId="0ECD1E60" w14:textId="5A6CFE9A" w:rsidR="0081628B" w:rsidRPr="00BF758E" w:rsidRDefault="0081628B" w:rsidP="0081628B">
      <w:pPr>
        <w:rPr>
          <w:rFonts w:ascii="Calibri" w:hAnsi="Calibri" w:cs="Calibri"/>
          <w:b/>
          <w:bCs/>
        </w:rPr>
      </w:pPr>
      <w:r w:rsidRPr="00BF758E">
        <w:rPr>
          <w:rFonts w:ascii="Calibri" w:hAnsi="Calibri" w:cs="Calibri"/>
          <w:b/>
          <w:bCs/>
        </w:rPr>
        <w:t>Resource-Based View (RBV)</w:t>
      </w:r>
    </w:p>
    <w:p w14:paraId="4C82D5B5" w14:textId="3662D875" w:rsidR="0081628B" w:rsidRPr="00BF758E" w:rsidRDefault="0081628B" w:rsidP="0081628B">
      <w:pPr>
        <w:rPr>
          <w:rFonts w:ascii="Calibri" w:hAnsi="Calibri" w:cs="Calibri"/>
        </w:rPr>
      </w:pPr>
      <w:r w:rsidRPr="00BF758E">
        <w:rPr>
          <w:rFonts w:ascii="Calibri" w:hAnsi="Calibri" w:cs="Calibri"/>
        </w:rPr>
        <w:t xml:space="preserve">The key strength of Tesla in the market is its technological capabilities and a vertically integrated business operations, its strong brand and software innovation. Tesla Inc. (2024) states that the company’s in-house battery technology including the 4680 battery cells development is supposed to decrease the battery cost by 50%, and also improve the vehicle range and efficiency. Tesla would be different from those competitors that must rely on third party suppliers. Additionally, vertical integration in the form of </w:t>
      </w:r>
      <w:r w:rsidR="001B4944" w:rsidRPr="00BF758E">
        <w:rPr>
          <w:rFonts w:ascii="Calibri" w:hAnsi="Calibri" w:cs="Calibri"/>
        </w:rPr>
        <w:t>in-house</w:t>
      </w:r>
      <w:r w:rsidRPr="00BF758E">
        <w:rPr>
          <w:rFonts w:ascii="Calibri" w:hAnsi="Calibri" w:cs="Calibri"/>
        </w:rPr>
        <w:t xml:space="preserve"> battery production, software development and direct to consumer sales provides control over the operations and reduces dependency on other parties (Teece, 2018). One unique ability that Tesla possess is their software innovation especially pertaining to proprietary Full Self-Driving (FSD) system and over the air (OTA) updates (Kim, 2020). These are the intangible assets that give Tesla a good strategic advantage.</w:t>
      </w:r>
    </w:p>
    <w:p w14:paraId="524D6588" w14:textId="77777777" w:rsidR="0081628B" w:rsidRPr="00BF758E" w:rsidRDefault="0081628B" w:rsidP="0081628B">
      <w:pPr>
        <w:rPr>
          <w:rFonts w:ascii="Calibri" w:hAnsi="Calibri" w:cs="Calibri"/>
        </w:rPr>
      </w:pPr>
      <w:r w:rsidRPr="00BF758E">
        <w:rPr>
          <w:rFonts w:ascii="Calibri" w:hAnsi="Calibri" w:cs="Calibri"/>
        </w:rPr>
        <w:t xml:space="preserve">Tesla has used its brand equity </w:t>
      </w:r>
      <w:proofErr w:type="spellStart"/>
      <w:r w:rsidRPr="00BF758E">
        <w:rPr>
          <w:rFonts w:ascii="Calibri" w:hAnsi="Calibri" w:cs="Calibri"/>
        </w:rPr>
        <w:t>centered</w:t>
      </w:r>
      <w:proofErr w:type="spellEnd"/>
      <w:r w:rsidRPr="00BF758E">
        <w:rPr>
          <w:rFonts w:ascii="Calibri" w:hAnsi="Calibri" w:cs="Calibri"/>
        </w:rPr>
        <w:t xml:space="preserve"> on innovation and sustainability for market penetration, especially among eco-minded consumers. According to this research, the firm’s intangible resources (e.g., software architecture, consumer loyalty, etc.) contribute more to its positioning on the product market (Zhu, 2022).</w:t>
      </w:r>
    </w:p>
    <w:p w14:paraId="04034A42" w14:textId="2B4C1DDF" w:rsidR="0081628B" w:rsidRPr="00BF758E" w:rsidRDefault="0081628B" w:rsidP="0081628B">
      <w:pPr>
        <w:rPr>
          <w:rFonts w:ascii="Calibri" w:hAnsi="Calibri" w:cs="Calibri"/>
          <w:b/>
          <w:bCs/>
        </w:rPr>
      </w:pPr>
      <w:r w:rsidRPr="00BF758E">
        <w:rPr>
          <w:rFonts w:ascii="Calibri" w:hAnsi="Calibri" w:cs="Calibri"/>
          <w:b/>
          <w:bCs/>
        </w:rPr>
        <w:t>Value Chain Analysis</w:t>
      </w:r>
    </w:p>
    <w:p w14:paraId="17AC208A" w14:textId="0F076F79" w:rsidR="0081628B" w:rsidRPr="00BF758E" w:rsidRDefault="0081628B" w:rsidP="0081628B">
      <w:pPr>
        <w:rPr>
          <w:rFonts w:ascii="Calibri" w:hAnsi="Calibri" w:cs="Calibri"/>
        </w:rPr>
      </w:pPr>
      <w:r w:rsidRPr="00BF758E">
        <w:rPr>
          <w:rFonts w:ascii="Calibri" w:hAnsi="Calibri" w:cs="Calibri"/>
        </w:rPr>
        <w:t>Tesla’s use of economies of scale is through its Gigafactories to enable the consolidation of battery production, assembly, and logistics. Vertical procuring strategies streamline inbound logistics by allowing direct partnerships with lithium and nickel suppliers (Tesla Inc., 2024).</w:t>
      </w:r>
    </w:p>
    <w:p w14:paraId="416905F4" w14:textId="77777777" w:rsidR="0081628B" w:rsidRPr="00BF758E" w:rsidRDefault="0081628B" w:rsidP="0081628B">
      <w:pPr>
        <w:rPr>
          <w:rFonts w:ascii="Calibri" w:hAnsi="Calibri" w:cs="Calibri"/>
        </w:rPr>
      </w:pPr>
      <w:r w:rsidRPr="00BF758E">
        <w:rPr>
          <w:rFonts w:ascii="Calibri" w:hAnsi="Calibri" w:cs="Calibri"/>
        </w:rPr>
        <w:t>In 2023, the firm’s R&amp;D expenditure was USD 3.4 billion, indicating its persistent efforts to innovate (Tesla Inc. 2024). Tesla relies on digital platforms and word of mouth branding resulting in marketing costs much lower than the industry norms (Zhou, 2023). Its global Supercharger network and remote vehicle diagnostics in after-sales services improve customer experience and unclog bottlenecks of servicing (Liu et al., 2022).</w:t>
      </w:r>
    </w:p>
    <w:p w14:paraId="72CEFA04" w14:textId="22401236" w:rsidR="0081628B" w:rsidRPr="00BF758E" w:rsidRDefault="0081628B" w:rsidP="0081628B">
      <w:pPr>
        <w:rPr>
          <w:rFonts w:ascii="Calibri" w:hAnsi="Calibri" w:cs="Calibri"/>
          <w:b/>
          <w:bCs/>
        </w:rPr>
      </w:pPr>
      <w:r w:rsidRPr="00BF758E">
        <w:rPr>
          <w:rFonts w:ascii="Calibri" w:hAnsi="Calibri" w:cs="Calibri"/>
          <w:b/>
          <w:bCs/>
        </w:rPr>
        <w:t>SWOT and TOWS Matrix</w:t>
      </w:r>
    </w:p>
    <w:p w14:paraId="5AB53388" w14:textId="725A554E" w:rsidR="0081628B" w:rsidRPr="00BF758E" w:rsidRDefault="0081628B" w:rsidP="0081628B">
      <w:pPr>
        <w:rPr>
          <w:rFonts w:ascii="Calibri" w:hAnsi="Calibri" w:cs="Calibri"/>
        </w:rPr>
      </w:pPr>
      <w:r w:rsidRPr="00BF758E">
        <w:rPr>
          <w:rFonts w:ascii="Calibri" w:hAnsi="Calibri" w:cs="Calibri"/>
        </w:rPr>
        <w:lastRenderedPageBreak/>
        <w:t>First, the strengths of GM are the first mover advantage in EV sector, strong innovation pipeline, vertical integration and high brand equity (Teece, 2018). However, there are weaknesses in high R&amp;D costs, production bottlenecks, and dependence on a few products (</w:t>
      </w:r>
      <w:proofErr w:type="spellStart"/>
      <w:r w:rsidRPr="00BF758E">
        <w:rPr>
          <w:rFonts w:ascii="Calibri" w:hAnsi="Calibri" w:cs="Calibri"/>
        </w:rPr>
        <w:t>Almenhali</w:t>
      </w:r>
      <w:proofErr w:type="spellEnd"/>
      <w:r w:rsidRPr="00BF758E">
        <w:rPr>
          <w:rFonts w:ascii="Calibri" w:hAnsi="Calibri" w:cs="Calibri"/>
        </w:rPr>
        <w:t xml:space="preserve"> et al., 2021). These include global EV growth, software driven revenue (e.g., FSD subscription) and new market in Asia and Africa (ACEA, 2025). Threats are related to rising competition from legacy firms and Chinese manufacturers including BYD, tightening regulations, and volatility in supply chain (Liu, 2021; Spherical Insights, 2024).</w:t>
      </w:r>
    </w:p>
    <w:p w14:paraId="71BF9215" w14:textId="1825EC39" w:rsidR="0081628B" w:rsidRPr="00BF758E" w:rsidRDefault="0081628B" w:rsidP="0081628B">
      <w:pPr>
        <w:pStyle w:val="Heading1"/>
        <w:rPr>
          <w:rFonts w:ascii="Calibri" w:hAnsi="Calibri" w:cs="Calibri"/>
        </w:rPr>
      </w:pPr>
      <w:bookmarkStart w:id="4" w:name="_Toc193220968"/>
      <w:r w:rsidRPr="00BF758E">
        <w:rPr>
          <w:rFonts w:ascii="Calibri" w:hAnsi="Calibri" w:cs="Calibri"/>
        </w:rPr>
        <w:t>4. Strategy Formulation &amp; Competitive Positioning</w:t>
      </w:r>
      <w:bookmarkEnd w:id="4"/>
      <w:r w:rsidRPr="00BF758E">
        <w:rPr>
          <w:rFonts w:ascii="Calibri" w:hAnsi="Calibri" w:cs="Calibri"/>
        </w:rPr>
        <w:t xml:space="preserve"> </w:t>
      </w:r>
    </w:p>
    <w:p w14:paraId="510DABC8" w14:textId="5351459D" w:rsidR="0081628B" w:rsidRPr="00BF758E" w:rsidRDefault="0081628B" w:rsidP="0081628B">
      <w:pPr>
        <w:rPr>
          <w:rFonts w:ascii="Calibri" w:hAnsi="Calibri" w:cs="Calibri"/>
        </w:rPr>
      </w:pPr>
      <w:r w:rsidRPr="00BF758E">
        <w:rPr>
          <w:rFonts w:ascii="Calibri" w:hAnsi="Calibri" w:cs="Calibri"/>
        </w:rPr>
        <w:t>Differentiation and innovation constitute the bases of Tesla’s strategic direction. Tesla is placed under differentiation strategy in Porter’s Generic Strategies model, characterized by premium branding, proprietary technology, and appeal of its products for sustainability</w:t>
      </w:r>
      <w:r w:rsidR="007F3415" w:rsidRPr="00BF758E">
        <w:rPr>
          <w:rFonts w:ascii="Calibri" w:hAnsi="Calibri" w:cs="Calibri"/>
        </w:rPr>
        <w:t>, these are traits important for competitive positioning as per business studies</w:t>
      </w:r>
      <w:r w:rsidRPr="00BF758E">
        <w:rPr>
          <w:rFonts w:ascii="Calibri" w:hAnsi="Calibri" w:cs="Calibri"/>
        </w:rPr>
        <w:t xml:space="preserve"> (Whittington et al., 2019).</w:t>
      </w:r>
      <w:r w:rsidR="007F3415" w:rsidRPr="00BF758E">
        <w:rPr>
          <w:rFonts w:ascii="Calibri" w:hAnsi="Calibri" w:cs="Calibri"/>
        </w:rPr>
        <w:t xml:space="preserve"> </w:t>
      </w:r>
      <w:r w:rsidRPr="00BF758E">
        <w:rPr>
          <w:rFonts w:ascii="Calibri" w:hAnsi="Calibri" w:cs="Calibri"/>
        </w:rPr>
        <w:t>Tesla uses a hybrid cost differentiation strategy where it pursues cost efficiencies through Gigafactories and enhances the technological superiority of its vehicles. Bowman’s Strategy Clock places it in the ‘hybrid’ position where firms are offering high perceived value in the market at competitive cost (Thompson et al., 2022).</w:t>
      </w:r>
    </w:p>
    <w:p w14:paraId="250DE439" w14:textId="17E999D2" w:rsidR="0081628B" w:rsidRPr="00BF758E" w:rsidRDefault="0081628B" w:rsidP="0081628B">
      <w:pPr>
        <w:rPr>
          <w:rFonts w:ascii="Calibri" w:hAnsi="Calibri" w:cs="Calibri"/>
          <w:b/>
          <w:bCs/>
        </w:rPr>
      </w:pPr>
      <w:r w:rsidRPr="00BF758E">
        <w:rPr>
          <w:rFonts w:ascii="Calibri" w:hAnsi="Calibri" w:cs="Calibri"/>
          <w:b/>
          <w:bCs/>
        </w:rPr>
        <w:t>Ansoff Matrix</w:t>
      </w:r>
    </w:p>
    <w:p w14:paraId="130F6F24" w14:textId="0916C19F" w:rsidR="0081628B" w:rsidRPr="00BF758E" w:rsidRDefault="0081628B" w:rsidP="0081628B">
      <w:pPr>
        <w:rPr>
          <w:rFonts w:ascii="Calibri" w:hAnsi="Calibri" w:cs="Calibri"/>
        </w:rPr>
      </w:pPr>
      <w:r w:rsidRPr="00BF758E">
        <w:rPr>
          <w:rFonts w:ascii="Calibri" w:hAnsi="Calibri" w:cs="Calibri"/>
        </w:rPr>
        <w:t>This is done through expanding the sales of Model Y and Model 3, which contributed to the majority of its global deliveries (Tesla Inc., 2024).</w:t>
      </w:r>
    </w:p>
    <w:p w14:paraId="4C2B05B5" w14:textId="33B55404" w:rsidR="0081628B" w:rsidRPr="00BF758E" w:rsidRDefault="0081628B" w:rsidP="0081628B">
      <w:pPr>
        <w:pStyle w:val="ListParagraph"/>
        <w:numPr>
          <w:ilvl w:val="0"/>
          <w:numId w:val="4"/>
        </w:numPr>
        <w:rPr>
          <w:rFonts w:ascii="Calibri" w:hAnsi="Calibri" w:cs="Calibri"/>
        </w:rPr>
      </w:pPr>
      <w:r w:rsidRPr="00BF758E">
        <w:rPr>
          <w:rFonts w:ascii="Calibri" w:hAnsi="Calibri" w:cs="Calibri"/>
        </w:rPr>
        <w:t xml:space="preserve">New products: The </w:t>
      </w:r>
      <w:proofErr w:type="spellStart"/>
      <w:r w:rsidRPr="00BF758E">
        <w:rPr>
          <w:rFonts w:ascii="Calibri" w:hAnsi="Calibri" w:cs="Calibri"/>
        </w:rPr>
        <w:t>Cybertruck</w:t>
      </w:r>
      <w:proofErr w:type="spellEnd"/>
      <w:r w:rsidRPr="00BF758E">
        <w:rPr>
          <w:rFonts w:ascii="Calibri" w:hAnsi="Calibri" w:cs="Calibri"/>
        </w:rPr>
        <w:t xml:space="preserve"> and Tesla Semi are intended to expand Tesla’s product portfolio and sell in high demand parts (Tesla Inc., 2024).</w:t>
      </w:r>
    </w:p>
    <w:p w14:paraId="3402B049" w14:textId="74DC054C" w:rsidR="0081628B" w:rsidRPr="00BF758E" w:rsidRDefault="0081628B" w:rsidP="0081628B">
      <w:pPr>
        <w:pStyle w:val="ListParagraph"/>
        <w:numPr>
          <w:ilvl w:val="0"/>
          <w:numId w:val="4"/>
        </w:numPr>
        <w:rPr>
          <w:rFonts w:ascii="Calibri" w:hAnsi="Calibri" w:cs="Calibri"/>
        </w:rPr>
      </w:pPr>
      <w:r w:rsidRPr="00BF758E">
        <w:rPr>
          <w:rFonts w:ascii="Calibri" w:hAnsi="Calibri" w:cs="Calibri"/>
        </w:rPr>
        <w:t>Gigafactory Berlin: In line with market development strategy (ACEA, 2025), the planned Gigafactory Berlin and the subsequent expansion into India and Southeast Asia.</w:t>
      </w:r>
    </w:p>
    <w:p w14:paraId="1DCFA133" w14:textId="51AD24BB" w:rsidR="0081628B" w:rsidRPr="00BF758E" w:rsidRDefault="0081628B" w:rsidP="0081628B">
      <w:pPr>
        <w:pStyle w:val="ListParagraph"/>
        <w:numPr>
          <w:ilvl w:val="0"/>
          <w:numId w:val="4"/>
        </w:numPr>
        <w:rPr>
          <w:rFonts w:ascii="Calibri" w:hAnsi="Calibri" w:cs="Calibri"/>
        </w:rPr>
      </w:pPr>
      <w:r w:rsidRPr="00BF758E">
        <w:rPr>
          <w:rFonts w:ascii="Calibri" w:hAnsi="Calibri" w:cs="Calibri"/>
        </w:rPr>
        <w:t>Beyond automobiles, Tesla’s energy division (Powerwall, Solar Roof) and AI based robotic solutions are diversified to other sectors (Liu and Meng, 2017).</w:t>
      </w:r>
    </w:p>
    <w:p w14:paraId="47FE920D" w14:textId="61094881" w:rsidR="0081628B" w:rsidRPr="00BF758E" w:rsidRDefault="0081628B" w:rsidP="0081628B">
      <w:pPr>
        <w:rPr>
          <w:rFonts w:ascii="Calibri" w:hAnsi="Calibri" w:cs="Calibri"/>
          <w:b/>
          <w:bCs/>
        </w:rPr>
      </w:pPr>
      <w:r w:rsidRPr="00BF758E">
        <w:rPr>
          <w:rFonts w:ascii="Calibri" w:hAnsi="Calibri" w:cs="Calibri"/>
          <w:b/>
          <w:bCs/>
        </w:rPr>
        <w:t>M&amp;A and Partnerships</w:t>
      </w:r>
    </w:p>
    <w:p w14:paraId="09891793" w14:textId="490E9E51" w:rsidR="0081628B" w:rsidRPr="00BF758E" w:rsidRDefault="0081628B" w:rsidP="0081628B">
      <w:pPr>
        <w:rPr>
          <w:rFonts w:ascii="Calibri" w:hAnsi="Calibri" w:cs="Calibri"/>
        </w:rPr>
      </w:pPr>
      <w:r w:rsidRPr="00BF758E">
        <w:rPr>
          <w:rFonts w:ascii="Calibri" w:hAnsi="Calibri" w:cs="Calibri"/>
        </w:rPr>
        <w:t xml:space="preserve">In 2016 Tesla’s purchase of SolarCity helped them achieve its vision for integrated energy solutions. Further, through collaboration with Panasonic and CATL for the development of </w:t>
      </w:r>
      <w:r w:rsidRPr="00BF758E">
        <w:rPr>
          <w:rFonts w:ascii="Calibri" w:hAnsi="Calibri" w:cs="Calibri"/>
        </w:rPr>
        <w:lastRenderedPageBreak/>
        <w:t>battery technology, Tesla Inc. (2024) possesses technological agility and supply chain security. The partnerships enable Tesla to secure key resources and quicken innovation timelines and hence, enhance its competitive advantage.</w:t>
      </w:r>
    </w:p>
    <w:p w14:paraId="6B5A0970" w14:textId="587D8EA4" w:rsidR="0081628B" w:rsidRPr="00BF758E" w:rsidRDefault="0081628B" w:rsidP="0081628B">
      <w:pPr>
        <w:rPr>
          <w:rFonts w:ascii="Calibri" w:hAnsi="Calibri" w:cs="Calibri"/>
        </w:rPr>
      </w:pPr>
      <w:r w:rsidRPr="00BF758E">
        <w:rPr>
          <w:rFonts w:ascii="Calibri" w:hAnsi="Calibri" w:cs="Calibri"/>
        </w:rPr>
        <w:t xml:space="preserve">Morrison (2020) puts it that </w:t>
      </w:r>
      <w:r w:rsidR="007F3415" w:rsidRPr="00BF758E">
        <w:rPr>
          <w:rFonts w:ascii="Calibri" w:hAnsi="Calibri" w:cs="Calibri"/>
        </w:rPr>
        <w:t>companies need to develop</w:t>
      </w:r>
      <w:r w:rsidRPr="00BF758E">
        <w:rPr>
          <w:rFonts w:ascii="Calibri" w:hAnsi="Calibri" w:cs="Calibri"/>
        </w:rPr>
        <w:t xml:space="preserve"> a strategic formulation for an equilibrium between exploitation of core competencies and exploration of adjacent market opportunities as a way to ensure long term adaptability of a firm in a dynamic environment.</w:t>
      </w:r>
    </w:p>
    <w:p w14:paraId="7828FFE0" w14:textId="4E6AEFFC" w:rsidR="0081628B" w:rsidRPr="00BF758E" w:rsidRDefault="0081628B" w:rsidP="0081628B">
      <w:pPr>
        <w:pStyle w:val="Heading1"/>
        <w:rPr>
          <w:rFonts w:ascii="Calibri" w:hAnsi="Calibri" w:cs="Calibri"/>
        </w:rPr>
      </w:pPr>
      <w:bookmarkStart w:id="5" w:name="_Toc193220969"/>
      <w:r w:rsidRPr="00BF758E">
        <w:rPr>
          <w:rFonts w:ascii="Calibri" w:hAnsi="Calibri" w:cs="Calibri"/>
        </w:rPr>
        <w:t>5. Sustainability and Strategic Recommendations</w:t>
      </w:r>
      <w:bookmarkEnd w:id="5"/>
    </w:p>
    <w:p w14:paraId="40FE6F69" w14:textId="6455E624" w:rsidR="0081628B" w:rsidRPr="00BF758E" w:rsidRDefault="0081628B" w:rsidP="0081628B">
      <w:pPr>
        <w:rPr>
          <w:rFonts w:ascii="Calibri" w:hAnsi="Calibri" w:cs="Calibri"/>
          <w:b/>
          <w:bCs/>
        </w:rPr>
      </w:pPr>
      <w:r w:rsidRPr="00BF758E">
        <w:rPr>
          <w:rFonts w:ascii="Calibri" w:hAnsi="Calibri" w:cs="Calibri"/>
          <w:b/>
          <w:bCs/>
        </w:rPr>
        <w:t>Current Sustainability Initiatives</w:t>
      </w:r>
    </w:p>
    <w:p w14:paraId="490DFDDE" w14:textId="3ABC4954" w:rsidR="0081628B" w:rsidRPr="00BF758E" w:rsidRDefault="0081628B" w:rsidP="0081628B">
      <w:pPr>
        <w:rPr>
          <w:rFonts w:ascii="Calibri" w:hAnsi="Calibri" w:cs="Calibri"/>
        </w:rPr>
      </w:pPr>
      <w:r w:rsidRPr="00BF758E">
        <w:rPr>
          <w:rFonts w:ascii="Calibri" w:hAnsi="Calibri" w:cs="Calibri"/>
        </w:rPr>
        <w:t>Tesla’s sustainability agenda encompasses low-carbon manufacturing, clean energy integration, and circular economy practices. The company intends to minimise Scope 1 and 2 emissions and shift all of its Gigafactories to 100% renewable energy (Tesla Inc., 2024). To limit the environmental impact, Tesla is also working on battery recycling—to close the loop with the materials, thereby contributing once again to Tesla products. While the company’s ESG approach complies with global standards, however, critics contend that the company’s social sustainability reporting (labour conditions, diversity) is behind industry benchmarks (</w:t>
      </w:r>
      <w:proofErr w:type="spellStart"/>
      <w:r w:rsidRPr="00BF758E">
        <w:rPr>
          <w:rFonts w:ascii="Calibri" w:hAnsi="Calibri" w:cs="Calibri"/>
        </w:rPr>
        <w:t>Bhadkamar</w:t>
      </w:r>
      <w:proofErr w:type="spellEnd"/>
      <w:r w:rsidRPr="00BF758E">
        <w:rPr>
          <w:rFonts w:ascii="Calibri" w:hAnsi="Calibri" w:cs="Calibri"/>
        </w:rPr>
        <w:t xml:space="preserve"> and Bhattacharya, 2022).</w:t>
      </w:r>
    </w:p>
    <w:p w14:paraId="38D10949" w14:textId="77777777" w:rsidR="0081628B" w:rsidRPr="00BF758E" w:rsidRDefault="0081628B" w:rsidP="0081628B">
      <w:pPr>
        <w:rPr>
          <w:rFonts w:ascii="Calibri" w:hAnsi="Calibri" w:cs="Calibri"/>
        </w:rPr>
      </w:pPr>
      <w:r w:rsidRPr="00BF758E">
        <w:rPr>
          <w:rFonts w:ascii="Calibri" w:hAnsi="Calibri" w:cs="Calibri"/>
        </w:rPr>
        <w:t>In 2023, Tesla’s vehicles helped avoid around 20 million metric tons of CO2 emissions, as Tesla has been making a measurable impact (Tesla Inc., 2024). Sustainability narrative of the company builds brand identity and builds stakeholder trust.</w:t>
      </w:r>
    </w:p>
    <w:p w14:paraId="2257A465" w14:textId="42D88670" w:rsidR="0081628B" w:rsidRPr="00BF758E" w:rsidRDefault="0081628B" w:rsidP="0081628B">
      <w:pPr>
        <w:rPr>
          <w:rFonts w:ascii="Calibri" w:hAnsi="Calibri" w:cs="Calibri"/>
          <w:b/>
          <w:bCs/>
        </w:rPr>
      </w:pPr>
      <w:r w:rsidRPr="00BF758E">
        <w:rPr>
          <w:rFonts w:ascii="Calibri" w:hAnsi="Calibri" w:cs="Calibri"/>
          <w:b/>
          <w:bCs/>
        </w:rPr>
        <w:t>Strategic Recommendations</w:t>
      </w:r>
    </w:p>
    <w:p w14:paraId="2232E79B" w14:textId="5952C93B" w:rsidR="0081628B" w:rsidRPr="00BF758E" w:rsidRDefault="0081628B" w:rsidP="0081628B">
      <w:pPr>
        <w:pStyle w:val="ListParagraph"/>
        <w:numPr>
          <w:ilvl w:val="0"/>
          <w:numId w:val="3"/>
        </w:numPr>
        <w:rPr>
          <w:rFonts w:ascii="Calibri" w:hAnsi="Calibri" w:cs="Calibri"/>
        </w:rPr>
      </w:pPr>
      <w:r w:rsidRPr="00BF758E">
        <w:rPr>
          <w:rFonts w:ascii="Calibri" w:hAnsi="Calibri" w:cs="Calibri"/>
        </w:rPr>
        <w:t>Scale up lithium and nickel recycling programs to strengthen Circular Supply Chain and reduce dependency on virgin materials (Tesla Inc., 2024).</w:t>
      </w:r>
    </w:p>
    <w:p w14:paraId="1835572A" w14:textId="6774AC8C" w:rsidR="0081628B" w:rsidRPr="00BF758E" w:rsidRDefault="0081628B" w:rsidP="0081628B">
      <w:pPr>
        <w:pStyle w:val="ListParagraph"/>
        <w:numPr>
          <w:ilvl w:val="0"/>
          <w:numId w:val="3"/>
        </w:numPr>
        <w:rPr>
          <w:rFonts w:ascii="Calibri" w:hAnsi="Calibri" w:cs="Calibri"/>
        </w:rPr>
      </w:pPr>
      <w:r w:rsidRPr="00BF758E">
        <w:rPr>
          <w:rFonts w:ascii="Calibri" w:hAnsi="Calibri" w:cs="Calibri"/>
        </w:rPr>
        <w:t>As per 2025 ACEA, Tesla should also localise its supply chains as much as possible in the emerging markets to mitigate the risks of geopolitical risk and reduce transportation emissions.</w:t>
      </w:r>
    </w:p>
    <w:p w14:paraId="0DFC7D30" w14:textId="7BDA7958" w:rsidR="0081628B" w:rsidRPr="00BF758E" w:rsidRDefault="001B4944" w:rsidP="0081628B">
      <w:pPr>
        <w:pStyle w:val="ListParagraph"/>
        <w:numPr>
          <w:ilvl w:val="0"/>
          <w:numId w:val="3"/>
        </w:numPr>
        <w:rPr>
          <w:rFonts w:ascii="Calibri" w:hAnsi="Calibri" w:cs="Calibri"/>
        </w:rPr>
      </w:pPr>
      <w:r w:rsidRPr="00BF758E">
        <w:rPr>
          <w:rFonts w:ascii="Calibri" w:hAnsi="Calibri" w:cs="Calibri"/>
        </w:rPr>
        <w:t>Low-Cost</w:t>
      </w:r>
      <w:r w:rsidR="0081628B" w:rsidRPr="00BF758E">
        <w:rPr>
          <w:rFonts w:ascii="Calibri" w:hAnsi="Calibri" w:cs="Calibri"/>
        </w:rPr>
        <w:t xml:space="preserve"> EV Segment: The introduction of a </w:t>
      </w:r>
      <w:r w:rsidRPr="00BF758E">
        <w:rPr>
          <w:rFonts w:ascii="Calibri" w:hAnsi="Calibri" w:cs="Calibri"/>
        </w:rPr>
        <w:t>low-cost</w:t>
      </w:r>
      <w:r w:rsidR="0081628B" w:rsidRPr="00BF758E">
        <w:rPr>
          <w:rFonts w:ascii="Calibri" w:hAnsi="Calibri" w:cs="Calibri"/>
        </w:rPr>
        <w:t xml:space="preserve"> EV platform (</w:t>
      </w:r>
      <w:proofErr w:type="spellStart"/>
      <w:r w:rsidR="0081628B" w:rsidRPr="00BF758E">
        <w:rPr>
          <w:rFonts w:ascii="Calibri" w:hAnsi="Calibri" w:cs="Calibri"/>
        </w:rPr>
        <w:t>eg</w:t>
      </w:r>
      <w:proofErr w:type="spellEnd"/>
      <w:r w:rsidR="0081628B" w:rsidRPr="00BF758E">
        <w:rPr>
          <w:rFonts w:ascii="Calibri" w:hAnsi="Calibri" w:cs="Calibri"/>
        </w:rPr>
        <w:t xml:space="preserve"> Model 2) will help penetrate in price sensitive market like India and Africa (Spherical Insights, 2024).</w:t>
      </w:r>
    </w:p>
    <w:p w14:paraId="0E835C42" w14:textId="27FC5614" w:rsidR="0081628B" w:rsidRPr="00BF758E" w:rsidRDefault="0081628B" w:rsidP="0081628B">
      <w:pPr>
        <w:pStyle w:val="ListParagraph"/>
        <w:numPr>
          <w:ilvl w:val="0"/>
          <w:numId w:val="3"/>
        </w:numPr>
        <w:rPr>
          <w:rFonts w:ascii="Calibri" w:hAnsi="Calibri" w:cs="Calibri"/>
        </w:rPr>
      </w:pPr>
      <w:r w:rsidRPr="00BF758E">
        <w:rPr>
          <w:rFonts w:ascii="Calibri" w:hAnsi="Calibri" w:cs="Calibri"/>
        </w:rPr>
        <w:t xml:space="preserve">FSD subscriptions, vehicle connectivity services and AI led analytics are expanded as </w:t>
      </w:r>
      <w:r w:rsidR="001B4944" w:rsidRPr="00BF758E">
        <w:rPr>
          <w:rFonts w:ascii="Calibri" w:hAnsi="Calibri" w:cs="Calibri"/>
        </w:rPr>
        <w:t>long-term</w:t>
      </w:r>
      <w:r w:rsidRPr="00BF758E">
        <w:rPr>
          <w:rFonts w:ascii="Calibri" w:hAnsi="Calibri" w:cs="Calibri"/>
        </w:rPr>
        <w:t xml:space="preserve"> revenue streams (Kim, 2020).</w:t>
      </w:r>
    </w:p>
    <w:p w14:paraId="5022B271" w14:textId="3089D72E" w:rsidR="0081628B" w:rsidRPr="00BF758E" w:rsidRDefault="0081628B" w:rsidP="0081628B">
      <w:pPr>
        <w:pStyle w:val="ListParagraph"/>
        <w:numPr>
          <w:ilvl w:val="0"/>
          <w:numId w:val="3"/>
        </w:numPr>
        <w:rPr>
          <w:rFonts w:ascii="Calibri" w:hAnsi="Calibri" w:cs="Calibri"/>
        </w:rPr>
      </w:pPr>
      <w:r w:rsidRPr="00BF758E">
        <w:rPr>
          <w:rFonts w:ascii="Calibri" w:hAnsi="Calibri" w:cs="Calibri"/>
        </w:rPr>
        <w:lastRenderedPageBreak/>
        <w:t>It makes ESG reporting better, in human capital management and social equity performance</w:t>
      </w:r>
      <w:r w:rsidR="007F3415" w:rsidRPr="00BF758E">
        <w:rPr>
          <w:rFonts w:ascii="Calibri" w:hAnsi="Calibri" w:cs="Calibri"/>
        </w:rPr>
        <w:t>.</w:t>
      </w:r>
    </w:p>
    <w:p w14:paraId="5E247F67" w14:textId="62F5E585" w:rsidR="0081628B" w:rsidRPr="00BF758E" w:rsidRDefault="0081628B" w:rsidP="0081628B">
      <w:pPr>
        <w:pStyle w:val="ListParagraph"/>
        <w:numPr>
          <w:ilvl w:val="0"/>
          <w:numId w:val="3"/>
        </w:numPr>
        <w:rPr>
          <w:rFonts w:ascii="Calibri" w:hAnsi="Calibri" w:cs="Calibri"/>
        </w:rPr>
      </w:pPr>
      <w:r w:rsidRPr="00BF758E">
        <w:rPr>
          <w:rFonts w:ascii="Calibri" w:hAnsi="Calibri" w:cs="Calibri"/>
        </w:rPr>
        <w:t>The UN Sustainable Development Goals (SDGs) that these strategic directions align with include SDG 7 (Affordable Clean Energy), SDG 9 (Industry Innovation) and SDG 13 (Climate Action)</w:t>
      </w:r>
      <w:r w:rsidR="007F3415" w:rsidRPr="00BF758E">
        <w:rPr>
          <w:rFonts w:ascii="Calibri" w:hAnsi="Calibri" w:cs="Calibri"/>
        </w:rPr>
        <w:t>.</w:t>
      </w:r>
    </w:p>
    <w:p w14:paraId="455029A1" w14:textId="2816770D" w:rsidR="0081628B" w:rsidRPr="00BF758E" w:rsidRDefault="0081628B" w:rsidP="0081628B">
      <w:pPr>
        <w:pStyle w:val="Heading1"/>
        <w:rPr>
          <w:rFonts w:ascii="Calibri" w:hAnsi="Calibri" w:cs="Calibri"/>
        </w:rPr>
      </w:pPr>
      <w:bookmarkStart w:id="6" w:name="_Toc193220970"/>
      <w:r w:rsidRPr="00BF758E">
        <w:rPr>
          <w:rFonts w:ascii="Calibri" w:hAnsi="Calibri" w:cs="Calibri"/>
        </w:rPr>
        <w:t>6. Conclusion</w:t>
      </w:r>
      <w:bookmarkEnd w:id="6"/>
      <w:r w:rsidRPr="00BF758E">
        <w:rPr>
          <w:rFonts w:ascii="Calibri" w:hAnsi="Calibri" w:cs="Calibri"/>
        </w:rPr>
        <w:t xml:space="preserve"> </w:t>
      </w:r>
    </w:p>
    <w:p w14:paraId="25B8DA4F" w14:textId="4624CD61" w:rsidR="0081628B" w:rsidRPr="00BF758E" w:rsidRDefault="0081628B" w:rsidP="0081628B">
      <w:pPr>
        <w:rPr>
          <w:rFonts w:ascii="Calibri" w:hAnsi="Calibri" w:cs="Calibri"/>
        </w:rPr>
      </w:pPr>
      <w:r w:rsidRPr="00BF758E">
        <w:rPr>
          <w:rFonts w:ascii="Calibri" w:hAnsi="Calibri" w:cs="Calibri"/>
        </w:rPr>
        <w:t xml:space="preserve">Tesla continues to be the dominant innovator with electric vehicles and other types of renewable energy. It is insulated competitively in a rapidly evolving market based on its unique resource base, its vertical integration and its software-based strategy. Rising EV adoption, supportive policy environments and internal market dynamics (e.g. brand leadership, internal capabilities like R&amp;D strength and quality of the battery tech) all combine to support the case. Several economic data and industry insights help to prove the strong market positioning of Tesla during the global automotive transformation. Although the supply chains are challenging and the competition is growing, Tesla is a resilient and looking ahead </w:t>
      </w:r>
      <w:r w:rsidR="00462682">
        <w:rPr>
          <w:rFonts w:ascii="Calibri" w:hAnsi="Calibri" w:cs="Calibri"/>
        </w:rPr>
        <w:t>organisation</w:t>
      </w:r>
      <w:r w:rsidRPr="00BF758E">
        <w:rPr>
          <w:rFonts w:ascii="Calibri" w:hAnsi="Calibri" w:cs="Calibri"/>
        </w:rPr>
        <w:t xml:space="preserve"> with strategic agility and sustainability vision.</w:t>
      </w:r>
    </w:p>
    <w:p w14:paraId="55C54E0D" w14:textId="5883E660" w:rsidR="0081628B" w:rsidRPr="00BF758E" w:rsidRDefault="0081628B" w:rsidP="0081628B">
      <w:pPr>
        <w:rPr>
          <w:rFonts w:ascii="Calibri" w:hAnsi="Calibri" w:cs="Calibri"/>
        </w:rPr>
      </w:pPr>
      <w:r w:rsidRPr="00BF758E">
        <w:rPr>
          <w:rFonts w:ascii="Calibri" w:hAnsi="Calibri" w:cs="Calibri"/>
        </w:rPr>
        <w:t>Strategic models like Porter’s Generic Strategies, RBV, Ansoff Matrix, and Value Chain Analysis reveal Tesla’s alignment with long-term growth and ESG imperatives. Tesla has to keep investing in product innovation, responsible sourcing and inclusive sustainability practices to sustain competitive advantage.</w:t>
      </w:r>
    </w:p>
    <w:p w14:paraId="68181CBF" w14:textId="120E4B94" w:rsidR="007F3415" w:rsidRPr="00BF758E" w:rsidRDefault="0081628B" w:rsidP="0081628B">
      <w:pPr>
        <w:rPr>
          <w:rFonts w:ascii="Calibri" w:hAnsi="Calibri" w:cs="Calibri"/>
        </w:rPr>
      </w:pPr>
      <w:r w:rsidRPr="00BF758E">
        <w:rPr>
          <w:rFonts w:ascii="Calibri" w:hAnsi="Calibri" w:cs="Calibri"/>
        </w:rPr>
        <w:t>In the face of a volatile, sustainability driven world, strategic management continues to be critical to managing disruption. Tesla’s approach provides a benchmark for other firms to follow if they aspire to gain a competitive advantage through both environmental stewardship and technological leadership.</w:t>
      </w:r>
    </w:p>
    <w:p w14:paraId="49763299" w14:textId="77777777" w:rsidR="007F3415" w:rsidRPr="00BF758E" w:rsidRDefault="007F3415">
      <w:pPr>
        <w:rPr>
          <w:rFonts w:ascii="Calibri" w:hAnsi="Calibri" w:cs="Calibri"/>
        </w:rPr>
      </w:pPr>
      <w:r w:rsidRPr="00BF758E">
        <w:rPr>
          <w:rFonts w:ascii="Calibri" w:hAnsi="Calibri" w:cs="Calibri"/>
        </w:rPr>
        <w:br w:type="page"/>
      </w:r>
    </w:p>
    <w:p w14:paraId="2DCC4F63" w14:textId="13DBEE8F" w:rsidR="00040EF0" w:rsidRPr="00BF758E" w:rsidRDefault="007F3415" w:rsidP="007F3415">
      <w:pPr>
        <w:pStyle w:val="Heading1"/>
        <w:rPr>
          <w:rFonts w:ascii="Calibri" w:hAnsi="Calibri" w:cs="Calibri"/>
        </w:rPr>
      </w:pPr>
      <w:bookmarkStart w:id="7" w:name="_Toc193220971"/>
      <w:r w:rsidRPr="00BF758E">
        <w:rPr>
          <w:rFonts w:ascii="Calibri" w:hAnsi="Calibri" w:cs="Calibri"/>
        </w:rPr>
        <w:lastRenderedPageBreak/>
        <w:t>References</w:t>
      </w:r>
      <w:bookmarkEnd w:id="7"/>
      <w:r w:rsidRPr="00BF758E">
        <w:rPr>
          <w:rFonts w:ascii="Calibri" w:hAnsi="Calibri" w:cs="Calibri"/>
        </w:rPr>
        <w:t xml:space="preserve"> </w:t>
      </w:r>
    </w:p>
    <w:p w14:paraId="7E2AF7AD" w14:textId="77777777" w:rsidR="007F3415" w:rsidRPr="00BF758E" w:rsidRDefault="007F3415" w:rsidP="001B4944">
      <w:pPr>
        <w:spacing w:before="100" w:beforeAutospacing="1"/>
        <w:rPr>
          <w:rFonts w:ascii="Calibri" w:hAnsi="Calibri" w:cs="Calibri"/>
        </w:rPr>
      </w:pPr>
      <w:r w:rsidRPr="00BF758E">
        <w:rPr>
          <w:rFonts w:ascii="Calibri" w:hAnsi="Calibri" w:cs="Calibri"/>
        </w:rPr>
        <w:t xml:space="preserve">ACEA (2025) </w:t>
      </w:r>
      <w:r w:rsidRPr="00BF758E">
        <w:rPr>
          <w:rStyle w:val="Emphasis"/>
          <w:rFonts w:ascii="Calibri" w:hAnsi="Calibri" w:cs="Calibri"/>
        </w:rPr>
        <w:t>Economic and Market Report: Global and EU Auto Industry – Full Year 2024</w:t>
      </w:r>
      <w:r w:rsidRPr="00BF758E">
        <w:rPr>
          <w:rFonts w:ascii="Calibri" w:hAnsi="Calibri" w:cs="Calibri"/>
        </w:rPr>
        <w:t xml:space="preserve">. [online] European Automobile Manufacturers’ Association. Available at: </w:t>
      </w:r>
      <w:hyperlink r:id="rId9" w:tgtFrame="_new" w:history="1">
        <w:r w:rsidRPr="00BF758E">
          <w:rPr>
            <w:rStyle w:val="Hyperlink"/>
            <w:rFonts w:ascii="Calibri" w:hAnsi="Calibri" w:cs="Calibri"/>
          </w:rPr>
          <w:t>https://www.acea.auto/publication/economic-and-market-report-global-and-eu-auto-industry-full-year-2024/</w:t>
        </w:r>
      </w:hyperlink>
      <w:r w:rsidRPr="00BF758E">
        <w:rPr>
          <w:rFonts w:ascii="Calibri" w:hAnsi="Calibri" w:cs="Calibri"/>
        </w:rPr>
        <w:t xml:space="preserve"> [Accessed 18 Mar. 2025].</w:t>
      </w:r>
    </w:p>
    <w:p w14:paraId="516CA726" w14:textId="77777777" w:rsidR="007F3415" w:rsidRPr="00BF758E" w:rsidRDefault="007F3415" w:rsidP="001B4944">
      <w:pPr>
        <w:rPr>
          <w:rFonts w:ascii="Calibri" w:eastAsia="Times New Roman" w:hAnsi="Calibri" w:cs="Calibri"/>
          <w:szCs w:val="24"/>
        </w:rPr>
      </w:pPr>
      <w:proofErr w:type="spellStart"/>
      <w:r w:rsidRPr="00BF758E">
        <w:rPr>
          <w:rFonts w:ascii="Calibri" w:eastAsia="Times New Roman" w:hAnsi="Calibri" w:cs="Calibri"/>
          <w:szCs w:val="24"/>
        </w:rPr>
        <w:t>Almenhali</w:t>
      </w:r>
      <w:proofErr w:type="spellEnd"/>
      <w:r w:rsidRPr="00BF758E">
        <w:rPr>
          <w:rFonts w:ascii="Calibri" w:eastAsia="Times New Roman" w:hAnsi="Calibri" w:cs="Calibri"/>
          <w:szCs w:val="24"/>
        </w:rPr>
        <w:t xml:space="preserve">, A., </w:t>
      </w:r>
      <w:proofErr w:type="spellStart"/>
      <w:r w:rsidRPr="00BF758E">
        <w:rPr>
          <w:rFonts w:ascii="Calibri" w:eastAsia="Times New Roman" w:hAnsi="Calibri" w:cs="Calibri"/>
          <w:szCs w:val="24"/>
        </w:rPr>
        <w:t>Alhajeri</w:t>
      </w:r>
      <w:proofErr w:type="spellEnd"/>
      <w:r w:rsidRPr="00BF758E">
        <w:rPr>
          <w:rFonts w:ascii="Calibri" w:eastAsia="Times New Roman" w:hAnsi="Calibri" w:cs="Calibri"/>
          <w:szCs w:val="24"/>
        </w:rPr>
        <w:t xml:space="preserve">, H., </w:t>
      </w:r>
      <w:proofErr w:type="spellStart"/>
      <w:r w:rsidRPr="00BF758E">
        <w:rPr>
          <w:rFonts w:ascii="Calibri" w:eastAsia="Times New Roman" w:hAnsi="Calibri" w:cs="Calibri"/>
          <w:szCs w:val="24"/>
        </w:rPr>
        <w:t>Almansoori</w:t>
      </w:r>
      <w:proofErr w:type="spellEnd"/>
      <w:r w:rsidRPr="00BF758E">
        <w:rPr>
          <w:rFonts w:ascii="Calibri" w:eastAsia="Times New Roman" w:hAnsi="Calibri" w:cs="Calibri"/>
          <w:szCs w:val="24"/>
        </w:rPr>
        <w:t xml:space="preserve">, H., </w:t>
      </w:r>
      <w:proofErr w:type="spellStart"/>
      <w:r w:rsidRPr="00BF758E">
        <w:rPr>
          <w:rFonts w:ascii="Calibri" w:eastAsia="Times New Roman" w:hAnsi="Calibri" w:cs="Calibri"/>
          <w:szCs w:val="24"/>
        </w:rPr>
        <w:t>Aljneibi</w:t>
      </w:r>
      <w:proofErr w:type="spellEnd"/>
      <w:r w:rsidRPr="00BF758E">
        <w:rPr>
          <w:rFonts w:ascii="Calibri" w:eastAsia="Times New Roman" w:hAnsi="Calibri" w:cs="Calibri"/>
          <w:szCs w:val="24"/>
        </w:rPr>
        <w:t xml:space="preserve">, N., </w:t>
      </w:r>
      <w:proofErr w:type="spellStart"/>
      <w:r w:rsidRPr="00BF758E">
        <w:rPr>
          <w:rFonts w:ascii="Calibri" w:eastAsia="Times New Roman" w:hAnsi="Calibri" w:cs="Calibri"/>
          <w:szCs w:val="24"/>
        </w:rPr>
        <w:t>Almansoori</w:t>
      </w:r>
      <w:proofErr w:type="spellEnd"/>
      <w:r w:rsidRPr="00BF758E">
        <w:rPr>
          <w:rFonts w:ascii="Calibri" w:eastAsia="Times New Roman" w:hAnsi="Calibri" w:cs="Calibri"/>
          <w:szCs w:val="24"/>
        </w:rPr>
        <w:t xml:space="preserve">, N., </w:t>
      </w:r>
      <w:proofErr w:type="spellStart"/>
      <w:r w:rsidRPr="00BF758E">
        <w:rPr>
          <w:rFonts w:ascii="Calibri" w:eastAsia="Times New Roman" w:hAnsi="Calibri" w:cs="Calibri"/>
          <w:szCs w:val="24"/>
        </w:rPr>
        <w:t>Alsulaity</w:t>
      </w:r>
      <w:proofErr w:type="spellEnd"/>
      <w:r w:rsidRPr="00BF758E">
        <w:rPr>
          <w:rFonts w:ascii="Calibri" w:eastAsia="Times New Roman" w:hAnsi="Calibri" w:cs="Calibri"/>
          <w:szCs w:val="24"/>
        </w:rPr>
        <w:t xml:space="preserve">, N., Mohammed, Y. and </w:t>
      </w:r>
      <w:proofErr w:type="spellStart"/>
      <w:r w:rsidRPr="00BF758E">
        <w:rPr>
          <w:rFonts w:ascii="Calibri" w:eastAsia="Times New Roman" w:hAnsi="Calibri" w:cs="Calibri"/>
          <w:szCs w:val="24"/>
        </w:rPr>
        <w:t>Nobanee</w:t>
      </w:r>
      <w:proofErr w:type="spellEnd"/>
      <w:r w:rsidRPr="00BF758E">
        <w:rPr>
          <w:rFonts w:ascii="Calibri" w:eastAsia="Times New Roman" w:hAnsi="Calibri" w:cs="Calibri"/>
          <w:szCs w:val="24"/>
        </w:rPr>
        <w:t xml:space="preserve">, H., 2021. Financial Analysis of Tesla. </w:t>
      </w:r>
      <w:r w:rsidRPr="00BF758E">
        <w:rPr>
          <w:rFonts w:ascii="Calibri" w:eastAsia="Times New Roman" w:hAnsi="Calibri" w:cs="Calibri"/>
          <w:i/>
          <w:iCs/>
          <w:szCs w:val="24"/>
        </w:rPr>
        <w:t>Available at SSRN 3896901</w:t>
      </w:r>
      <w:r w:rsidRPr="00BF758E">
        <w:rPr>
          <w:rFonts w:ascii="Calibri" w:eastAsia="Times New Roman" w:hAnsi="Calibri" w:cs="Calibri"/>
          <w:szCs w:val="24"/>
        </w:rPr>
        <w:t>.</w:t>
      </w:r>
    </w:p>
    <w:p w14:paraId="50554E05" w14:textId="77777777" w:rsidR="007F3415" w:rsidRPr="00BF758E" w:rsidRDefault="007F3415" w:rsidP="001B4944">
      <w:pPr>
        <w:rPr>
          <w:rFonts w:ascii="Calibri" w:eastAsia="Times New Roman" w:hAnsi="Calibri" w:cs="Calibri"/>
          <w:szCs w:val="24"/>
        </w:rPr>
      </w:pPr>
      <w:proofErr w:type="spellStart"/>
      <w:r w:rsidRPr="00BF758E">
        <w:rPr>
          <w:rFonts w:ascii="Calibri" w:eastAsia="Times New Roman" w:hAnsi="Calibri" w:cs="Calibri"/>
          <w:szCs w:val="24"/>
        </w:rPr>
        <w:t>Bhadkamar</w:t>
      </w:r>
      <w:proofErr w:type="spellEnd"/>
      <w:r w:rsidRPr="00BF758E">
        <w:rPr>
          <w:rFonts w:ascii="Calibri" w:eastAsia="Times New Roman" w:hAnsi="Calibri" w:cs="Calibri"/>
          <w:szCs w:val="24"/>
        </w:rPr>
        <w:t xml:space="preserve">, A. and Bhattacharya, S., 2022. Tesla Inc. Stock Prediction using Sentiment Analysis. </w:t>
      </w:r>
      <w:r w:rsidRPr="00BF758E">
        <w:rPr>
          <w:rFonts w:ascii="Calibri" w:eastAsia="Times New Roman" w:hAnsi="Calibri" w:cs="Calibri"/>
          <w:i/>
          <w:iCs/>
          <w:szCs w:val="24"/>
        </w:rPr>
        <w:t>Australasian Accounting, Business and Finance journal</w:t>
      </w:r>
      <w:r w:rsidRPr="00BF758E">
        <w:rPr>
          <w:rFonts w:ascii="Calibri" w:eastAsia="Times New Roman" w:hAnsi="Calibri" w:cs="Calibri"/>
          <w:szCs w:val="24"/>
        </w:rPr>
        <w:t xml:space="preserve">, </w:t>
      </w:r>
      <w:r w:rsidRPr="00BF758E">
        <w:rPr>
          <w:rFonts w:ascii="Calibri" w:eastAsia="Times New Roman" w:hAnsi="Calibri" w:cs="Calibri"/>
          <w:i/>
          <w:iCs/>
          <w:szCs w:val="24"/>
        </w:rPr>
        <w:t>16</w:t>
      </w:r>
      <w:r w:rsidRPr="00BF758E">
        <w:rPr>
          <w:rFonts w:ascii="Calibri" w:eastAsia="Times New Roman" w:hAnsi="Calibri" w:cs="Calibri"/>
          <w:szCs w:val="24"/>
        </w:rPr>
        <w:t>(5).</w:t>
      </w:r>
    </w:p>
    <w:p w14:paraId="739F0143" w14:textId="77777777" w:rsidR="007F3415" w:rsidRPr="00BF758E" w:rsidRDefault="007F3415" w:rsidP="001B4944">
      <w:pPr>
        <w:rPr>
          <w:rFonts w:ascii="Calibri" w:eastAsia="Times New Roman" w:hAnsi="Calibri" w:cs="Calibri"/>
          <w:szCs w:val="24"/>
        </w:rPr>
      </w:pPr>
      <w:r w:rsidRPr="00BF758E">
        <w:rPr>
          <w:rFonts w:ascii="Calibri" w:eastAsia="Times New Roman" w:hAnsi="Calibri" w:cs="Calibri"/>
          <w:szCs w:val="24"/>
        </w:rPr>
        <w:t xml:space="preserve">Kim, H., 2020. Analysis of how Tesla creating core innovation capability. </w:t>
      </w:r>
      <w:r w:rsidRPr="00BF758E">
        <w:rPr>
          <w:rFonts w:ascii="Calibri" w:eastAsia="Times New Roman" w:hAnsi="Calibri" w:cs="Calibri"/>
          <w:i/>
          <w:iCs/>
          <w:szCs w:val="24"/>
        </w:rPr>
        <w:t>International Journal of Business and Management</w:t>
      </w:r>
      <w:r w:rsidRPr="00BF758E">
        <w:rPr>
          <w:rFonts w:ascii="Calibri" w:eastAsia="Times New Roman" w:hAnsi="Calibri" w:cs="Calibri"/>
          <w:szCs w:val="24"/>
        </w:rPr>
        <w:t xml:space="preserve">, </w:t>
      </w:r>
      <w:r w:rsidRPr="00BF758E">
        <w:rPr>
          <w:rFonts w:ascii="Calibri" w:eastAsia="Times New Roman" w:hAnsi="Calibri" w:cs="Calibri"/>
          <w:i/>
          <w:iCs/>
          <w:szCs w:val="24"/>
        </w:rPr>
        <w:t>15</w:t>
      </w:r>
      <w:r w:rsidRPr="00BF758E">
        <w:rPr>
          <w:rFonts w:ascii="Calibri" w:eastAsia="Times New Roman" w:hAnsi="Calibri" w:cs="Calibri"/>
          <w:szCs w:val="24"/>
        </w:rPr>
        <w:t>(6), pp.42-61.</w:t>
      </w:r>
    </w:p>
    <w:p w14:paraId="36005350" w14:textId="77777777" w:rsidR="007F3415" w:rsidRPr="00BF758E" w:rsidRDefault="007F3415" w:rsidP="001B4944">
      <w:pPr>
        <w:rPr>
          <w:rFonts w:ascii="Calibri" w:eastAsia="Times New Roman" w:hAnsi="Calibri" w:cs="Calibri"/>
          <w:szCs w:val="24"/>
        </w:rPr>
      </w:pPr>
      <w:r w:rsidRPr="00BF758E">
        <w:rPr>
          <w:rFonts w:ascii="Calibri" w:eastAsia="Times New Roman" w:hAnsi="Calibri" w:cs="Calibri"/>
          <w:szCs w:val="24"/>
        </w:rPr>
        <w:t xml:space="preserve">Liu, J.H. and Meng, Z., 2017. Innovation model analysis of new energy vehicles: taking Toyota, Tesla and BYD as an example. </w:t>
      </w:r>
      <w:r w:rsidRPr="00BF758E">
        <w:rPr>
          <w:rFonts w:ascii="Calibri" w:eastAsia="Times New Roman" w:hAnsi="Calibri" w:cs="Calibri"/>
          <w:i/>
          <w:iCs/>
          <w:szCs w:val="24"/>
        </w:rPr>
        <w:t>Procedia engineering</w:t>
      </w:r>
      <w:r w:rsidRPr="00BF758E">
        <w:rPr>
          <w:rFonts w:ascii="Calibri" w:eastAsia="Times New Roman" w:hAnsi="Calibri" w:cs="Calibri"/>
          <w:szCs w:val="24"/>
        </w:rPr>
        <w:t xml:space="preserve">, </w:t>
      </w:r>
      <w:r w:rsidRPr="00BF758E">
        <w:rPr>
          <w:rFonts w:ascii="Calibri" w:eastAsia="Times New Roman" w:hAnsi="Calibri" w:cs="Calibri"/>
          <w:i/>
          <w:iCs/>
          <w:szCs w:val="24"/>
        </w:rPr>
        <w:t>174</w:t>
      </w:r>
      <w:r w:rsidRPr="00BF758E">
        <w:rPr>
          <w:rFonts w:ascii="Calibri" w:eastAsia="Times New Roman" w:hAnsi="Calibri" w:cs="Calibri"/>
          <w:szCs w:val="24"/>
        </w:rPr>
        <w:t>, pp.965-972.</w:t>
      </w:r>
    </w:p>
    <w:p w14:paraId="4588F429" w14:textId="77777777" w:rsidR="007F3415" w:rsidRPr="00BF758E" w:rsidRDefault="007F3415" w:rsidP="001B4944">
      <w:pPr>
        <w:rPr>
          <w:rFonts w:ascii="Calibri" w:eastAsia="Times New Roman" w:hAnsi="Calibri" w:cs="Calibri"/>
          <w:szCs w:val="24"/>
        </w:rPr>
      </w:pPr>
      <w:r w:rsidRPr="00BF758E">
        <w:rPr>
          <w:rFonts w:ascii="Calibri" w:eastAsia="Times New Roman" w:hAnsi="Calibri" w:cs="Calibri"/>
          <w:szCs w:val="24"/>
        </w:rPr>
        <w:t xml:space="preserve">Liu, S., 2021, March. Competition and valuation: a case study of Tesla Motors. In </w:t>
      </w:r>
      <w:r w:rsidRPr="00BF758E">
        <w:rPr>
          <w:rFonts w:ascii="Calibri" w:eastAsia="Times New Roman" w:hAnsi="Calibri" w:cs="Calibri"/>
          <w:i/>
          <w:iCs/>
          <w:szCs w:val="24"/>
        </w:rPr>
        <w:t>IOP Conference Series: Earth and Environmental Science</w:t>
      </w:r>
      <w:r w:rsidRPr="00BF758E">
        <w:rPr>
          <w:rFonts w:ascii="Calibri" w:eastAsia="Times New Roman" w:hAnsi="Calibri" w:cs="Calibri"/>
          <w:szCs w:val="24"/>
        </w:rPr>
        <w:t xml:space="preserve"> (Vol. 692, No. 2, p. 022103). IOP Publishing.</w:t>
      </w:r>
    </w:p>
    <w:p w14:paraId="320BA967" w14:textId="77777777" w:rsidR="007F3415" w:rsidRPr="00BF758E" w:rsidRDefault="007F3415" w:rsidP="001B4944">
      <w:pPr>
        <w:rPr>
          <w:rFonts w:ascii="Calibri" w:eastAsia="Times New Roman" w:hAnsi="Calibri" w:cs="Calibri"/>
          <w:szCs w:val="24"/>
        </w:rPr>
      </w:pPr>
      <w:r w:rsidRPr="00BF758E">
        <w:rPr>
          <w:rFonts w:ascii="Calibri" w:eastAsia="Times New Roman" w:hAnsi="Calibri" w:cs="Calibri"/>
          <w:szCs w:val="24"/>
        </w:rPr>
        <w:t xml:space="preserve">Liu, Y., Shen, Y., Zhang, L. and Zhang, Y., 2022, December. A Comprehensive Analysis of Tesla. In </w:t>
      </w:r>
      <w:r w:rsidRPr="00BF758E">
        <w:rPr>
          <w:rFonts w:ascii="Calibri" w:eastAsia="Times New Roman" w:hAnsi="Calibri" w:cs="Calibri"/>
          <w:i/>
          <w:iCs/>
          <w:szCs w:val="24"/>
        </w:rPr>
        <w:t>2022 2nd International Conference on Financial Management and Economic Transition (FMET 2022)</w:t>
      </w:r>
      <w:r w:rsidRPr="00BF758E">
        <w:rPr>
          <w:rFonts w:ascii="Calibri" w:eastAsia="Times New Roman" w:hAnsi="Calibri" w:cs="Calibri"/>
          <w:szCs w:val="24"/>
        </w:rPr>
        <w:t xml:space="preserve"> (pp. 344-356). Atlantis Press.</w:t>
      </w:r>
    </w:p>
    <w:p w14:paraId="046EAC76" w14:textId="77777777" w:rsidR="007F3415" w:rsidRPr="00BF758E" w:rsidRDefault="007F3415" w:rsidP="001B4944">
      <w:pPr>
        <w:rPr>
          <w:rFonts w:ascii="Calibri" w:eastAsia="Times New Roman" w:hAnsi="Calibri" w:cs="Calibri"/>
          <w:szCs w:val="24"/>
        </w:rPr>
      </w:pPr>
      <w:r w:rsidRPr="00BF758E">
        <w:rPr>
          <w:rFonts w:ascii="Calibri" w:eastAsia="Times New Roman" w:hAnsi="Calibri" w:cs="Calibri"/>
          <w:szCs w:val="24"/>
        </w:rPr>
        <w:t>Morrison, J, (2020) The Global Business Environment. 5th ed. Palgrave</w:t>
      </w:r>
    </w:p>
    <w:p w14:paraId="24DAEEC1" w14:textId="77777777" w:rsidR="007F3415" w:rsidRPr="00BF758E" w:rsidRDefault="007F3415" w:rsidP="001B4944">
      <w:pPr>
        <w:rPr>
          <w:rFonts w:ascii="Calibri" w:eastAsia="Times New Roman" w:hAnsi="Calibri" w:cs="Calibri"/>
          <w:szCs w:val="24"/>
        </w:rPr>
      </w:pPr>
      <w:r w:rsidRPr="00BF758E">
        <w:rPr>
          <w:rFonts w:ascii="Calibri" w:eastAsia="Times New Roman" w:hAnsi="Calibri" w:cs="Calibri"/>
          <w:szCs w:val="24"/>
        </w:rPr>
        <w:t xml:space="preserve">Sloman, J., Garratt, D., Guest, J. and Jones, E., 2019. </w:t>
      </w:r>
      <w:r w:rsidRPr="00BF758E">
        <w:rPr>
          <w:rFonts w:ascii="Calibri" w:eastAsia="Times New Roman" w:hAnsi="Calibri" w:cs="Calibri"/>
          <w:i/>
          <w:iCs/>
          <w:szCs w:val="24"/>
        </w:rPr>
        <w:t>Economics for business</w:t>
      </w:r>
      <w:r w:rsidRPr="00BF758E">
        <w:rPr>
          <w:rFonts w:ascii="Calibri" w:eastAsia="Times New Roman" w:hAnsi="Calibri" w:cs="Calibri"/>
          <w:szCs w:val="24"/>
        </w:rPr>
        <w:t>. Pearson.</w:t>
      </w:r>
    </w:p>
    <w:p w14:paraId="7E062B51" w14:textId="77777777" w:rsidR="007F3415" w:rsidRPr="00BF758E" w:rsidRDefault="007F3415" w:rsidP="001B4944">
      <w:pPr>
        <w:spacing w:before="100" w:beforeAutospacing="1"/>
        <w:rPr>
          <w:rFonts w:ascii="Calibri" w:hAnsi="Calibri" w:cs="Calibri"/>
        </w:rPr>
      </w:pPr>
      <w:r w:rsidRPr="00BF758E">
        <w:rPr>
          <w:rFonts w:ascii="Calibri" w:hAnsi="Calibri" w:cs="Calibri"/>
        </w:rPr>
        <w:t xml:space="preserve">Spherical Insights (2024) </w:t>
      </w:r>
      <w:r w:rsidRPr="00BF758E">
        <w:rPr>
          <w:rStyle w:val="Emphasis"/>
          <w:rFonts w:ascii="Calibri" w:hAnsi="Calibri" w:cs="Calibri"/>
        </w:rPr>
        <w:t>Global Automotive Industry Market Size, Share and COVID-19 Impact Analysis, Forecast 2023–2033</w:t>
      </w:r>
      <w:r w:rsidRPr="00BF758E">
        <w:rPr>
          <w:rFonts w:ascii="Calibri" w:hAnsi="Calibri" w:cs="Calibri"/>
        </w:rPr>
        <w:t xml:space="preserve">. [online] Available at: </w:t>
      </w:r>
      <w:hyperlink r:id="rId10" w:tgtFrame="_new" w:history="1">
        <w:r w:rsidRPr="00BF758E">
          <w:rPr>
            <w:rStyle w:val="Hyperlink"/>
            <w:rFonts w:ascii="Calibri" w:hAnsi="Calibri" w:cs="Calibri"/>
          </w:rPr>
          <w:t>https://www.sphericalinsights.com/reports/automotive-industry-market</w:t>
        </w:r>
      </w:hyperlink>
      <w:r w:rsidRPr="00BF758E">
        <w:rPr>
          <w:rFonts w:ascii="Calibri" w:hAnsi="Calibri" w:cs="Calibri"/>
        </w:rPr>
        <w:t xml:space="preserve"> [Accessed 18 Mar. 2025].</w:t>
      </w:r>
    </w:p>
    <w:p w14:paraId="4DB8AE06" w14:textId="370F5023" w:rsidR="007F3415" w:rsidRPr="00BF758E" w:rsidRDefault="007F3415" w:rsidP="001B4944">
      <w:pPr>
        <w:rPr>
          <w:rFonts w:ascii="Calibri" w:eastAsia="Times New Roman" w:hAnsi="Calibri" w:cs="Calibri"/>
          <w:szCs w:val="24"/>
        </w:rPr>
      </w:pPr>
      <w:r w:rsidRPr="00BF758E">
        <w:rPr>
          <w:rFonts w:ascii="Calibri" w:eastAsia="Times New Roman" w:hAnsi="Calibri" w:cs="Calibri"/>
          <w:szCs w:val="24"/>
        </w:rPr>
        <w:t xml:space="preserve">Teece, D.J., 2018. Tesla and the reshaping of the auto industry. </w:t>
      </w:r>
      <w:r w:rsidRPr="00BF758E">
        <w:rPr>
          <w:rFonts w:ascii="Calibri" w:eastAsia="Times New Roman" w:hAnsi="Calibri" w:cs="Calibri"/>
          <w:i/>
          <w:iCs/>
          <w:szCs w:val="24"/>
        </w:rPr>
        <w:t xml:space="preserve">Management and </w:t>
      </w:r>
      <w:r w:rsidR="00462682">
        <w:rPr>
          <w:rFonts w:ascii="Calibri" w:eastAsia="Times New Roman" w:hAnsi="Calibri" w:cs="Calibri"/>
          <w:i/>
          <w:iCs/>
          <w:szCs w:val="24"/>
        </w:rPr>
        <w:t>Organisation</w:t>
      </w:r>
      <w:r w:rsidRPr="00BF758E">
        <w:rPr>
          <w:rFonts w:ascii="Calibri" w:eastAsia="Times New Roman" w:hAnsi="Calibri" w:cs="Calibri"/>
          <w:i/>
          <w:iCs/>
          <w:szCs w:val="24"/>
        </w:rPr>
        <w:t xml:space="preserve"> Review</w:t>
      </w:r>
      <w:r w:rsidRPr="00BF758E">
        <w:rPr>
          <w:rFonts w:ascii="Calibri" w:eastAsia="Times New Roman" w:hAnsi="Calibri" w:cs="Calibri"/>
          <w:szCs w:val="24"/>
        </w:rPr>
        <w:t xml:space="preserve">, </w:t>
      </w:r>
      <w:r w:rsidRPr="00BF758E">
        <w:rPr>
          <w:rFonts w:ascii="Calibri" w:eastAsia="Times New Roman" w:hAnsi="Calibri" w:cs="Calibri"/>
          <w:i/>
          <w:iCs/>
          <w:szCs w:val="24"/>
        </w:rPr>
        <w:t>14</w:t>
      </w:r>
      <w:r w:rsidRPr="00BF758E">
        <w:rPr>
          <w:rFonts w:ascii="Calibri" w:eastAsia="Times New Roman" w:hAnsi="Calibri" w:cs="Calibri"/>
          <w:szCs w:val="24"/>
        </w:rPr>
        <w:t>(3), pp.501-512.</w:t>
      </w:r>
    </w:p>
    <w:p w14:paraId="40F8EFBA" w14:textId="77777777" w:rsidR="007F3415" w:rsidRPr="00BF758E" w:rsidRDefault="007F3415" w:rsidP="001B4944">
      <w:pPr>
        <w:spacing w:before="100" w:beforeAutospacing="1"/>
        <w:rPr>
          <w:rFonts w:ascii="Calibri" w:hAnsi="Calibri" w:cs="Calibri"/>
        </w:rPr>
      </w:pPr>
      <w:r w:rsidRPr="00BF758E">
        <w:rPr>
          <w:rFonts w:ascii="Calibri" w:hAnsi="Calibri" w:cs="Calibri"/>
        </w:rPr>
        <w:lastRenderedPageBreak/>
        <w:t xml:space="preserve">Tesla Inc. (2024) </w:t>
      </w:r>
      <w:r w:rsidRPr="00BF758E">
        <w:rPr>
          <w:rStyle w:val="Emphasis"/>
          <w:rFonts w:ascii="Calibri" w:hAnsi="Calibri" w:cs="Calibri"/>
        </w:rPr>
        <w:t>Tesla Annual Report 2023</w:t>
      </w:r>
      <w:r w:rsidRPr="00BF758E">
        <w:rPr>
          <w:rFonts w:ascii="Calibri" w:hAnsi="Calibri" w:cs="Calibri"/>
        </w:rPr>
        <w:t xml:space="preserve">. [online] Available at: </w:t>
      </w:r>
      <w:hyperlink r:id="rId11" w:tgtFrame="_new" w:history="1">
        <w:r w:rsidRPr="00BF758E">
          <w:rPr>
            <w:rStyle w:val="Hyperlink"/>
            <w:rFonts w:ascii="Calibri" w:hAnsi="Calibri" w:cs="Calibri"/>
          </w:rPr>
          <w:t>https://www.annualreports.com/HostedData/AnnualReports/PDF/NASDAQ_TSLA_2023.pdf</w:t>
        </w:r>
      </w:hyperlink>
      <w:r w:rsidRPr="00BF758E">
        <w:rPr>
          <w:rFonts w:ascii="Calibri" w:hAnsi="Calibri" w:cs="Calibri"/>
        </w:rPr>
        <w:t xml:space="preserve"> [Accessed 18 Mar. 2025].</w:t>
      </w:r>
    </w:p>
    <w:p w14:paraId="29117A5A" w14:textId="77777777" w:rsidR="007F3415" w:rsidRPr="00BF758E" w:rsidRDefault="007F3415" w:rsidP="001B4944">
      <w:pPr>
        <w:rPr>
          <w:rFonts w:ascii="Calibri" w:eastAsia="Times New Roman" w:hAnsi="Calibri" w:cs="Calibri"/>
          <w:szCs w:val="24"/>
        </w:rPr>
      </w:pPr>
      <w:r w:rsidRPr="00BF758E">
        <w:rPr>
          <w:rFonts w:ascii="Calibri" w:eastAsia="Times New Roman" w:hAnsi="Calibri" w:cs="Calibri"/>
          <w:szCs w:val="24"/>
        </w:rPr>
        <w:t>Thompson, J, Scott J, Martin, F (2022) Strategic Management and Sustainability: Awareness and Change, 10th Edition, London: Cengage Learning EMEA</w:t>
      </w:r>
    </w:p>
    <w:p w14:paraId="1E8FA8FC" w14:textId="77777777" w:rsidR="007F3415" w:rsidRPr="00BF758E" w:rsidRDefault="007F3415" w:rsidP="001B4944">
      <w:pPr>
        <w:rPr>
          <w:rFonts w:ascii="Calibri" w:eastAsia="Times New Roman" w:hAnsi="Calibri" w:cs="Calibri"/>
          <w:szCs w:val="24"/>
        </w:rPr>
      </w:pPr>
      <w:r w:rsidRPr="00BF758E">
        <w:rPr>
          <w:rFonts w:ascii="Calibri" w:eastAsia="Times New Roman" w:hAnsi="Calibri" w:cs="Calibri"/>
          <w:szCs w:val="24"/>
        </w:rPr>
        <w:t xml:space="preserve">Whittington, R., </w:t>
      </w:r>
      <w:proofErr w:type="spellStart"/>
      <w:r w:rsidRPr="00BF758E">
        <w:rPr>
          <w:rFonts w:ascii="Calibri" w:eastAsia="Times New Roman" w:hAnsi="Calibri" w:cs="Calibri"/>
          <w:szCs w:val="24"/>
        </w:rPr>
        <w:t>Regnér</w:t>
      </w:r>
      <w:proofErr w:type="spellEnd"/>
      <w:r w:rsidRPr="00BF758E">
        <w:rPr>
          <w:rFonts w:ascii="Calibri" w:eastAsia="Times New Roman" w:hAnsi="Calibri" w:cs="Calibri"/>
          <w:szCs w:val="24"/>
        </w:rPr>
        <w:t xml:space="preserve">, P., Johnson, G., Angwin, D. and Scholes, K., 2019. </w:t>
      </w:r>
      <w:r w:rsidRPr="00BF758E">
        <w:rPr>
          <w:rFonts w:ascii="Calibri" w:eastAsia="Times New Roman" w:hAnsi="Calibri" w:cs="Calibri"/>
          <w:i/>
          <w:iCs/>
          <w:szCs w:val="24"/>
        </w:rPr>
        <w:t>Exploring strategy</w:t>
      </w:r>
      <w:r w:rsidRPr="00BF758E">
        <w:rPr>
          <w:rFonts w:ascii="Calibri" w:eastAsia="Times New Roman" w:hAnsi="Calibri" w:cs="Calibri"/>
          <w:szCs w:val="24"/>
        </w:rPr>
        <w:t>. Pearson UK.</w:t>
      </w:r>
    </w:p>
    <w:p w14:paraId="0852A0AB" w14:textId="77777777" w:rsidR="007F3415" w:rsidRPr="00BF758E" w:rsidRDefault="007F3415" w:rsidP="001B4944">
      <w:pPr>
        <w:rPr>
          <w:rFonts w:ascii="Calibri" w:eastAsia="Times New Roman" w:hAnsi="Calibri" w:cs="Calibri"/>
          <w:szCs w:val="24"/>
        </w:rPr>
      </w:pPr>
      <w:r w:rsidRPr="00BF758E">
        <w:rPr>
          <w:rFonts w:ascii="Calibri" w:eastAsia="Times New Roman" w:hAnsi="Calibri" w:cs="Calibri"/>
          <w:szCs w:val="24"/>
        </w:rPr>
        <w:t xml:space="preserve">Zhou, Z., 2023. Tesla Marketing Analysis. </w:t>
      </w:r>
      <w:r w:rsidRPr="00BF758E">
        <w:rPr>
          <w:rFonts w:ascii="Calibri" w:eastAsia="Times New Roman" w:hAnsi="Calibri" w:cs="Calibri"/>
          <w:i/>
          <w:iCs/>
          <w:szCs w:val="24"/>
        </w:rPr>
        <w:t>Academic Journal of Business &amp; Management</w:t>
      </w:r>
      <w:r w:rsidRPr="00BF758E">
        <w:rPr>
          <w:rFonts w:ascii="Calibri" w:eastAsia="Times New Roman" w:hAnsi="Calibri" w:cs="Calibri"/>
          <w:szCs w:val="24"/>
        </w:rPr>
        <w:t xml:space="preserve">, </w:t>
      </w:r>
      <w:r w:rsidRPr="00BF758E">
        <w:rPr>
          <w:rFonts w:ascii="Calibri" w:eastAsia="Times New Roman" w:hAnsi="Calibri" w:cs="Calibri"/>
          <w:i/>
          <w:iCs/>
          <w:szCs w:val="24"/>
        </w:rPr>
        <w:t>5</w:t>
      </w:r>
      <w:r w:rsidRPr="00BF758E">
        <w:rPr>
          <w:rFonts w:ascii="Calibri" w:eastAsia="Times New Roman" w:hAnsi="Calibri" w:cs="Calibri"/>
          <w:szCs w:val="24"/>
        </w:rPr>
        <w:t>(2), pp.171-7.</w:t>
      </w:r>
    </w:p>
    <w:p w14:paraId="64EA80C8" w14:textId="77777777" w:rsidR="007F3415" w:rsidRPr="00BF758E" w:rsidRDefault="007F3415" w:rsidP="001B4944">
      <w:pPr>
        <w:rPr>
          <w:rFonts w:ascii="Calibri" w:eastAsia="Times New Roman" w:hAnsi="Calibri" w:cs="Calibri"/>
          <w:szCs w:val="24"/>
        </w:rPr>
      </w:pPr>
      <w:r w:rsidRPr="00BF758E">
        <w:rPr>
          <w:rFonts w:ascii="Calibri" w:eastAsia="Times New Roman" w:hAnsi="Calibri" w:cs="Calibri"/>
          <w:szCs w:val="24"/>
        </w:rPr>
        <w:t xml:space="preserve">Zhu, Z., 2022. Analysis of the valuation of Tesla Inc. In </w:t>
      </w:r>
      <w:r w:rsidRPr="00BF758E">
        <w:rPr>
          <w:rFonts w:ascii="Calibri" w:eastAsia="Times New Roman" w:hAnsi="Calibri" w:cs="Calibri"/>
          <w:i/>
          <w:iCs/>
          <w:szCs w:val="24"/>
        </w:rPr>
        <w:t>SHS Web of Conferences</w:t>
      </w:r>
      <w:r w:rsidRPr="00BF758E">
        <w:rPr>
          <w:rFonts w:ascii="Calibri" w:eastAsia="Times New Roman" w:hAnsi="Calibri" w:cs="Calibri"/>
          <w:szCs w:val="24"/>
        </w:rPr>
        <w:t xml:space="preserve"> (Vol. 151, p. 01045). EDP Sciences.</w:t>
      </w:r>
    </w:p>
    <w:p w14:paraId="6DDCFCEF" w14:textId="77777777" w:rsidR="007F3415" w:rsidRPr="00BF758E" w:rsidRDefault="007F3415" w:rsidP="007F3415">
      <w:pPr>
        <w:spacing w:after="0" w:line="240" w:lineRule="auto"/>
        <w:rPr>
          <w:rFonts w:ascii="Calibri" w:eastAsia="Times New Roman" w:hAnsi="Calibri" w:cs="Calibri"/>
          <w:szCs w:val="24"/>
        </w:rPr>
      </w:pPr>
    </w:p>
    <w:p w14:paraId="51E04114" w14:textId="77777777" w:rsidR="007F3415" w:rsidRPr="00BF758E" w:rsidRDefault="007F3415" w:rsidP="007F3415">
      <w:pPr>
        <w:spacing w:after="0" w:line="240" w:lineRule="auto"/>
        <w:rPr>
          <w:rFonts w:ascii="Calibri" w:eastAsia="Times New Roman" w:hAnsi="Calibri" w:cs="Calibri"/>
          <w:szCs w:val="24"/>
        </w:rPr>
      </w:pPr>
    </w:p>
    <w:p w14:paraId="232D779B" w14:textId="77777777" w:rsidR="007F3415" w:rsidRPr="00BF758E" w:rsidRDefault="007F3415" w:rsidP="007F3415">
      <w:pPr>
        <w:rPr>
          <w:rFonts w:ascii="Calibri" w:hAnsi="Calibri" w:cs="Calibri"/>
        </w:rPr>
      </w:pPr>
    </w:p>
    <w:p w14:paraId="2594137A" w14:textId="77777777" w:rsidR="007F3415" w:rsidRPr="00BF758E" w:rsidRDefault="007F3415" w:rsidP="007F3415">
      <w:pPr>
        <w:rPr>
          <w:rFonts w:ascii="Calibri" w:hAnsi="Calibri" w:cs="Calibri"/>
        </w:rPr>
      </w:pPr>
    </w:p>
    <w:sectPr w:rsidR="007F3415" w:rsidRPr="00BF758E" w:rsidSect="007F3415">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C2104" w14:textId="77777777" w:rsidR="001D22F3" w:rsidRDefault="001D22F3" w:rsidP="007F3415">
      <w:pPr>
        <w:spacing w:after="0" w:line="240" w:lineRule="auto"/>
      </w:pPr>
      <w:r>
        <w:separator/>
      </w:r>
    </w:p>
  </w:endnote>
  <w:endnote w:type="continuationSeparator" w:id="0">
    <w:p w14:paraId="5C37AC3D" w14:textId="77777777" w:rsidR="001D22F3" w:rsidRDefault="001D22F3" w:rsidP="007F3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645694"/>
      <w:docPartObj>
        <w:docPartGallery w:val="Page Numbers (Bottom of Page)"/>
        <w:docPartUnique/>
      </w:docPartObj>
    </w:sdtPr>
    <w:sdtContent>
      <w:sdt>
        <w:sdtPr>
          <w:id w:val="-1769616900"/>
          <w:docPartObj>
            <w:docPartGallery w:val="Page Numbers (Top of Page)"/>
            <w:docPartUnique/>
          </w:docPartObj>
        </w:sdtPr>
        <w:sdtContent>
          <w:p w14:paraId="249BFA57" w14:textId="1313EAC7" w:rsidR="007F3415" w:rsidRDefault="007F341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01BFCCD" w14:textId="77777777" w:rsidR="007F3415" w:rsidRDefault="007F3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76A81" w14:textId="77777777" w:rsidR="001D22F3" w:rsidRDefault="001D22F3" w:rsidP="007F3415">
      <w:pPr>
        <w:spacing w:after="0" w:line="240" w:lineRule="auto"/>
      </w:pPr>
      <w:r>
        <w:separator/>
      </w:r>
    </w:p>
  </w:footnote>
  <w:footnote w:type="continuationSeparator" w:id="0">
    <w:p w14:paraId="6426F108" w14:textId="77777777" w:rsidR="001D22F3" w:rsidRDefault="001D22F3" w:rsidP="007F34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44FA5"/>
    <w:multiLevelType w:val="hybridMultilevel"/>
    <w:tmpl w:val="490830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8E33EC"/>
    <w:multiLevelType w:val="hybridMultilevel"/>
    <w:tmpl w:val="2DC672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7575DE"/>
    <w:multiLevelType w:val="hybridMultilevel"/>
    <w:tmpl w:val="2FCC1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2502A8"/>
    <w:multiLevelType w:val="hybridMultilevel"/>
    <w:tmpl w:val="2458C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56482C"/>
    <w:multiLevelType w:val="hybridMultilevel"/>
    <w:tmpl w:val="038445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271446">
    <w:abstractNumId w:val="4"/>
  </w:num>
  <w:num w:numId="2" w16cid:durableId="2051226608">
    <w:abstractNumId w:val="1"/>
  </w:num>
  <w:num w:numId="3" w16cid:durableId="244727764">
    <w:abstractNumId w:val="3"/>
  </w:num>
  <w:num w:numId="4" w16cid:durableId="1187594662">
    <w:abstractNumId w:val="2"/>
  </w:num>
  <w:num w:numId="5" w16cid:durableId="93283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EF0"/>
    <w:rsid w:val="00032D9E"/>
    <w:rsid w:val="00040EF0"/>
    <w:rsid w:val="000C4BE8"/>
    <w:rsid w:val="00123FD8"/>
    <w:rsid w:val="0012528D"/>
    <w:rsid w:val="001B4944"/>
    <w:rsid w:val="001D22F3"/>
    <w:rsid w:val="00334339"/>
    <w:rsid w:val="0034018A"/>
    <w:rsid w:val="00401FDB"/>
    <w:rsid w:val="00462682"/>
    <w:rsid w:val="004D2227"/>
    <w:rsid w:val="005B1BEB"/>
    <w:rsid w:val="00751453"/>
    <w:rsid w:val="00771033"/>
    <w:rsid w:val="007F3415"/>
    <w:rsid w:val="0081628B"/>
    <w:rsid w:val="00857082"/>
    <w:rsid w:val="008D4432"/>
    <w:rsid w:val="00AD7D64"/>
    <w:rsid w:val="00BF758E"/>
    <w:rsid w:val="00CD2E21"/>
    <w:rsid w:val="00CF4FB1"/>
    <w:rsid w:val="00D709A4"/>
    <w:rsid w:val="00E8119E"/>
    <w:rsid w:val="00E8557D"/>
    <w:rsid w:val="00F63065"/>
    <w:rsid w:val="00F6380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569E0"/>
  <w15:chartTrackingRefBased/>
  <w15:docId w15:val="{89EBC4BA-D37F-40BC-BEFA-337805617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GB"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28D"/>
    <w:rPr>
      <w:rFonts w:ascii="Times New Roman" w:hAnsi="Times New Roman"/>
      <w:sz w:val="24"/>
      <w14:ligatures w14:val="none"/>
    </w:rPr>
  </w:style>
  <w:style w:type="paragraph" w:styleId="Heading1">
    <w:name w:val="heading 1"/>
    <w:basedOn w:val="Normal"/>
    <w:next w:val="Normal"/>
    <w:link w:val="Heading1Char"/>
    <w:autoRedefine/>
    <w:uiPriority w:val="9"/>
    <w:qFormat/>
    <w:rsid w:val="0012528D"/>
    <w:pPr>
      <w:keepNext/>
      <w:keepLines/>
      <w:spacing w:before="240"/>
      <w:outlineLvl w:val="0"/>
    </w:pPr>
    <w:rPr>
      <w:rFonts w:eastAsiaTheme="majorEastAsia" w:cstheme="majorBidi"/>
      <w:b/>
      <w:kern w:val="2"/>
      <w:sz w:val="28"/>
      <w:szCs w:val="32"/>
      <w14:ligatures w14:val="standardContextual"/>
    </w:rPr>
  </w:style>
  <w:style w:type="paragraph" w:styleId="Heading2">
    <w:name w:val="heading 2"/>
    <w:basedOn w:val="Normal"/>
    <w:next w:val="Normal"/>
    <w:link w:val="Heading2Char"/>
    <w:autoRedefine/>
    <w:uiPriority w:val="9"/>
    <w:unhideWhenUsed/>
    <w:qFormat/>
    <w:rsid w:val="0012528D"/>
    <w:pPr>
      <w:keepNext/>
      <w:keepLines/>
      <w:spacing w:before="40"/>
      <w:outlineLvl w:val="1"/>
    </w:pPr>
    <w:rPr>
      <w:rFonts w:eastAsiaTheme="majorEastAsia" w:cstheme="majorBidi"/>
      <w:b/>
      <w:color w:val="000000" w:themeColor="text1"/>
      <w:kern w:val="2"/>
      <w:sz w:val="26"/>
      <w:szCs w:val="26"/>
      <w14:ligatures w14:val="standardContextual"/>
    </w:rPr>
  </w:style>
  <w:style w:type="paragraph" w:styleId="Heading3">
    <w:name w:val="heading 3"/>
    <w:basedOn w:val="Normal"/>
    <w:next w:val="Normal"/>
    <w:link w:val="Heading3Char"/>
    <w:autoRedefine/>
    <w:uiPriority w:val="9"/>
    <w:unhideWhenUsed/>
    <w:qFormat/>
    <w:rsid w:val="00CD2E21"/>
    <w:pPr>
      <w:keepNext/>
      <w:keepLines/>
      <w:spacing w:before="4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28D"/>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2528D"/>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CD2E21"/>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040EF0"/>
    <w:pPr>
      <w:ind w:left="720"/>
      <w:contextualSpacing/>
    </w:pPr>
  </w:style>
  <w:style w:type="character" w:styleId="Hyperlink">
    <w:name w:val="Hyperlink"/>
    <w:basedOn w:val="DefaultParagraphFont"/>
    <w:uiPriority w:val="99"/>
    <w:unhideWhenUsed/>
    <w:rsid w:val="007F3415"/>
    <w:rPr>
      <w:color w:val="0563C1" w:themeColor="hyperlink"/>
      <w:u w:val="single"/>
    </w:rPr>
  </w:style>
  <w:style w:type="character" w:styleId="Emphasis">
    <w:name w:val="Emphasis"/>
    <w:basedOn w:val="DefaultParagraphFont"/>
    <w:uiPriority w:val="20"/>
    <w:qFormat/>
    <w:rsid w:val="007F3415"/>
    <w:rPr>
      <w:i/>
      <w:iCs/>
    </w:rPr>
  </w:style>
  <w:style w:type="paragraph" w:styleId="TOCHeading">
    <w:name w:val="TOC Heading"/>
    <w:basedOn w:val="Heading1"/>
    <w:next w:val="Normal"/>
    <w:uiPriority w:val="39"/>
    <w:unhideWhenUsed/>
    <w:qFormat/>
    <w:rsid w:val="007F3415"/>
    <w:pPr>
      <w:spacing w:after="0" w:line="259" w:lineRule="auto"/>
      <w:jc w:val="left"/>
      <w:outlineLvl w:val="9"/>
    </w:pPr>
    <w:rPr>
      <w:rFonts w:asciiTheme="majorHAnsi" w:hAnsiTheme="majorHAnsi"/>
      <w:b w:val="0"/>
      <w:color w:val="2F5496" w:themeColor="accent1" w:themeShade="BF"/>
      <w:kern w:val="0"/>
      <w:sz w:val="32"/>
      <w:lang w:val="en-US" w:eastAsia="en-US"/>
      <w14:ligatures w14:val="none"/>
    </w:rPr>
  </w:style>
  <w:style w:type="paragraph" w:styleId="TOC1">
    <w:name w:val="toc 1"/>
    <w:basedOn w:val="Normal"/>
    <w:next w:val="Normal"/>
    <w:autoRedefine/>
    <w:uiPriority w:val="39"/>
    <w:unhideWhenUsed/>
    <w:rsid w:val="007F3415"/>
    <w:pPr>
      <w:spacing w:after="100"/>
    </w:pPr>
  </w:style>
  <w:style w:type="paragraph" w:styleId="Header">
    <w:name w:val="header"/>
    <w:basedOn w:val="Normal"/>
    <w:link w:val="HeaderChar"/>
    <w:uiPriority w:val="99"/>
    <w:unhideWhenUsed/>
    <w:rsid w:val="007F34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415"/>
    <w:rPr>
      <w:rFonts w:ascii="Times New Roman" w:hAnsi="Times New Roman"/>
      <w:sz w:val="24"/>
      <w14:ligatures w14:val="none"/>
    </w:rPr>
  </w:style>
  <w:style w:type="paragraph" w:styleId="Footer">
    <w:name w:val="footer"/>
    <w:basedOn w:val="Normal"/>
    <w:link w:val="FooterChar"/>
    <w:uiPriority w:val="99"/>
    <w:unhideWhenUsed/>
    <w:rsid w:val="007F34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415"/>
    <w:rPr>
      <w:rFonts w:ascii="Times New Roman" w:hAnsi="Times New Roman"/>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209891">
      <w:bodyDiv w:val="1"/>
      <w:marLeft w:val="0"/>
      <w:marRight w:val="0"/>
      <w:marTop w:val="0"/>
      <w:marBottom w:val="0"/>
      <w:divBdr>
        <w:top w:val="none" w:sz="0" w:space="0" w:color="auto"/>
        <w:left w:val="none" w:sz="0" w:space="0" w:color="auto"/>
        <w:bottom w:val="none" w:sz="0" w:space="0" w:color="auto"/>
        <w:right w:val="none" w:sz="0" w:space="0" w:color="auto"/>
      </w:divBdr>
      <w:divsChild>
        <w:div w:id="671446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nualreports.com/HostedData/AnnualReports/PDF/NASDAQ_TSLA_2023.pdf" TargetMode="External"/><Relationship Id="rId5" Type="http://schemas.openxmlformats.org/officeDocument/2006/relationships/webSettings" Target="webSettings.xml"/><Relationship Id="rId10" Type="http://schemas.openxmlformats.org/officeDocument/2006/relationships/hyperlink" Target="https://www.sphericalinsights.com/reports/automotive-industry-market" TargetMode="External"/><Relationship Id="rId4" Type="http://schemas.openxmlformats.org/officeDocument/2006/relationships/settings" Target="settings.xml"/><Relationship Id="rId9" Type="http://schemas.openxmlformats.org/officeDocument/2006/relationships/hyperlink" Target="https://www.acea.auto/publication/economic-and-market-report-global-and-eu-auto-industry-full-year-202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B68BC-18B7-47F0-BC62-62159DBF7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12</Pages>
  <Words>2968</Words>
  <Characters>16919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Vimal Madishetty</dc:creator>
  <cp:keywords/>
  <dc:description/>
  <cp:lastModifiedBy>Vimal Maddichetti (2207918)</cp:lastModifiedBy>
  <cp:revision>8</cp:revision>
  <dcterms:created xsi:type="dcterms:W3CDTF">2025-03-18T14:06:00Z</dcterms:created>
  <dcterms:modified xsi:type="dcterms:W3CDTF">2025-03-21T20:45:00Z</dcterms:modified>
</cp:coreProperties>
</file>