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293C8" w14:textId="77777777" w:rsidR="0048467F" w:rsidRPr="001E4F9D" w:rsidRDefault="0048467F" w:rsidP="0048467F">
      <w:pPr>
        <w:spacing w:before="100" w:beforeAutospacing="1" w:after="100" w:afterAutospacing="1"/>
        <w:jc w:val="center"/>
        <w:rPr>
          <w:rFonts w:ascii="Calibri" w:eastAsia="Times New Roman" w:hAnsi="Calibri" w:cs="Calibri"/>
          <w:b/>
          <w:bCs/>
          <w:color w:val="000000" w:themeColor="text1"/>
          <w:sz w:val="32"/>
          <w:szCs w:val="32"/>
          <w:lang w:val="en-GB" w:eastAsia="en-GB"/>
        </w:rPr>
      </w:pPr>
    </w:p>
    <w:p w14:paraId="570C5BBD" w14:textId="77777777" w:rsidR="0048467F" w:rsidRPr="001E4F9D" w:rsidRDefault="0048467F" w:rsidP="0048467F">
      <w:pPr>
        <w:spacing w:before="100" w:beforeAutospacing="1" w:after="100" w:afterAutospacing="1"/>
        <w:jc w:val="center"/>
        <w:rPr>
          <w:rFonts w:ascii="Calibri" w:eastAsia="Times New Roman" w:hAnsi="Calibri" w:cs="Calibri"/>
          <w:b/>
          <w:bCs/>
          <w:color w:val="000000" w:themeColor="text1"/>
          <w:sz w:val="32"/>
          <w:szCs w:val="32"/>
          <w:lang w:val="en-GB" w:eastAsia="en-GB"/>
        </w:rPr>
      </w:pPr>
    </w:p>
    <w:p w14:paraId="102833B6" w14:textId="77777777" w:rsidR="0048467F" w:rsidRPr="001E4F9D" w:rsidRDefault="0048467F" w:rsidP="0048467F">
      <w:pPr>
        <w:spacing w:before="100" w:beforeAutospacing="1" w:after="100" w:afterAutospacing="1"/>
        <w:jc w:val="center"/>
        <w:rPr>
          <w:rFonts w:ascii="Calibri" w:eastAsia="Times New Roman" w:hAnsi="Calibri" w:cs="Calibri"/>
          <w:b/>
          <w:bCs/>
          <w:color w:val="000000" w:themeColor="text1"/>
          <w:sz w:val="32"/>
          <w:szCs w:val="32"/>
          <w:lang w:val="en-GB" w:eastAsia="en-GB"/>
        </w:rPr>
      </w:pPr>
      <w:r w:rsidRPr="001E4F9D">
        <w:rPr>
          <w:rFonts w:ascii="Calibri" w:hAnsi="Calibri" w:cs="Calibri"/>
          <w:noProof/>
          <w:color w:val="000000" w:themeColor="text1"/>
          <w:lang w:val="en-GB"/>
        </w:rPr>
        <w:drawing>
          <wp:inline distT="0" distB="0" distL="0" distR="0" wp14:anchorId="5DB26A4E" wp14:editId="20A51804">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71547C9E" w14:textId="77777777" w:rsidR="0048467F" w:rsidRPr="001E4F9D" w:rsidRDefault="0048467F" w:rsidP="0048467F">
      <w:pPr>
        <w:spacing w:before="100" w:beforeAutospacing="1" w:after="100" w:afterAutospacing="1"/>
        <w:jc w:val="center"/>
        <w:rPr>
          <w:rFonts w:ascii="Calibri" w:eastAsia="Times New Roman" w:hAnsi="Calibri" w:cs="Calibri"/>
          <w:b/>
          <w:bCs/>
          <w:color w:val="000000" w:themeColor="text1"/>
          <w:sz w:val="32"/>
          <w:szCs w:val="32"/>
          <w:lang w:val="en-GB" w:eastAsia="en-GB"/>
        </w:rPr>
      </w:pPr>
      <w:r w:rsidRPr="001E4F9D">
        <w:rPr>
          <w:rFonts w:ascii="Calibri" w:eastAsia="Times New Roman" w:hAnsi="Calibri" w:cs="Calibri"/>
          <w:b/>
          <w:bCs/>
          <w:color w:val="000000" w:themeColor="text1"/>
          <w:sz w:val="32"/>
          <w:szCs w:val="32"/>
          <w:lang w:val="en-GB" w:eastAsia="en-GB"/>
        </w:rPr>
        <w:br/>
        <w:t>University of Wales Trinity Saint David – BEng OME</w:t>
      </w:r>
    </w:p>
    <w:p w14:paraId="513DBFBF" w14:textId="77777777" w:rsidR="0048467F" w:rsidRPr="001E4F9D" w:rsidRDefault="0048467F" w:rsidP="0048467F">
      <w:pPr>
        <w:spacing w:before="100" w:beforeAutospacing="1" w:after="100" w:afterAutospacing="1"/>
        <w:jc w:val="center"/>
        <w:rPr>
          <w:rFonts w:ascii="Calibri" w:eastAsia="Calibri" w:hAnsi="Calibri" w:cs="Calibri"/>
          <w:b/>
          <w:bCs/>
          <w:color w:val="000000" w:themeColor="text1"/>
          <w:sz w:val="32"/>
          <w:szCs w:val="32"/>
          <w:lang w:val="en-GB"/>
        </w:rPr>
      </w:pPr>
      <w:r w:rsidRPr="001E4F9D">
        <w:rPr>
          <w:rFonts w:ascii="Calibri" w:eastAsia="Calibri" w:hAnsi="Calibri" w:cs="Calibri"/>
          <w:b/>
          <w:bCs/>
          <w:color w:val="000000" w:themeColor="text1"/>
          <w:sz w:val="32"/>
          <w:szCs w:val="32"/>
          <w:lang w:val="en-GB" w:eastAsia="en-GB"/>
        </w:rPr>
        <w:t xml:space="preserve">MODULE: </w:t>
      </w:r>
      <w:r w:rsidRPr="001E4F9D">
        <w:rPr>
          <w:rFonts w:ascii="Calibri" w:eastAsia="Calibri" w:hAnsi="Calibri" w:cs="Calibri"/>
          <w:b/>
          <w:bCs/>
          <w:color w:val="000000" w:themeColor="text1"/>
          <w:sz w:val="32"/>
          <w:szCs w:val="32"/>
          <w:lang w:val="en-GB"/>
        </w:rPr>
        <w:t>ACDB 5013 Safety &amp; Hazard Assessment</w:t>
      </w:r>
    </w:p>
    <w:p w14:paraId="48F1D016" w14:textId="77777777" w:rsidR="0048467F" w:rsidRPr="001E4F9D" w:rsidRDefault="0048467F" w:rsidP="0048467F">
      <w:pPr>
        <w:spacing w:before="100" w:beforeAutospacing="1" w:after="100" w:afterAutospacing="1"/>
        <w:jc w:val="center"/>
        <w:rPr>
          <w:rFonts w:ascii="Calibri" w:eastAsia="Times New Roman" w:hAnsi="Calibri" w:cs="Calibri"/>
          <w:b/>
          <w:bCs/>
          <w:color w:val="000000" w:themeColor="text1"/>
          <w:sz w:val="32"/>
          <w:szCs w:val="32"/>
          <w:lang w:val="en-GB" w:eastAsia="en-GB"/>
        </w:rPr>
      </w:pPr>
      <w:r w:rsidRPr="001E4F9D">
        <w:rPr>
          <w:rFonts w:ascii="Calibri" w:eastAsia="Times New Roman" w:hAnsi="Calibri" w:cs="Calibri"/>
          <w:b/>
          <w:bCs/>
          <w:color w:val="000000" w:themeColor="text1"/>
          <w:sz w:val="32"/>
          <w:szCs w:val="32"/>
          <w:lang w:val="en-GB" w:eastAsia="en-GB"/>
        </w:rPr>
        <w:t>Risk Assessment &amp; ALARP Justification</w:t>
      </w:r>
    </w:p>
    <w:p w14:paraId="7FC8C3B0" w14:textId="77777777" w:rsidR="0048467F" w:rsidRPr="001E4F9D" w:rsidRDefault="0048467F" w:rsidP="0048467F">
      <w:pPr>
        <w:spacing w:before="100" w:beforeAutospacing="1" w:after="100" w:afterAutospacing="1"/>
        <w:jc w:val="center"/>
        <w:rPr>
          <w:rFonts w:ascii="Calibri" w:eastAsia="Times New Roman" w:hAnsi="Calibri" w:cs="Calibri"/>
          <w:b/>
          <w:bCs/>
          <w:color w:val="000000" w:themeColor="text1"/>
          <w:sz w:val="32"/>
          <w:szCs w:val="32"/>
          <w:lang w:val="en-GB" w:eastAsia="en-GB"/>
        </w:rPr>
      </w:pPr>
    </w:p>
    <w:p w14:paraId="54084620" w14:textId="77777777" w:rsidR="0048467F" w:rsidRPr="001E4F9D" w:rsidRDefault="0048467F" w:rsidP="0048467F">
      <w:pPr>
        <w:spacing w:before="100" w:beforeAutospacing="1" w:after="100" w:afterAutospacing="1"/>
        <w:jc w:val="center"/>
        <w:rPr>
          <w:rFonts w:ascii="Calibri" w:eastAsia="Times New Roman" w:hAnsi="Calibri" w:cs="Calibri"/>
          <w:b/>
          <w:bCs/>
          <w:color w:val="000000" w:themeColor="text1"/>
          <w:sz w:val="32"/>
          <w:szCs w:val="32"/>
          <w:lang w:val="en-GB" w:eastAsia="en-GB"/>
        </w:rPr>
      </w:pPr>
      <w:r w:rsidRPr="001E4F9D">
        <w:rPr>
          <w:rFonts w:ascii="Calibri" w:eastAsia="Times New Roman" w:hAnsi="Calibri" w:cs="Calibri"/>
          <w:b/>
          <w:bCs/>
          <w:color w:val="000000" w:themeColor="text1"/>
          <w:sz w:val="32"/>
          <w:szCs w:val="32"/>
          <w:lang w:val="en-GB" w:eastAsia="en-GB"/>
        </w:rPr>
        <w:t>Lecturer: Austin Clark</w:t>
      </w:r>
    </w:p>
    <w:p w14:paraId="5C7717F5" w14:textId="77777777" w:rsidR="0048467F" w:rsidRPr="001E4F9D" w:rsidRDefault="0048467F" w:rsidP="0048467F">
      <w:pPr>
        <w:spacing w:before="100" w:beforeAutospacing="1" w:after="100" w:afterAutospacing="1"/>
        <w:rPr>
          <w:rFonts w:ascii="Calibri" w:eastAsia="Times New Roman" w:hAnsi="Calibri" w:cs="Calibri"/>
          <w:b/>
          <w:bCs/>
          <w:color w:val="000000" w:themeColor="text1"/>
          <w:sz w:val="32"/>
          <w:szCs w:val="32"/>
          <w:lang w:val="en-GB" w:eastAsia="en-GB"/>
        </w:rPr>
      </w:pPr>
    </w:p>
    <w:p w14:paraId="5FDF0624" w14:textId="77777777" w:rsidR="0048467F" w:rsidRPr="001E4F9D" w:rsidRDefault="0048467F" w:rsidP="0048467F">
      <w:pPr>
        <w:spacing w:before="100" w:beforeAutospacing="1" w:after="100" w:afterAutospacing="1"/>
        <w:rPr>
          <w:rFonts w:ascii="Calibri" w:eastAsia="Times New Roman" w:hAnsi="Calibri" w:cs="Calibri"/>
          <w:b/>
          <w:bCs/>
          <w:color w:val="000000" w:themeColor="text1"/>
          <w:sz w:val="32"/>
          <w:szCs w:val="32"/>
          <w:lang w:val="en-GB" w:eastAsia="en-GB"/>
        </w:rPr>
      </w:pPr>
    </w:p>
    <w:p w14:paraId="09FB81C0" w14:textId="77777777" w:rsidR="0048467F" w:rsidRPr="001E4F9D" w:rsidRDefault="0048467F" w:rsidP="0048467F">
      <w:pPr>
        <w:spacing w:before="100" w:beforeAutospacing="1" w:after="100" w:afterAutospacing="1"/>
        <w:jc w:val="center"/>
        <w:rPr>
          <w:rFonts w:ascii="Calibri" w:eastAsia="Times New Roman" w:hAnsi="Calibri" w:cs="Calibri"/>
          <w:color w:val="000000" w:themeColor="text1"/>
          <w:sz w:val="32"/>
          <w:szCs w:val="32"/>
          <w:lang w:val="en-GB" w:eastAsia="en-GB"/>
        </w:rPr>
      </w:pPr>
      <w:r w:rsidRPr="001E4F9D">
        <w:rPr>
          <w:rFonts w:ascii="Calibri" w:eastAsia="Times New Roman" w:hAnsi="Calibri" w:cs="Calibri"/>
          <w:color w:val="000000" w:themeColor="text1"/>
          <w:sz w:val="32"/>
          <w:szCs w:val="32"/>
          <w:lang w:val="en-GB" w:eastAsia="en-GB"/>
        </w:rPr>
        <w:t xml:space="preserve">Name: Siti </w:t>
      </w:r>
      <w:proofErr w:type="spellStart"/>
      <w:r w:rsidRPr="001E4F9D">
        <w:rPr>
          <w:rFonts w:ascii="Calibri" w:eastAsia="Times New Roman" w:hAnsi="Calibri" w:cs="Calibri"/>
          <w:color w:val="000000" w:themeColor="text1"/>
          <w:sz w:val="32"/>
          <w:szCs w:val="32"/>
          <w:lang w:val="en-GB" w:eastAsia="en-GB"/>
        </w:rPr>
        <w:t>Nurfairuza</w:t>
      </w:r>
      <w:proofErr w:type="spellEnd"/>
      <w:r w:rsidRPr="001E4F9D">
        <w:rPr>
          <w:rFonts w:ascii="Calibri" w:eastAsia="Times New Roman" w:hAnsi="Calibri" w:cs="Calibri"/>
          <w:color w:val="000000" w:themeColor="text1"/>
          <w:sz w:val="32"/>
          <w:szCs w:val="32"/>
          <w:lang w:val="en-GB" w:eastAsia="en-GB"/>
        </w:rPr>
        <w:t xml:space="preserve"> Idora Binti Musa</w:t>
      </w:r>
    </w:p>
    <w:p w14:paraId="10AD6118" w14:textId="77777777" w:rsidR="0048467F" w:rsidRPr="001E4F9D" w:rsidRDefault="0048467F" w:rsidP="0048467F">
      <w:pPr>
        <w:spacing w:before="100" w:beforeAutospacing="1" w:after="100" w:afterAutospacing="1"/>
        <w:jc w:val="center"/>
        <w:rPr>
          <w:rFonts w:ascii="Calibri" w:eastAsia="Times New Roman" w:hAnsi="Calibri" w:cs="Calibri"/>
          <w:color w:val="000000" w:themeColor="text1"/>
          <w:sz w:val="32"/>
          <w:szCs w:val="32"/>
          <w:lang w:val="en-GB" w:eastAsia="en-GB"/>
        </w:rPr>
      </w:pPr>
      <w:r w:rsidRPr="001E4F9D">
        <w:rPr>
          <w:rFonts w:ascii="Calibri" w:eastAsia="Times New Roman" w:hAnsi="Calibri" w:cs="Calibri"/>
          <w:color w:val="000000" w:themeColor="text1"/>
          <w:sz w:val="32"/>
          <w:szCs w:val="32"/>
          <w:lang w:val="en-GB" w:eastAsia="en-GB"/>
        </w:rPr>
        <w:t>Student Number: 2427103</w:t>
      </w:r>
    </w:p>
    <w:p w14:paraId="66728DFD" w14:textId="77777777" w:rsidR="0048467F" w:rsidRPr="001E4F9D" w:rsidRDefault="0048467F" w:rsidP="0048467F">
      <w:pPr>
        <w:spacing w:before="100" w:beforeAutospacing="1" w:after="100" w:afterAutospacing="1"/>
        <w:rPr>
          <w:rFonts w:ascii="Calibri" w:eastAsia="Times New Roman" w:hAnsi="Calibri" w:cs="Calibri"/>
          <w:b/>
          <w:bCs/>
          <w:color w:val="000000" w:themeColor="text1"/>
          <w:lang w:val="en-GB" w:eastAsia="en-GB"/>
        </w:rPr>
      </w:pPr>
    </w:p>
    <w:p w14:paraId="53BE0C8F" w14:textId="77777777" w:rsidR="0048467F" w:rsidRPr="001E4F9D" w:rsidRDefault="0048467F" w:rsidP="0048467F">
      <w:pPr>
        <w:spacing w:before="100" w:beforeAutospacing="1" w:after="100" w:afterAutospacing="1"/>
        <w:rPr>
          <w:rFonts w:ascii="Calibri" w:eastAsia="Times New Roman" w:hAnsi="Calibri" w:cs="Calibri"/>
          <w:b/>
          <w:bCs/>
          <w:color w:val="000000" w:themeColor="text1"/>
          <w:lang w:val="en-GB" w:eastAsia="en-GB"/>
        </w:rPr>
      </w:pPr>
    </w:p>
    <w:p w14:paraId="3CF4A822" w14:textId="77777777" w:rsidR="0048467F" w:rsidRPr="001E4F9D" w:rsidRDefault="0048467F" w:rsidP="0048467F">
      <w:pPr>
        <w:rPr>
          <w:rFonts w:ascii="Calibri" w:eastAsia="Times New Roman" w:hAnsi="Calibri" w:cs="Calibri"/>
          <w:b/>
          <w:bCs/>
          <w:color w:val="000000" w:themeColor="text1"/>
          <w:lang w:val="en-GB" w:eastAsia="en-GB"/>
        </w:rPr>
      </w:pPr>
    </w:p>
    <w:p w14:paraId="10E3068F" w14:textId="77777777" w:rsidR="0048467F" w:rsidRPr="001E4F9D" w:rsidRDefault="0048467F" w:rsidP="0048467F">
      <w:pPr>
        <w:tabs>
          <w:tab w:val="left" w:pos="3900"/>
        </w:tabs>
        <w:rPr>
          <w:rFonts w:ascii="Calibri" w:eastAsia="Times New Roman" w:hAnsi="Calibri" w:cs="Calibri"/>
          <w:b/>
          <w:bCs/>
          <w:color w:val="000000" w:themeColor="text1"/>
          <w:lang w:val="en-GB" w:eastAsia="en-GB"/>
        </w:rPr>
      </w:pPr>
      <w:r w:rsidRPr="001E4F9D">
        <w:rPr>
          <w:rFonts w:ascii="Calibri" w:eastAsia="Times New Roman" w:hAnsi="Calibri" w:cs="Calibri"/>
          <w:b/>
          <w:bCs/>
          <w:color w:val="000000" w:themeColor="text1"/>
          <w:lang w:val="en-GB" w:eastAsia="en-GB"/>
        </w:rPr>
        <w:tab/>
      </w:r>
    </w:p>
    <w:p w14:paraId="707F4622" w14:textId="77777777" w:rsidR="0048467F" w:rsidRPr="001E4F9D" w:rsidRDefault="0048467F" w:rsidP="0048467F">
      <w:pPr>
        <w:rPr>
          <w:rFonts w:ascii="Calibri" w:eastAsia="Times New Roman" w:hAnsi="Calibri" w:cs="Calibri"/>
          <w:b/>
          <w:bCs/>
          <w:color w:val="000000" w:themeColor="text1"/>
          <w:lang w:val="en-GB" w:eastAsia="en-GB"/>
        </w:rPr>
      </w:pPr>
    </w:p>
    <w:p w14:paraId="0E308E70" w14:textId="635F0EAE" w:rsidR="0048467F" w:rsidRPr="001E4F9D" w:rsidRDefault="0048467F">
      <w:pPr>
        <w:rPr>
          <w:rFonts w:ascii="Calibri" w:hAnsi="Calibri" w:cs="Calibri"/>
          <w:lang w:val="en-GB"/>
        </w:rPr>
      </w:pPr>
    </w:p>
    <w:p w14:paraId="50C30FC9" w14:textId="77777777" w:rsidR="0048467F" w:rsidRPr="001E4F9D" w:rsidRDefault="0048467F">
      <w:pPr>
        <w:spacing w:after="200" w:line="276" w:lineRule="auto"/>
        <w:rPr>
          <w:rFonts w:ascii="Calibri" w:hAnsi="Calibri" w:cs="Calibri"/>
          <w:lang w:val="en-GB"/>
        </w:rPr>
      </w:pPr>
      <w:r w:rsidRPr="001E4F9D">
        <w:rPr>
          <w:rFonts w:ascii="Calibri" w:hAnsi="Calibri" w:cs="Calibri"/>
          <w:lang w:val="en-GB"/>
        </w:rPr>
        <w:br w:type="page"/>
      </w:r>
    </w:p>
    <w:p w14:paraId="26F6C136" w14:textId="14C2B554" w:rsidR="0048467F" w:rsidRPr="001E4F9D" w:rsidRDefault="0048467F">
      <w:pPr>
        <w:rPr>
          <w:rFonts w:ascii="Calibri" w:hAnsi="Calibri" w:cs="Calibri"/>
          <w:lang w:val="en-GB"/>
        </w:rPr>
      </w:pPr>
    </w:p>
    <w:sdt>
      <w:sdtPr>
        <w:rPr>
          <w:rFonts w:ascii="Calibri" w:hAnsi="Calibri" w:cs="Calibri"/>
          <w:lang w:val="en-GB"/>
        </w:rPr>
        <w:id w:val="-981009418"/>
        <w:docPartObj>
          <w:docPartGallery w:val="Table of Contents"/>
          <w:docPartUnique/>
        </w:docPartObj>
      </w:sdtPr>
      <w:sdtEndPr>
        <w:rPr>
          <w:rFonts w:eastAsiaTheme="minorEastAsia"/>
          <w:noProof/>
          <w:color w:val="auto"/>
          <w:sz w:val="19"/>
          <w:szCs w:val="22"/>
        </w:rPr>
      </w:sdtEndPr>
      <w:sdtContent>
        <w:p w14:paraId="3C8EC32C" w14:textId="7E38C3FB" w:rsidR="0048467F" w:rsidRPr="001E4F9D" w:rsidRDefault="0048467F">
          <w:pPr>
            <w:pStyle w:val="TOCHeading"/>
            <w:rPr>
              <w:rFonts w:ascii="Calibri" w:hAnsi="Calibri" w:cs="Calibri"/>
              <w:color w:val="000000" w:themeColor="text1"/>
              <w:lang w:val="en-GB"/>
            </w:rPr>
          </w:pPr>
          <w:r w:rsidRPr="001E4F9D">
            <w:rPr>
              <w:rFonts w:ascii="Calibri" w:hAnsi="Calibri" w:cs="Calibri"/>
              <w:color w:val="000000" w:themeColor="text1"/>
              <w:lang w:val="en-GB"/>
            </w:rPr>
            <w:t>Table of Contents</w:t>
          </w:r>
        </w:p>
        <w:p w14:paraId="37D38981" w14:textId="755541C8" w:rsidR="00BE60AD" w:rsidRPr="001E4F9D" w:rsidRDefault="0048467F">
          <w:pPr>
            <w:pStyle w:val="TOC1"/>
            <w:tabs>
              <w:tab w:val="right" w:leader="dot" w:pos="10358"/>
            </w:tabs>
            <w:rPr>
              <w:rFonts w:ascii="Calibri" w:hAnsi="Calibri" w:cs="Calibri"/>
              <w:b w:val="0"/>
              <w:bCs w:val="0"/>
              <w:i w:val="0"/>
              <w:iCs w:val="0"/>
              <w:noProof/>
              <w:kern w:val="2"/>
              <w:lang w:val="en-GB" w:eastAsia="en-GB"/>
              <w14:ligatures w14:val="standardContextual"/>
            </w:rPr>
          </w:pPr>
          <w:r w:rsidRPr="001E4F9D">
            <w:rPr>
              <w:rFonts w:ascii="Calibri" w:hAnsi="Calibri" w:cs="Calibri"/>
              <w:b w:val="0"/>
              <w:bCs w:val="0"/>
              <w:i w:val="0"/>
              <w:iCs w:val="0"/>
              <w:lang w:val="en-GB"/>
            </w:rPr>
            <w:fldChar w:fldCharType="begin"/>
          </w:r>
          <w:r w:rsidRPr="001E4F9D">
            <w:rPr>
              <w:rFonts w:ascii="Calibri" w:hAnsi="Calibri" w:cs="Calibri"/>
              <w:i w:val="0"/>
              <w:iCs w:val="0"/>
              <w:lang w:val="en-GB"/>
            </w:rPr>
            <w:instrText xml:space="preserve"> TOC \o "1-3" \h \z \u </w:instrText>
          </w:r>
          <w:r w:rsidRPr="001E4F9D">
            <w:rPr>
              <w:rFonts w:ascii="Calibri" w:hAnsi="Calibri" w:cs="Calibri"/>
              <w:b w:val="0"/>
              <w:bCs w:val="0"/>
              <w:i w:val="0"/>
              <w:iCs w:val="0"/>
              <w:lang w:val="en-GB"/>
            </w:rPr>
            <w:fldChar w:fldCharType="separate"/>
          </w:r>
          <w:hyperlink w:anchor="_Toc235173322" w:history="1">
            <w:r w:rsidR="00BE60AD" w:rsidRPr="001E4F9D">
              <w:rPr>
                <w:rStyle w:val="Hyperlink"/>
                <w:rFonts w:ascii="Calibri" w:hAnsi="Calibri" w:cs="Calibri"/>
                <w:noProof/>
                <w:lang w:val="en-GB"/>
              </w:rPr>
              <w:t>Part 1 - Risk Assessment</w:t>
            </w:r>
            <w:r w:rsidR="00BE60AD" w:rsidRPr="001E4F9D">
              <w:rPr>
                <w:rFonts w:ascii="Calibri" w:hAnsi="Calibri" w:cs="Calibri"/>
                <w:noProof/>
                <w:webHidden/>
                <w:lang w:val="en-GB"/>
              </w:rPr>
              <w:tab/>
            </w:r>
            <w:r w:rsidR="00BE60AD" w:rsidRPr="001E4F9D">
              <w:rPr>
                <w:rFonts w:ascii="Calibri" w:hAnsi="Calibri" w:cs="Calibri"/>
                <w:noProof/>
                <w:webHidden/>
                <w:lang w:val="en-GB"/>
              </w:rPr>
              <w:fldChar w:fldCharType="begin"/>
            </w:r>
            <w:r w:rsidR="00BE60AD" w:rsidRPr="001E4F9D">
              <w:rPr>
                <w:rFonts w:ascii="Calibri" w:hAnsi="Calibri" w:cs="Calibri"/>
                <w:noProof/>
                <w:webHidden/>
                <w:lang w:val="en-GB"/>
              </w:rPr>
              <w:instrText xml:space="preserve"> PAGEREF _Toc235173322 \h </w:instrText>
            </w:r>
            <w:r w:rsidR="00BE60AD" w:rsidRPr="001E4F9D">
              <w:rPr>
                <w:rFonts w:ascii="Calibri" w:hAnsi="Calibri" w:cs="Calibri"/>
                <w:noProof/>
                <w:webHidden/>
                <w:lang w:val="en-GB"/>
              </w:rPr>
            </w:r>
            <w:r w:rsidR="00BE60AD" w:rsidRPr="001E4F9D">
              <w:rPr>
                <w:rFonts w:ascii="Calibri" w:hAnsi="Calibri" w:cs="Calibri"/>
                <w:noProof/>
                <w:webHidden/>
                <w:lang w:val="en-GB"/>
              </w:rPr>
              <w:fldChar w:fldCharType="separate"/>
            </w:r>
            <w:r w:rsidR="00BE60AD" w:rsidRPr="001E4F9D">
              <w:rPr>
                <w:rFonts w:ascii="Calibri" w:hAnsi="Calibri" w:cs="Calibri"/>
                <w:noProof/>
                <w:webHidden/>
                <w:lang w:val="en-GB"/>
              </w:rPr>
              <w:t>3</w:t>
            </w:r>
            <w:r w:rsidR="00BE60AD" w:rsidRPr="001E4F9D">
              <w:rPr>
                <w:rFonts w:ascii="Calibri" w:hAnsi="Calibri" w:cs="Calibri"/>
                <w:noProof/>
                <w:webHidden/>
                <w:lang w:val="en-GB"/>
              </w:rPr>
              <w:fldChar w:fldCharType="end"/>
            </w:r>
          </w:hyperlink>
        </w:p>
        <w:p w14:paraId="494EDC2D" w14:textId="682865E1"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23" w:history="1">
            <w:r w:rsidRPr="001E4F9D">
              <w:rPr>
                <w:rStyle w:val="Hyperlink"/>
                <w:rFonts w:ascii="Calibri" w:hAnsi="Calibri" w:cs="Calibri"/>
                <w:noProof/>
                <w:lang w:val="en-GB"/>
              </w:rPr>
              <w:t>1. Scope</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_Toc235173323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3</w:t>
            </w:r>
            <w:r w:rsidRPr="001E4F9D">
              <w:rPr>
                <w:rFonts w:ascii="Calibri" w:hAnsi="Calibri" w:cs="Calibri"/>
                <w:noProof/>
                <w:webHidden/>
                <w:lang w:val="en-GB"/>
              </w:rPr>
              <w:fldChar w:fldCharType="end"/>
            </w:r>
          </w:hyperlink>
        </w:p>
        <w:p w14:paraId="71617AAB" w14:textId="5D9EEE1D" w:rsidR="00BE60AD" w:rsidRPr="001E4F9D" w:rsidRDefault="00BE60AD">
          <w:pPr>
            <w:pStyle w:val="TOC3"/>
            <w:tabs>
              <w:tab w:val="right" w:leader="dot" w:pos="10358"/>
            </w:tabs>
            <w:rPr>
              <w:rFonts w:ascii="Calibri" w:hAnsi="Calibri" w:cs="Calibri"/>
              <w:noProof/>
              <w:kern w:val="2"/>
              <w:sz w:val="24"/>
              <w:szCs w:val="24"/>
              <w:lang w:val="en-GB" w:eastAsia="en-GB"/>
              <w14:ligatures w14:val="standardContextual"/>
            </w:rPr>
          </w:pPr>
          <w:hyperlink w:anchor="_Toc235173324" w:history="1">
            <w:r w:rsidRPr="001E4F9D">
              <w:rPr>
                <w:rStyle w:val="Hyperlink"/>
                <w:rFonts w:ascii="Calibri" w:hAnsi="Calibri" w:cs="Calibri"/>
                <w:noProof/>
                <w:lang w:val="en-GB"/>
              </w:rPr>
              <w:t>1.1 Task description</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_Toc235173324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3</w:t>
            </w:r>
            <w:r w:rsidRPr="001E4F9D">
              <w:rPr>
                <w:rFonts w:ascii="Calibri" w:hAnsi="Calibri" w:cs="Calibri"/>
                <w:noProof/>
                <w:webHidden/>
                <w:lang w:val="en-GB"/>
              </w:rPr>
              <w:fldChar w:fldCharType="end"/>
            </w:r>
          </w:hyperlink>
        </w:p>
        <w:p w14:paraId="43ABE789" w14:textId="674AFC49" w:rsidR="00BE60AD" w:rsidRPr="001E4F9D" w:rsidRDefault="00BE60AD">
          <w:pPr>
            <w:pStyle w:val="TOC3"/>
            <w:tabs>
              <w:tab w:val="right" w:leader="dot" w:pos="10358"/>
            </w:tabs>
            <w:rPr>
              <w:rFonts w:ascii="Calibri" w:hAnsi="Calibri" w:cs="Calibri"/>
              <w:noProof/>
              <w:kern w:val="2"/>
              <w:sz w:val="24"/>
              <w:szCs w:val="24"/>
              <w:lang w:val="en-GB" w:eastAsia="en-GB"/>
              <w14:ligatures w14:val="standardContextual"/>
            </w:rPr>
          </w:pPr>
          <w:hyperlink w:anchor="_Toc235173325" w:history="1">
            <w:r w:rsidRPr="001E4F9D">
              <w:rPr>
                <w:rStyle w:val="Hyperlink"/>
                <w:rFonts w:ascii="Calibri" w:hAnsi="Calibri" w:cs="Calibri"/>
                <w:noProof/>
                <w:lang w:val="en-GB"/>
              </w:rPr>
              <w:t>1.2 Purpose</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_Toc235173325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3</w:t>
            </w:r>
            <w:r w:rsidRPr="001E4F9D">
              <w:rPr>
                <w:rFonts w:ascii="Calibri" w:hAnsi="Calibri" w:cs="Calibri"/>
                <w:noProof/>
                <w:webHidden/>
                <w:lang w:val="en-GB"/>
              </w:rPr>
              <w:fldChar w:fldCharType="end"/>
            </w:r>
          </w:hyperlink>
        </w:p>
        <w:p w14:paraId="34DE3E86" w14:textId="791925E1" w:rsidR="00BE60AD" w:rsidRPr="001E4F9D" w:rsidRDefault="00BE60AD">
          <w:pPr>
            <w:pStyle w:val="TOC3"/>
            <w:tabs>
              <w:tab w:val="right" w:leader="dot" w:pos="10358"/>
            </w:tabs>
            <w:rPr>
              <w:rFonts w:ascii="Calibri" w:hAnsi="Calibri" w:cs="Calibri"/>
              <w:noProof/>
              <w:kern w:val="2"/>
              <w:sz w:val="24"/>
              <w:szCs w:val="24"/>
              <w:lang w:val="en-GB" w:eastAsia="en-GB"/>
              <w14:ligatures w14:val="standardContextual"/>
            </w:rPr>
          </w:pPr>
          <w:hyperlink w:anchor="_Toc235173326" w:history="1">
            <w:r w:rsidRPr="001E4F9D">
              <w:rPr>
                <w:rStyle w:val="Hyperlink"/>
                <w:rFonts w:ascii="Calibri" w:hAnsi="Calibri" w:cs="Calibri"/>
                <w:noProof/>
                <w:lang w:val="en-GB"/>
              </w:rPr>
              <w:t>1.3 Risk estimation and ALARP position</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_Toc235173326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3</w:t>
            </w:r>
            <w:r w:rsidRPr="001E4F9D">
              <w:rPr>
                <w:rFonts w:ascii="Calibri" w:hAnsi="Calibri" w:cs="Calibri"/>
                <w:noProof/>
                <w:webHidden/>
                <w:lang w:val="en-GB"/>
              </w:rPr>
              <w:fldChar w:fldCharType="end"/>
            </w:r>
          </w:hyperlink>
        </w:p>
        <w:p w14:paraId="4D1166A8" w14:textId="2737DBC5" w:rsidR="00BE60AD" w:rsidRPr="001E4F9D" w:rsidRDefault="00BE60AD">
          <w:pPr>
            <w:pStyle w:val="TOC3"/>
            <w:tabs>
              <w:tab w:val="right" w:leader="dot" w:pos="10358"/>
            </w:tabs>
            <w:rPr>
              <w:rFonts w:ascii="Calibri" w:hAnsi="Calibri" w:cs="Calibri"/>
              <w:noProof/>
              <w:kern w:val="2"/>
              <w:sz w:val="24"/>
              <w:szCs w:val="24"/>
              <w:lang w:val="en-GB" w:eastAsia="en-GB"/>
              <w14:ligatures w14:val="standardContextual"/>
            </w:rPr>
          </w:pPr>
          <w:hyperlink w:anchor="_Toc235173327" w:history="1">
            <w:r w:rsidRPr="001E4F9D">
              <w:rPr>
                <w:rStyle w:val="Hyperlink"/>
                <w:rFonts w:ascii="Calibri" w:hAnsi="Calibri" w:cs="Calibri"/>
                <w:noProof/>
                <w:lang w:val="en-GB"/>
              </w:rPr>
              <w:t>1.4 Control selection and good practice</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_Toc235173327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3</w:t>
            </w:r>
            <w:r w:rsidRPr="001E4F9D">
              <w:rPr>
                <w:rFonts w:ascii="Calibri" w:hAnsi="Calibri" w:cs="Calibri"/>
                <w:noProof/>
                <w:webHidden/>
                <w:lang w:val="en-GB"/>
              </w:rPr>
              <w:fldChar w:fldCharType="end"/>
            </w:r>
          </w:hyperlink>
        </w:p>
        <w:p w14:paraId="2F9C1BEA" w14:textId="2D0E6105"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28" w:history="1">
            <w:r w:rsidRPr="001E4F9D">
              <w:rPr>
                <w:rStyle w:val="Hyperlink"/>
                <w:rFonts w:ascii="Calibri" w:hAnsi="Calibri" w:cs="Calibri"/>
                <w:noProof/>
                <w:lang w:val="en-GB"/>
              </w:rPr>
              <w:t>2. Review and improvement of the risk matrix</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_Toc235173328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4</w:t>
            </w:r>
            <w:r w:rsidRPr="001E4F9D">
              <w:rPr>
                <w:rFonts w:ascii="Calibri" w:hAnsi="Calibri" w:cs="Calibri"/>
                <w:noProof/>
                <w:webHidden/>
                <w:lang w:val="en-GB"/>
              </w:rPr>
              <w:fldChar w:fldCharType="end"/>
            </w:r>
          </w:hyperlink>
        </w:p>
        <w:p w14:paraId="12E7B488" w14:textId="4DFEFBDF" w:rsidR="00BE60AD" w:rsidRPr="001E4F9D" w:rsidRDefault="00BE60AD">
          <w:pPr>
            <w:pStyle w:val="TOC3"/>
            <w:tabs>
              <w:tab w:val="right" w:leader="dot" w:pos="10358"/>
            </w:tabs>
            <w:rPr>
              <w:rFonts w:ascii="Calibri" w:hAnsi="Calibri" w:cs="Calibri"/>
              <w:noProof/>
              <w:kern w:val="2"/>
              <w:sz w:val="24"/>
              <w:szCs w:val="24"/>
              <w:lang w:val="en-GB" w:eastAsia="en-GB"/>
              <w14:ligatures w14:val="standardContextual"/>
            </w:rPr>
          </w:pPr>
          <w:hyperlink w:anchor="_Toc235173329" w:history="1">
            <w:r w:rsidRPr="001E4F9D">
              <w:rPr>
                <w:rStyle w:val="Hyperlink"/>
                <w:rFonts w:ascii="Calibri" w:hAnsi="Calibri" w:cs="Calibri"/>
                <w:noProof/>
                <w:lang w:val="en-GB"/>
              </w:rPr>
              <w:t>2.1 Initial weighted matrix (superseded)</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_Toc235173329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4</w:t>
            </w:r>
            <w:r w:rsidRPr="001E4F9D">
              <w:rPr>
                <w:rFonts w:ascii="Calibri" w:hAnsi="Calibri" w:cs="Calibri"/>
                <w:noProof/>
                <w:webHidden/>
                <w:lang w:val="en-GB"/>
              </w:rPr>
              <w:fldChar w:fldCharType="end"/>
            </w:r>
          </w:hyperlink>
        </w:p>
        <w:p w14:paraId="5E0574AF" w14:textId="19E12C04" w:rsidR="00BE60AD" w:rsidRPr="001E4F9D" w:rsidRDefault="00BE60AD">
          <w:pPr>
            <w:pStyle w:val="TOC3"/>
            <w:tabs>
              <w:tab w:val="right" w:leader="dot" w:pos="10358"/>
            </w:tabs>
            <w:rPr>
              <w:rFonts w:ascii="Calibri" w:hAnsi="Calibri" w:cs="Calibri"/>
              <w:noProof/>
              <w:kern w:val="2"/>
              <w:sz w:val="24"/>
              <w:szCs w:val="24"/>
              <w:lang w:val="en-GB" w:eastAsia="en-GB"/>
              <w14:ligatures w14:val="standardContextual"/>
            </w:rPr>
          </w:pPr>
          <w:hyperlink w:anchor="_Toc235173330" w:history="1">
            <w:r w:rsidRPr="001E4F9D">
              <w:rPr>
                <w:rStyle w:val="Hyperlink"/>
                <w:rFonts w:ascii="Calibri" w:hAnsi="Calibri" w:cs="Calibri"/>
                <w:noProof/>
                <w:lang w:val="en-GB"/>
              </w:rPr>
              <w:t>2.2 Improved 5 x 5 risk matrix</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_Toc235173330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4</w:t>
            </w:r>
            <w:r w:rsidRPr="001E4F9D">
              <w:rPr>
                <w:rFonts w:ascii="Calibri" w:hAnsi="Calibri" w:cs="Calibri"/>
                <w:noProof/>
                <w:webHidden/>
                <w:lang w:val="en-GB"/>
              </w:rPr>
              <w:fldChar w:fldCharType="end"/>
            </w:r>
          </w:hyperlink>
        </w:p>
        <w:p w14:paraId="125A4F05" w14:textId="4FED1215"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31" w:history="1">
            <w:r w:rsidRPr="001E4F9D">
              <w:rPr>
                <w:rStyle w:val="Hyperlink"/>
                <w:rFonts w:ascii="Calibri" w:hAnsi="Calibri" w:cs="Calibri"/>
                <w:noProof/>
                <w:lang w:val="en-GB"/>
              </w:rPr>
              <w:t>3. Hazard register, controls and residual risk</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_Toc235173331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5</w:t>
            </w:r>
            <w:r w:rsidRPr="001E4F9D">
              <w:rPr>
                <w:rFonts w:ascii="Calibri" w:hAnsi="Calibri" w:cs="Calibri"/>
                <w:noProof/>
                <w:webHidden/>
                <w:lang w:val="en-GB"/>
              </w:rPr>
              <w:fldChar w:fldCharType="end"/>
            </w:r>
          </w:hyperlink>
        </w:p>
        <w:p w14:paraId="2D962672" w14:textId="079CB698" w:rsidR="00BE60AD" w:rsidRPr="001E4F9D" w:rsidRDefault="00BE60AD">
          <w:pPr>
            <w:pStyle w:val="TOC1"/>
            <w:tabs>
              <w:tab w:val="right" w:leader="dot" w:pos="10358"/>
            </w:tabs>
            <w:rPr>
              <w:rFonts w:ascii="Calibri" w:hAnsi="Calibri" w:cs="Calibri"/>
              <w:b w:val="0"/>
              <w:bCs w:val="0"/>
              <w:i w:val="0"/>
              <w:iCs w:val="0"/>
              <w:noProof/>
              <w:kern w:val="2"/>
              <w:lang w:val="en-GB" w:eastAsia="en-GB"/>
              <w14:ligatures w14:val="standardContextual"/>
            </w:rPr>
          </w:pPr>
          <w:hyperlink w:anchor="_Toc235173332" w:history="1">
            <w:r w:rsidRPr="001E4F9D">
              <w:rPr>
                <w:rStyle w:val="Hyperlink"/>
                <w:rFonts w:ascii="Calibri" w:hAnsi="Calibri" w:cs="Calibri"/>
                <w:noProof/>
                <w:lang w:val="en-GB"/>
              </w:rPr>
              <w:t>Part 2 - ALARP Justification: Noise Exposure</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_Toc235173332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6</w:t>
            </w:r>
            <w:r w:rsidRPr="001E4F9D">
              <w:rPr>
                <w:rFonts w:ascii="Calibri" w:hAnsi="Calibri" w:cs="Calibri"/>
                <w:noProof/>
                <w:webHidden/>
                <w:lang w:val="en-GB"/>
              </w:rPr>
              <w:fldChar w:fldCharType="end"/>
            </w:r>
          </w:hyperlink>
        </w:p>
        <w:p w14:paraId="744D9CA8" w14:textId="318FB656"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33" w:history="1">
            <w:r w:rsidRPr="001E4F9D">
              <w:rPr>
                <w:rStyle w:val="Hyperlink"/>
                <w:rFonts w:ascii="Calibri" w:hAnsi="Calibri" w:cs="Calibri"/>
                <w:noProof/>
                <w:lang w:val="en-GB"/>
              </w:rPr>
              <w:t>1. Introduction and hazard selection</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_Toc235173333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6</w:t>
            </w:r>
            <w:r w:rsidRPr="001E4F9D">
              <w:rPr>
                <w:rFonts w:ascii="Calibri" w:hAnsi="Calibri" w:cs="Calibri"/>
                <w:noProof/>
                <w:webHidden/>
                <w:lang w:val="en-GB"/>
              </w:rPr>
              <w:fldChar w:fldCharType="end"/>
            </w:r>
          </w:hyperlink>
        </w:p>
        <w:p w14:paraId="607FD08A" w14:textId="129A4714"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34" w:history="1">
            <w:r w:rsidRPr="001E4F9D">
              <w:rPr>
                <w:rStyle w:val="Hyperlink"/>
                <w:rFonts w:ascii="Calibri" w:hAnsi="Calibri" w:cs="Calibri"/>
                <w:noProof/>
                <w:lang w:val="en-GB"/>
              </w:rPr>
              <w:t>2. ALARP decision standard</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_Toc235173334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6</w:t>
            </w:r>
            <w:r w:rsidRPr="001E4F9D">
              <w:rPr>
                <w:rFonts w:ascii="Calibri" w:hAnsi="Calibri" w:cs="Calibri"/>
                <w:noProof/>
                <w:webHidden/>
                <w:lang w:val="en-GB"/>
              </w:rPr>
              <w:fldChar w:fldCharType="end"/>
            </w:r>
          </w:hyperlink>
        </w:p>
        <w:p w14:paraId="2270338C" w14:textId="427909CB"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35" w:history="1">
            <w:r w:rsidRPr="001E4F9D">
              <w:rPr>
                <w:rStyle w:val="Hyperlink"/>
                <w:rFonts w:ascii="Calibri" w:hAnsi="Calibri" w:cs="Calibri"/>
                <w:noProof/>
                <w:lang w:val="en-GB"/>
              </w:rPr>
              <w:t>3. Legal duties and public good-practice sources</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_Toc235173335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6</w:t>
            </w:r>
            <w:r w:rsidRPr="001E4F9D">
              <w:rPr>
                <w:rFonts w:ascii="Calibri" w:hAnsi="Calibri" w:cs="Calibri"/>
                <w:noProof/>
                <w:webHidden/>
                <w:lang w:val="en-GB"/>
              </w:rPr>
              <w:fldChar w:fldCharType="end"/>
            </w:r>
          </w:hyperlink>
        </w:p>
        <w:p w14:paraId="45764D89" w14:textId="2AD4A202"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36" w:history="1">
            <w:r w:rsidRPr="001E4F9D">
              <w:rPr>
                <w:rStyle w:val="Hyperlink"/>
                <w:rFonts w:ascii="Calibri" w:hAnsi="Calibri" w:cs="Calibri"/>
                <w:noProof/>
                <w:lang w:val="en-GB"/>
              </w:rPr>
              <w:t>4. Reducing unnecessary live firing</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_Toc235173336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6</w:t>
            </w:r>
            <w:r w:rsidRPr="001E4F9D">
              <w:rPr>
                <w:rFonts w:ascii="Calibri" w:hAnsi="Calibri" w:cs="Calibri"/>
                <w:noProof/>
                <w:webHidden/>
                <w:lang w:val="en-GB"/>
              </w:rPr>
              <w:fldChar w:fldCharType="end"/>
            </w:r>
          </w:hyperlink>
        </w:p>
        <w:p w14:paraId="66896C24" w14:textId="5C799397"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37" w:history="1">
            <w:r w:rsidRPr="001E4F9D">
              <w:rPr>
                <w:rStyle w:val="Hyperlink"/>
                <w:rFonts w:ascii="Calibri" w:hAnsi="Calibri" w:cs="Calibri"/>
                <w:noProof/>
                <w:lang w:val="en-GB"/>
              </w:rPr>
              <w:t>5. Engineering controls</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_Toc235173337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6</w:t>
            </w:r>
            <w:r w:rsidRPr="001E4F9D">
              <w:rPr>
                <w:rFonts w:ascii="Calibri" w:hAnsi="Calibri" w:cs="Calibri"/>
                <w:noProof/>
                <w:webHidden/>
                <w:lang w:val="en-GB"/>
              </w:rPr>
              <w:fldChar w:fldCharType="end"/>
            </w:r>
          </w:hyperlink>
        </w:p>
        <w:p w14:paraId="41068615" w14:textId="4527FB14"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38" w:history="1">
            <w:r w:rsidRPr="001E4F9D">
              <w:rPr>
                <w:rStyle w:val="Hyperlink"/>
                <w:rFonts w:ascii="Calibri" w:hAnsi="Calibri" w:cs="Calibri"/>
                <w:noProof/>
                <w:lang w:val="en-GB"/>
              </w:rPr>
              <w:t>6. Planning and administrative controls</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_Toc235173338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6</w:t>
            </w:r>
            <w:r w:rsidRPr="001E4F9D">
              <w:rPr>
                <w:rFonts w:ascii="Calibri" w:hAnsi="Calibri" w:cs="Calibri"/>
                <w:noProof/>
                <w:webHidden/>
                <w:lang w:val="en-GB"/>
              </w:rPr>
              <w:fldChar w:fldCharType="end"/>
            </w:r>
          </w:hyperlink>
        </w:p>
        <w:p w14:paraId="3252A7C6" w14:textId="5E6E547B"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39" w:history="1">
            <w:r w:rsidRPr="001E4F9D">
              <w:rPr>
                <w:rStyle w:val="Hyperlink"/>
                <w:rFonts w:ascii="Calibri" w:hAnsi="Calibri" w:cs="Calibri"/>
                <w:noProof/>
                <w:lang w:val="en-GB"/>
              </w:rPr>
              <w:t>7. Hearing protection</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_Toc235173339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7</w:t>
            </w:r>
            <w:r w:rsidRPr="001E4F9D">
              <w:rPr>
                <w:rFonts w:ascii="Calibri" w:hAnsi="Calibri" w:cs="Calibri"/>
                <w:noProof/>
                <w:webHidden/>
                <w:lang w:val="en-GB"/>
              </w:rPr>
              <w:fldChar w:fldCharType="end"/>
            </w:r>
          </w:hyperlink>
        </w:p>
        <w:p w14:paraId="27FB3019" w14:textId="6167249B"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40" w:history="1">
            <w:r w:rsidRPr="001E4F9D">
              <w:rPr>
                <w:rStyle w:val="Hyperlink"/>
                <w:rFonts w:ascii="Calibri" w:hAnsi="Calibri" w:cs="Calibri"/>
                <w:noProof/>
                <w:lang w:val="en-GB"/>
              </w:rPr>
              <w:t>8. Health surveillance and monitoring</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_Toc235173340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7</w:t>
            </w:r>
            <w:r w:rsidRPr="001E4F9D">
              <w:rPr>
                <w:rFonts w:ascii="Calibri" w:hAnsi="Calibri" w:cs="Calibri"/>
                <w:noProof/>
                <w:webHidden/>
                <w:lang w:val="en-GB"/>
              </w:rPr>
              <w:fldChar w:fldCharType="end"/>
            </w:r>
          </w:hyperlink>
        </w:p>
        <w:p w14:paraId="6A70E866" w14:textId="4F52F8DA"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41" w:history="1">
            <w:r w:rsidRPr="001E4F9D">
              <w:rPr>
                <w:rStyle w:val="Hyperlink"/>
                <w:rFonts w:ascii="Calibri" w:hAnsi="Calibri" w:cs="Calibri"/>
                <w:noProof/>
                <w:lang w:val="en-GB"/>
              </w:rPr>
              <w:t>9. Related firing-range health controls</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_Toc235173341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7</w:t>
            </w:r>
            <w:r w:rsidRPr="001E4F9D">
              <w:rPr>
                <w:rFonts w:ascii="Calibri" w:hAnsi="Calibri" w:cs="Calibri"/>
                <w:noProof/>
                <w:webHidden/>
                <w:lang w:val="en-GB"/>
              </w:rPr>
              <w:fldChar w:fldCharType="end"/>
            </w:r>
          </w:hyperlink>
        </w:p>
        <w:p w14:paraId="08908F8A" w14:textId="508ED18A"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42" w:history="1">
            <w:r w:rsidRPr="001E4F9D">
              <w:rPr>
                <w:rStyle w:val="Hyperlink"/>
                <w:rFonts w:ascii="Calibri" w:hAnsi="Calibri" w:cs="Calibri"/>
                <w:noProof/>
                <w:lang w:val="en-GB"/>
              </w:rPr>
              <w:t>10. Controls considered but not fully adopted</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_Toc235173342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7</w:t>
            </w:r>
            <w:r w:rsidRPr="001E4F9D">
              <w:rPr>
                <w:rFonts w:ascii="Calibri" w:hAnsi="Calibri" w:cs="Calibri"/>
                <w:noProof/>
                <w:webHidden/>
                <w:lang w:val="en-GB"/>
              </w:rPr>
              <w:fldChar w:fldCharType="end"/>
            </w:r>
          </w:hyperlink>
        </w:p>
        <w:p w14:paraId="2CDF45A0" w14:textId="123AAAB7"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43" w:history="1">
            <w:r w:rsidRPr="001E4F9D">
              <w:rPr>
                <w:rStyle w:val="Hyperlink"/>
                <w:rFonts w:ascii="Calibri" w:hAnsi="Calibri" w:cs="Calibri"/>
                <w:noProof/>
                <w:lang w:val="en-GB"/>
              </w:rPr>
              <w:t>11. Residual risk and ALARP conclusion</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_Toc235173343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7</w:t>
            </w:r>
            <w:r w:rsidRPr="001E4F9D">
              <w:rPr>
                <w:rFonts w:ascii="Calibri" w:hAnsi="Calibri" w:cs="Calibri"/>
                <w:noProof/>
                <w:webHidden/>
                <w:lang w:val="en-GB"/>
              </w:rPr>
              <w:fldChar w:fldCharType="end"/>
            </w:r>
          </w:hyperlink>
        </w:p>
        <w:p w14:paraId="0C7ED036" w14:textId="642C7773" w:rsidR="00BE60AD" w:rsidRPr="001E4F9D" w:rsidRDefault="00BE60AD">
          <w:pPr>
            <w:pStyle w:val="TOC2"/>
            <w:tabs>
              <w:tab w:val="right" w:leader="dot" w:pos="10358"/>
            </w:tabs>
            <w:rPr>
              <w:rFonts w:ascii="Calibri" w:hAnsi="Calibri" w:cs="Calibri"/>
              <w:b w:val="0"/>
              <w:bCs w:val="0"/>
              <w:noProof/>
              <w:kern w:val="2"/>
              <w:sz w:val="24"/>
              <w:szCs w:val="24"/>
              <w:lang w:val="en-GB" w:eastAsia="en-GB"/>
              <w14:ligatures w14:val="standardContextual"/>
            </w:rPr>
          </w:pPr>
          <w:hyperlink w:anchor="_Toc235173344" w:history="1">
            <w:r w:rsidRPr="001E4F9D">
              <w:rPr>
                <w:rStyle w:val="Hyperlink"/>
                <w:rFonts w:ascii="Calibri" w:hAnsi="Calibri" w:cs="Calibri"/>
                <w:noProof/>
                <w:lang w:val="en-GB"/>
              </w:rPr>
              <w:t>12. Maintaining ALARP</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_Toc235173344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7</w:t>
            </w:r>
            <w:r w:rsidRPr="001E4F9D">
              <w:rPr>
                <w:rFonts w:ascii="Calibri" w:hAnsi="Calibri" w:cs="Calibri"/>
                <w:noProof/>
                <w:webHidden/>
                <w:lang w:val="en-GB"/>
              </w:rPr>
              <w:fldChar w:fldCharType="end"/>
            </w:r>
          </w:hyperlink>
        </w:p>
        <w:p w14:paraId="78066D39" w14:textId="30F183B1" w:rsidR="00BE60AD" w:rsidRPr="001E4F9D" w:rsidRDefault="00BE60AD">
          <w:pPr>
            <w:pStyle w:val="TOC1"/>
            <w:tabs>
              <w:tab w:val="right" w:leader="dot" w:pos="10358"/>
            </w:tabs>
            <w:rPr>
              <w:rFonts w:ascii="Calibri" w:hAnsi="Calibri" w:cs="Calibri"/>
              <w:b w:val="0"/>
              <w:bCs w:val="0"/>
              <w:i w:val="0"/>
              <w:iCs w:val="0"/>
              <w:noProof/>
              <w:kern w:val="2"/>
              <w:lang w:val="en-GB" w:eastAsia="en-GB"/>
              <w14:ligatures w14:val="standardContextual"/>
            </w:rPr>
          </w:pPr>
          <w:hyperlink w:anchor="_Toc235173345" w:history="1">
            <w:r w:rsidRPr="001E4F9D">
              <w:rPr>
                <w:rStyle w:val="Hyperlink"/>
                <w:rFonts w:ascii="Calibri" w:hAnsi="Calibri" w:cs="Calibri"/>
                <w:noProof/>
                <w:lang w:val="en-GB"/>
              </w:rPr>
              <w:t>References</w:t>
            </w:r>
            <w:r w:rsidRPr="001E4F9D">
              <w:rPr>
                <w:rFonts w:ascii="Calibri" w:hAnsi="Calibri" w:cs="Calibri"/>
                <w:noProof/>
                <w:webHidden/>
                <w:lang w:val="en-GB"/>
              </w:rPr>
              <w:tab/>
            </w:r>
            <w:r w:rsidRPr="001E4F9D">
              <w:rPr>
                <w:rFonts w:ascii="Calibri" w:hAnsi="Calibri" w:cs="Calibri"/>
                <w:noProof/>
                <w:webHidden/>
                <w:lang w:val="en-GB"/>
              </w:rPr>
              <w:fldChar w:fldCharType="begin"/>
            </w:r>
            <w:r w:rsidRPr="001E4F9D">
              <w:rPr>
                <w:rFonts w:ascii="Calibri" w:hAnsi="Calibri" w:cs="Calibri"/>
                <w:noProof/>
                <w:webHidden/>
                <w:lang w:val="en-GB"/>
              </w:rPr>
              <w:instrText xml:space="preserve"> PAGEREF _Toc235173345 \h </w:instrText>
            </w:r>
            <w:r w:rsidRPr="001E4F9D">
              <w:rPr>
                <w:rFonts w:ascii="Calibri" w:hAnsi="Calibri" w:cs="Calibri"/>
                <w:noProof/>
                <w:webHidden/>
                <w:lang w:val="en-GB"/>
              </w:rPr>
            </w:r>
            <w:r w:rsidRPr="001E4F9D">
              <w:rPr>
                <w:rFonts w:ascii="Calibri" w:hAnsi="Calibri" w:cs="Calibri"/>
                <w:noProof/>
                <w:webHidden/>
                <w:lang w:val="en-GB"/>
              </w:rPr>
              <w:fldChar w:fldCharType="separate"/>
            </w:r>
            <w:r w:rsidRPr="001E4F9D">
              <w:rPr>
                <w:rFonts w:ascii="Calibri" w:hAnsi="Calibri" w:cs="Calibri"/>
                <w:noProof/>
                <w:webHidden/>
                <w:lang w:val="en-GB"/>
              </w:rPr>
              <w:t>8</w:t>
            </w:r>
            <w:r w:rsidRPr="001E4F9D">
              <w:rPr>
                <w:rFonts w:ascii="Calibri" w:hAnsi="Calibri" w:cs="Calibri"/>
                <w:noProof/>
                <w:webHidden/>
                <w:lang w:val="en-GB"/>
              </w:rPr>
              <w:fldChar w:fldCharType="end"/>
            </w:r>
          </w:hyperlink>
        </w:p>
        <w:p w14:paraId="4BE24EF8" w14:textId="29991A18" w:rsidR="0048467F" w:rsidRPr="001E4F9D" w:rsidRDefault="0048467F">
          <w:pPr>
            <w:rPr>
              <w:rFonts w:ascii="Calibri" w:hAnsi="Calibri" w:cs="Calibri"/>
              <w:lang w:val="en-GB"/>
            </w:rPr>
          </w:pPr>
          <w:r w:rsidRPr="001E4F9D">
            <w:rPr>
              <w:rFonts w:ascii="Calibri" w:hAnsi="Calibri" w:cs="Calibri"/>
              <w:b/>
              <w:bCs/>
              <w:noProof/>
              <w:lang w:val="en-GB"/>
            </w:rPr>
            <w:fldChar w:fldCharType="end"/>
          </w:r>
        </w:p>
      </w:sdtContent>
    </w:sdt>
    <w:p w14:paraId="0CB30C0B" w14:textId="1407EA43" w:rsidR="0048467F" w:rsidRPr="001E4F9D" w:rsidRDefault="0048467F">
      <w:pPr>
        <w:spacing w:after="200" w:line="276" w:lineRule="auto"/>
        <w:rPr>
          <w:rFonts w:ascii="Calibri" w:hAnsi="Calibri" w:cs="Calibri"/>
          <w:color w:val="000000" w:themeColor="text1"/>
          <w:sz w:val="28"/>
          <w:szCs w:val="28"/>
          <w:lang w:val="en-GB"/>
        </w:rPr>
      </w:pPr>
      <w:r w:rsidRPr="001E4F9D">
        <w:rPr>
          <w:rFonts w:ascii="Calibri" w:hAnsi="Calibri" w:cs="Calibri"/>
          <w:color w:val="000000" w:themeColor="text1"/>
          <w:sz w:val="28"/>
          <w:szCs w:val="28"/>
          <w:lang w:val="en-GB"/>
        </w:rPr>
        <w:br w:type="page"/>
      </w:r>
    </w:p>
    <w:p w14:paraId="7AA7DC7E" w14:textId="77777777" w:rsidR="007A171C" w:rsidRPr="001E4F9D" w:rsidRDefault="007A171C">
      <w:pPr>
        <w:rPr>
          <w:rFonts w:ascii="Calibri" w:hAnsi="Calibri" w:cs="Calibri"/>
          <w:lang w:val="en-GB"/>
        </w:rPr>
        <w:sectPr w:rsidR="007A171C" w:rsidRPr="001E4F9D">
          <w:footerReference w:type="default" r:id="rId9"/>
          <w:pgSz w:w="12240" w:h="15840"/>
          <w:pgMar w:top="936" w:right="936" w:bottom="936" w:left="936" w:header="720" w:footer="720" w:gutter="0"/>
          <w:cols w:space="720"/>
          <w:docGrid w:linePitch="360"/>
        </w:sectPr>
      </w:pPr>
    </w:p>
    <w:p w14:paraId="77D516F5" w14:textId="15243B96" w:rsidR="007A171C" w:rsidRPr="001E4F9D" w:rsidRDefault="00000000">
      <w:pPr>
        <w:pStyle w:val="Heading1"/>
        <w:rPr>
          <w:rFonts w:ascii="Calibri" w:hAnsi="Calibri" w:cs="Calibri"/>
          <w:color w:val="000000" w:themeColor="text1"/>
          <w:lang w:val="en-GB"/>
        </w:rPr>
      </w:pPr>
      <w:bookmarkStart w:id="0" w:name="_Toc235173322"/>
      <w:r w:rsidRPr="001E4F9D">
        <w:rPr>
          <w:rFonts w:ascii="Calibri" w:hAnsi="Calibri" w:cs="Calibri"/>
          <w:color w:val="000000" w:themeColor="text1"/>
          <w:lang w:val="en-GB"/>
        </w:rPr>
        <w:lastRenderedPageBreak/>
        <w:t>Part 1 - Risk Assessment</w:t>
      </w:r>
      <w:bookmarkEnd w:id="0"/>
    </w:p>
    <w:p w14:paraId="44DE9EA7" w14:textId="31BA3780" w:rsidR="007A171C" w:rsidRPr="001E4F9D" w:rsidRDefault="00000000">
      <w:pPr>
        <w:pStyle w:val="Heading2"/>
        <w:rPr>
          <w:rFonts w:ascii="Calibri" w:hAnsi="Calibri" w:cs="Calibri"/>
          <w:color w:val="000000" w:themeColor="text1"/>
          <w:sz w:val="20"/>
          <w:szCs w:val="28"/>
          <w:lang w:val="en-GB"/>
        </w:rPr>
      </w:pPr>
      <w:bookmarkStart w:id="1" w:name="_Toc235173323"/>
      <w:r w:rsidRPr="001E4F9D">
        <w:rPr>
          <w:rFonts w:ascii="Calibri" w:hAnsi="Calibri" w:cs="Calibri"/>
          <w:color w:val="000000" w:themeColor="text1"/>
          <w:sz w:val="20"/>
          <w:szCs w:val="28"/>
          <w:lang w:val="en-GB"/>
        </w:rPr>
        <w:t>1. Scope</w:t>
      </w:r>
      <w:bookmarkEnd w:id="1"/>
      <w:r w:rsidRPr="001E4F9D">
        <w:rPr>
          <w:rFonts w:ascii="Calibri" w:hAnsi="Calibri" w:cs="Calibri"/>
          <w:color w:val="000000" w:themeColor="text1"/>
          <w:sz w:val="20"/>
          <w:szCs w:val="28"/>
          <w:lang w:val="en-GB"/>
        </w:rPr>
        <w:t xml:space="preserve"> </w:t>
      </w:r>
    </w:p>
    <w:p w14:paraId="4142C904" w14:textId="66DFC5F5" w:rsidR="00BE60AD" w:rsidRPr="001E4F9D" w:rsidRDefault="00BE60AD" w:rsidP="00BE60AD">
      <w:pPr>
        <w:rPr>
          <w:rFonts w:ascii="Calibri" w:hAnsi="Calibri" w:cs="Calibri"/>
          <w:lang w:val="en-GB"/>
        </w:rPr>
      </w:pPr>
      <w:r w:rsidRPr="001E4F9D">
        <w:rPr>
          <w:rFonts w:ascii="Calibri" w:hAnsi="Calibri" w:cs="Calibri"/>
          <w:lang w:val="en-GB"/>
        </w:rPr>
        <w:t>Scope: considers the weapons system under normal operating conditions during operations (active war/training situations). Operating conditions requires the system to function both in high/ low climates and humidities, where particulate/ water ingress is likely. Ammunition is considered only when housed within the magazine and issued to an operator, and ends when it has been unloaded, cleared, and returned to safe storage.</w:t>
      </w:r>
    </w:p>
    <w:p w14:paraId="2B794ADB" w14:textId="515CC96D" w:rsidR="007A171C" w:rsidRPr="001E4F9D" w:rsidRDefault="00000000">
      <w:pPr>
        <w:pStyle w:val="Heading3"/>
        <w:rPr>
          <w:rFonts w:ascii="Calibri" w:hAnsi="Calibri" w:cs="Calibri"/>
          <w:color w:val="000000" w:themeColor="text1"/>
          <w:sz w:val="20"/>
          <w:szCs w:val="20"/>
          <w:lang w:val="en-GB"/>
        </w:rPr>
      </w:pPr>
      <w:bookmarkStart w:id="2" w:name="_Toc235173324"/>
      <w:r w:rsidRPr="001E4F9D">
        <w:rPr>
          <w:rFonts w:ascii="Calibri" w:hAnsi="Calibri" w:cs="Calibri"/>
          <w:color w:val="000000" w:themeColor="text1"/>
          <w:sz w:val="20"/>
          <w:szCs w:val="20"/>
          <w:lang w:val="en-GB"/>
        </w:rPr>
        <w:t>1.1 Task description</w:t>
      </w:r>
      <w:bookmarkEnd w:id="2"/>
    </w:p>
    <w:p w14:paraId="67397365"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The system assessed is an AK-47-pattern personal weapon issued to a trained operator with a loaded magazine. The activity includes issue from secure storage, carrying, loading, live firing, movement while armed, dealing with stoppages, unloading, proving the weapon clear, basic cleaning and return to storage. The assessment covers normal training and operational use. It also considers hot and cold conditions, high humidity, rain, dust, mud and possible water or dirt entering the weapon.</w:t>
      </w:r>
    </w:p>
    <w:p w14:paraId="220CE09B"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The assessment starts when ammunition is loaded into the magazine and issued with the weapon. It ends when the weapon has been unloaded, checked clear, the ammunition has been accounted for, and both the weapon and ammunition have been returned to authorised storage. The manufacture of the weapon or ammunition, major repair work, disposal of unexploded ammunition and effects outside the approved danger area are not included.</w:t>
      </w:r>
    </w:p>
    <w:p w14:paraId="631157E6" w14:textId="5DE911CD" w:rsidR="007A171C" w:rsidRPr="001E4F9D" w:rsidRDefault="00000000">
      <w:pPr>
        <w:pStyle w:val="Heading3"/>
        <w:rPr>
          <w:rFonts w:ascii="Calibri" w:hAnsi="Calibri" w:cs="Calibri"/>
          <w:color w:val="000000" w:themeColor="text1"/>
          <w:sz w:val="20"/>
          <w:szCs w:val="20"/>
          <w:lang w:val="en-GB"/>
        </w:rPr>
      </w:pPr>
      <w:bookmarkStart w:id="3" w:name="_Toc235173325"/>
      <w:r w:rsidRPr="001E4F9D">
        <w:rPr>
          <w:rFonts w:ascii="Calibri" w:hAnsi="Calibri" w:cs="Calibri"/>
          <w:color w:val="000000" w:themeColor="text1"/>
          <w:sz w:val="20"/>
          <w:szCs w:val="20"/>
          <w:lang w:val="en-GB"/>
        </w:rPr>
        <w:t>1.2 Purpose</w:t>
      </w:r>
      <w:bookmarkEnd w:id="3"/>
    </w:p>
    <w:p w14:paraId="2B65F83C"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The purpose of this assessment is to identify realistic hazards, estimate the risk before controls are added, describe the controls required and then estimate the remaining risk. The assessment is written for range managers, instructors, weapon users, armourers and safety staff. The wording is clear and practical so that the findings can be understood and used during planning and supervision.</w:t>
      </w:r>
    </w:p>
    <w:p w14:paraId="01F0DBEF"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 xml:space="preserve">Only open-source and unclassified information </w:t>
      </w:r>
      <w:proofErr w:type="gramStart"/>
      <w:r w:rsidRPr="001E4F9D">
        <w:rPr>
          <w:rFonts w:ascii="Calibri" w:hAnsi="Calibri" w:cs="Calibri"/>
          <w:color w:val="000000" w:themeColor="text1"/>
          <w:lang w:val="en-GB"/>
        </w:rPr>
        <w:t>has</w:t>
      </w:r>
      <w:proofErr w:type="gramEnd"/>
      <w:r w:rsidRPr="001E4F9D">
        <w:rPr>
          <w:rFonts w:ascii="Calibri" w:hAnsi="Calibri" w:cs="Calibri"/>
          <w:color w:val="000000" w:themeColor="text1"/>
          <w:lang w:val="en-GB"/>
        </w:rPr>
        <w:t xml:space="preserve"> been used. It is assumed that the weapon and ammunition are approved, the operator has received the required </w:t>
      </w:r>
      <w:proofErr w:type="gramStart"/>
      <w:r w:rsidRPr="001E4F9D">
        <w:rPr>
          <w:rFonts w:ascii="Calibri" w:hAnsi="Calibri" w:cs="Calibri"/>
          <w:color w:val="000000" w:themeColor="text1"/>
          <w:lang w:val="en-GB"/>
        </w:rPr>
        <w:t>training</w:t>
      </w:r>
      <w:proofErr w:type="gramEnd"/>
      <w:r w:rsidRPr="001E4F9D">
        <w:rPr>
          <w:rFonts w:ascii="Calibri" w:hAnsi="Calibri" w:cs="Calibri"/>
          <w:color w:val="000000" w:themeColor="text1"/>
          <w:lang w:val="en-GB"/>
        </w:rPr>
        <w:t xml:space="preserve"> and the activity is controlled by appointed staff. The assessment also allows for human error, tiredness, worn equipment and difficult weather or environmental conditions.</w:t>
      </w:r>
    </w:p>
    <w:p w14:paraId="6887BE05" w14:textId="0F26F692" w:rsidR="007A171C" w:rsidRPr="001E4F9D" w:rsidRDefault="00000000">
      <w:pPr>
        <w:pStyle w:val="Heading3"/>
        <w:rPr>
          <w:rFonts w:ascii="Calibri" w:hAnsi="Calibri" w:cs="Calibri"/>
          <w:color w:val="000000" w:themeColor="text1"/>
          <w:sz w:val="20"/>
          <w:szCs w:val="20"/>
          <w:lang w:val="en-GB"/>
        </w:rPr>
      </w:pPr>
      <w:bookmarkStart w:id="4" w:name="_Toc235173326"/>
      <w:r w:rsidRPr="001E4F9D">
        <w:rPr>
          <w:rFonts w:ascii="Calibri" w:hAnsi="Calibri" w:cs="Calibri"/>
          <w:color w:val="000000" w:themeColor="text1"/>
          <w:sz w:val="20"/>
          <w:szCs w:val="20"/>
          <w:lang w:val="en-GB"/>
        </w:rPr>
        <w:t>1.</w:t>
      </w:r>
      <w:r w:rsidR="0048467F" w:rsidRPr="001E4F9D">
        <w:rPr>
          <w:rFonts w:ascii="Calibri" w:hAnsi="Calibri" w:cs="Calibri"/>
          <w:color w:val="000000" w:themeColor="text1"/>
          <w:sz w:val="20"/>
          <w:szCs w:val="20"/>
          <w:lang w:val="en-GB"/>
        </w:rPr>
        <w:t>3</w:t>
      </w:r>
      <w:r w:rsidRPr="001E4F9D">
        <w:rPr>
          <w:rFonts w:ascii="Calibri" w:hAnsi="Calibri" w:cs="Calibri"/>
          <w:color w:val="000000" w:themeColor="text1"/>
          <w:sz w:val="20"/>
          <w:szCs w:val="20"/>
          <w:lang w:val="en-GB"/>
        </w:rPr>
        <w:t xml:space="preserve"> Risk estimation and ALARP position</w:t>
      </w:r>
      <w:bookmarkEnd w:id="4"/>
    </w:p>
    <w:p w14:paraId="3A91C2F3"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Risk is estimated by combining likelihood and severity in the improved 5 x 5 matrix. The pre-control score shows the risk before the extra controls are applied. The post-control score shows the remaining risk when the controls are in place, checked and maintained. Severity usually stays the same because most controls reduce the chance of the event, not the harm that could result if it still happened.</w:t>
      </w:r>
    </w:p>
    <w:p w14:paraId="04F0A4CB"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 xml:space="preserve">Part 1 does not include a full ALARP argument for every hazard. However, the controls are intended to reduce each risk to a tolerable or broadly acceptable level. Class A risks are </w:t>
      </w:r>
      <w:proofErr w:type="gramStart"/>
      <w:r w:rsidRPr="001E4F9D">
        <w:rPr>
          <w:rFonts w:ascii="Calibri" w:hAnsi="Calibri" w:cs="Calibri"/>
          <w:color w:val="000000" w:themeColor="text1"/>
          <w:lang w:val="en-GB"/>
        </w:rPr>
        <w:t>unacceptable</w:t>
      </w:r>
      <w:proofErr w:type="gramEnd"/>
      <w:r w:rsidRPr="001E4F9D">
        <w:rPr>
          <w:rFonts w:ascii="Calibri" w:hAnsi="Calibri" w:cs="Calibri"/>
          <w:color w:val="000000" w:themeColor="text1"/>
          <w:lang w:val="en-GB"/>
        </w:rPr>
        <w:t xml:space="preserve"> and the activity must not continue. Class B risks need further reduction and a recorded ALARP decision. Class C risks are tolerable only while the controls remain effective. Class D risks are broadly acceptable but still require normal monitoring and review.</w:t>
      </w:r>
    </w:p>
    <w:p w14:paraId="1EEEC249" w14:textId="4A25B769" w:rsidR="007A171C" w:rsidRPr="001E4F9D" w:rsidRDefault="00000000">
      <w:pPr>
        <w:pStyle w:val="Heading3"/>
        <w:rPr>
          <w:rFonts w:ascii="Calibri" w:hAnsi="Calibri" w:cs="Calibri"/>
          <w:color w:val="000000" w:themeColor="text1"/>
          <w:sz w:val="20"/>
          <w:szCs w:val="20"/>
          <w:lang w:val="en-GB"/>
        </w:rPr>
      </w:pPr>
      <w:bookmarkStart w:id="5" w:name="_Toc235173327"/>
      <w:r w:rsidRPr="001E4F9D">
        <w:rPr>
          <w:rFonts w:ascii="Calibri" w:hAnsi="Calibri" w:cs="Calibri"/>
          <w:color w:val="000000" w:themeColor="text1"/>
          <w:sz w:val="20"/>
          <w:szCs w:val="20"/>
          <w:lang w:val="en-GB"/>
        </w:rPr>
        <w:t>1.</w:t>
      </w:r>
      <w:r w:rsidR="0048467F" w:rsidRPr="001E4F9D">
        <w:rPr>
          <w:rFonts w:ascii="Calibri" w:hAnsi="Calibri" w:cs="Calibri"/>
          <w:color w:val="000000" w:themeColor="text1"/>
          <w:sz w:val="20"/>
          <w:szCs w:val="20"/>
          <w:lang w:val="en-GB"/>
        </w:rPr>
        <w:t>4</w:t>
      </w:r>
      <w:r w:rsidRPr="001E4F9D">
        <w:rPr>
          <w:rFonts w:ascii="Calibri" w:hAnsi="Calibri" w:cs="Calibri"/>
          <w:color w:val="000000" w:themeColor="text1"/>
          <w:sz w:val="20"/>
          <w:szCs w:val="20"/>
          <w:lang w:val="en-GB"/>
        </w:rPr>
        <w:t xml:space="preserve"> Control selection and good practice</w:t>
      </w:r>
      <w:bookmarkEnd w:id="5"/>
    </w:p>
    <w:p w14:paraId="48A02962"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The controls follow the hierarchy of control. Where possible, the hazard is removed or reduced at source. Engineering controls and safe range design are preferred to procedures and personal protective equipment. Supervision, training, inspection and maintenance provide further protection. PPE is used when risk remains, but it is not relied on as the only control. This approach follows HSE guidance for noise, hazardous substances, manual handling and work equipment [2]-[4], [10].</w:t>
      </w:r>
    </w:p>
    <w:p w14:paraId="43607DA7"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 xml:space="preserve">For noise and firing-range contamination, the assessment also uses open-access research and public health guidance. Firearm noise can cause permanent hearing </w:t>
      </w:r>
      <w:proofErr w:type="gramStart"/>
      <w:r w:rsidRPr="001E4F9D">
        <w:rPr>
          <w:rFonts w:ascii="Calibri" w:hAnsi="Calibri" w:cs="Calibri"/>
          <w:color w:val="000000" w:themeColor="text1"/>
          <w:lang w:val="en-GB"/>
        </w:rPr>
        <w:t>damage,</w:t>
      </w:r>
      <w:proofErr w:type="gramEnd"/>
      <w:r w:rsidRPr="001E4F9D">
        <w:rPr>
          <w:rFonts w:ascii="Calibri" w:hAnsi="Calibri" w:cs="Calibri"/>
          <w:color w:val="000000" w:themeColor="text1"/>
          <w:lang w:val="en-GB"/>
        </w:rPr>
        <w:t xml:space="preserve"> while firing and cleaning can create lead contamination in the air and on surfaces [1], [5]-[9]. The evidence supports reducing exposure, using effective ventilation, controlling access, providing suitable hearing protection, maintaining good hygiene, cleaning correctly and using health surveillance.</w:t>
      </w:r>
    </w:p>
    <w:p w14:paraId="4DDA2928" w14:textId="77777777" w:rsidR="0048467F" w:rsidRPr="001E4F9D" w:rsidRDefault="0048467F">
      <w:pPr>
        <w:spacing w:after="60" w:line="245" w:lineRule="auto"/>
        <w:rPr>
          <w:rFonts w:ascii="Calibri" w:hAnsi="Calibri" w:cs="Calibri"/>
          <w:color w:val="000000" w:themeColor="text1"/>
          <w:lang w:val="en-GB"/>
        </w:rPr>
      </w:pPr>
    </w:p>
    <w:p w14:paraId="02B86C87" w14:textId="77777777" w:rsidR="0048467F" w:rsidRPr="001E4F9D" w:rsidRDefault="0048467F">
      <w:pPr>
        <w:spacing w:after="60" w:line="245" w:lineRule="auto"/>
        <w:rPr>
          <w:rFonts w:ascii="Calibri" w:hAnsi="Calibri" w:cs="Calibri"/>
          <w:color w:val="000000" w:themeColor="text1"/>
          <w:lang w:val="en-GB"/>
        </w:rPr>
      </w:pPr>
    </w:p>
    <w:p w14:paraId="364D7501" w14:textId="77777777" w:rsidR="0048467F" w:rsidRPr="001E4F9D" w:rsidRDefault="0048467F">
      <w:pPr>
        <w:spacing w:after="60" w:line="245" w:lineRule="auto"/>
        <w:rPr>
          <w:rFonts w:ascii="Calibri" w:hAnsi="Calibri" w:cs="Calibri"/>
          <w:color w:val="000000" w:themeColor="text1"/>
          <w:lang w:val="en-GB"/>
        </w:rPr>
      </w:pPr>
    </w:p>
    <w:p w14:paraId="766D62AF" w14:textId="77777777" w:rsidR="0048467F" w:rsidRPr="001E4F9D" w:rsidRDefault="0048467F">
      <w:pPr>
        <w:spacing w:after="60" w:line="245" w:lineRule="auto"/>
        <w:rPr>
          <w:rFonts w:ascii="Calibri" w:hAnsi="Calibri" w:cs="Calibri"/>
          <w:color w:val="000000" w:themeColor="text1"/>
          <w:lang w:val="en-GB"/>
        </w:rPr>
      </w:pPr>
    </w:p>
    <w:p w14:paraId="67C13C78" w14:textId="77777777" w:rsidR="007A171C" w:rsidRPr="001E4F9D" w:rsidRDefault="00000000">
      <w:pPr>
        <w:pStyle w:val="Heading2"/>
        <w:rPr>
          <w:rFonts w:ascii="Calibri" w:hAnsi="Calibri" w:cs="Calibri"/>
          <w:color w:val="000000" w:themeColor="text1"/>
          <w:szCs w:val="24"/>
          <w:lang w:val="en-GB"/>
        </w:rPr>
      </w:pPr>
      <w:bookmarkStart w:id="6" w:name="_Toc235173328"/>
      <w:r w:rsidRPr="001E4F9D">
        <w:rPr>
          <w:rFonts w:ascii="Calibri" w:hAnsi="Calibri" w:cs="Calibri"/>
          <w:color w:val="000000" w:themeColor="text1"/>
          <w:szCs w:val="24"/>
          <w:lang w:val="en-GB"/>
        </w:rPr>
        <w:lastRenderedPageBreak/>
        <w:t>2. Review and improvement of the risk matrix</w:t>
      </w:r>
      <w:bookmarkEnd w:id="6"/>
    </w:p>
    <w:p w14:paraId="7B39A866" w14:textId="77777777" w:rsidR="007A171C" w:rsidRPr="001E4F9D" w:rsidRDefault="00000000">
      <w:pPr>
        <w:pStyle w:val="Heading3"/>
        <w:rPr>
          <w:rFonts w:ascii="Calibri" w:hAnsi="Calibri" w:cs="Calibri"/>
          <w:color w:val="000000" w:themeColor="text1"/>
          <w:sz w:val="20"/>
          <w:szCs w:val="20"/>
          <w:lang w:val="en-GB"/>
        </w:rPr>
      </w:pPr>
      <w:bookmarkStart w:id="7" w:name="_Toc235173329"/>
      <w:r w:rsidRPr="001E4F9D">
        <w:rPr>
          <w:rFonts w:ascii="Calibri" w:hAnsi="Calibri" w:cs="Calibri"/>
          <w:color w:val="000000" w:themeColor="text1"/>
          <w:sz w:val="20"/>
          <w:szCs w:val="20"/>
          <w:lang w:val="en-GB"/>
        </w:rPr>
        <w:t>2.1 Initial weighted matrix (superseded)</w:t>
      </w:r>
      <w:bookmarkEnd w:id="7"/>
    </w:p>
    <w:tbl>
      <w:tblPr>
        <w:tblStyle w:val="TableGrid"/>
        <w:tblW w:w="0" w:type="auto"/>
        <w:jc w:val="center"/>
        <w:tblLook w:val="04A0" w:firstRow="1" w:lastRow="0" w:firstColumn="1" w:lastColumn="0" w:noHBand="0" w:noVBand="1"/>
      </w:tblPr>
      <w:tblGrid>
        <w:gridCol w:w="1413"/>
        <w:gridCol w:w="1413"/>
        <w:gridCol w:w="1413"/>
        <w:gridCol w:w="1413"/>
        <w:gridCol w:w="1413"/>
        <w:gridCol w:w="1413"/>
        <w:gridCol w:w="1413"/>
      </w:tblGrid>
      <w:tr w:rsidR="007A171C" w:rsidRPr="001E4F9D" w14:paraId="0E6C4A66" w14:textId="77777777">
        <w:trPr>
          <w:jc w:val="center"/>
        </w:trPr>
        <w:tc>
          <w:tcPr>
            <w:tcW w:w="1413" w:type="dxa"/>
          </w:tcPr>
          <w:p w14:paraId="6DFE44F7" w14:textId="77777777" w:rsidR="007A171C" w:rsidRPr="001E4F9D" w:rsidRDefault="007A171C">
            <w:pPr>
              <w:rPr>
                <w:rFonts w:ascii="Calibri" w:hAnsi="Calibri" w:cs="Calibri"/>
                <w:lang w:val="en-GB"/>
              </w:rPr>
            </w:pPr>
          </w:p>
        </w:tc>
        <w:tc>
          <w:tcPr>
            <w:tcW w:w="1413" w:type="dxa"/>
          </w:tcPr>
          <w:p w14:paraId="4EA8B7EF" w14:textId="77777777" w:rsidR="007A171C" w:rsidRPr="001E4F9D" w:rsidRDefault="007A171C">
            <w:pPr>
              <w:rPr>
                <w:rFonts w:ascii="Calibri" w:hAnsi="Calibri" w:cs="Calibri"/>
                <w:lang w:val="en-GB"/>
              </w:rPr>
            </w:pPr>
          </w:p>
        </w:tc>
        <w:tc>
          <w:tcPr>
            <w:tcW w:w="7065" w:type="dxa"/>
            <w:gridSpan w:val="5"/>
            <w:vAlign w:val="center"/>
          </w:tcPr>
          <w:p w14:paraId="39A51D92" w14:textId="77777777" w:rsidR="007A171C" w:rsidRPr="001E4F9D" w:rsidRDefault="00000000">
            <w:pPr>
              <w:spacing w:after="0"/>
              <w:rPr>
                <w:rFonts w:ascii="Calibri" w:hAnsi="Calibri" w:cs="Calibri"/>
                <w:lang w:val="en-GB"/>
              </w:rPr>
            </w:pPr>
            <w:r w:rsidRPr="001E4F9D">
              <w:rPr>
                <w:rFonts w:ascii="Calibri" w:hAnsi="Calibri" w:cs="Calibri"/>
                <w:b/>
                <w:sz w:val="16"/>
                <w:lang w:val="en-GB"/>
              </w:rPr>
              <w:t>Likelihood level</w:t>
            </w:r>
          </w:p>
        </w:tc>
      </w:tr>
      <w:tr w:rsidR="007A171C" w:rsidRPr="001E4F9D" w14:paraId="79326569" w14:textId="77777777">
        <w:trPr>
          <w:jc w:val="center"/>
        </w:trPr>
        <w:tc>
          <w:tcPr>
            <w:tcW w:w="1413" w:type="dxa"/>
            <w:vAlign w:val="center"/>
          </w:tcPr>
          <w:p w14:paraId="6B6EF528"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Severity level</w:t>
            </w:r>
          </w:p>
        </w:tc>
        <w:tc>
          <w:tcPr>
            <w:tcW w:w="1413" w:type="dxa"/>
            <w:vAlign w:val="center"/>
          </w:tcPr>
          <w:p w14:paraId="1ABFF206"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Severity weight</w:t>
            </w:r>
          </w:p>
        </w:tc>
        <w:tc>
          <w:tcPr>
            <w:tcW w:w="1413" w:type="dxa"/>
            <w:vAlign w:val="center"/>
          </w:tcPr>
          <w:p w14:paraId="50B498A2"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5</w:t>
            </w:r>
            <w:r w:rsidRPr="001E4F9D">
              <w:rPr>
                <w:rFonts w:ascii="Calibri" w:hAnsi="Calibri" w:cs="Calibri"/>
                <w:b/>
                <w:sz w:val="14"/>
                <w:lang w:val="en-GB"/>
              </w:rPr>
              <w:br/>
              <w:t>(weight 9)</w:t>
            </w:r>
          </w:p>
        </w:tc>
        <w:tc>
          <w:tcPr>
            <w:tcW w:w="1413" w:type="dxa"/>
            <w:vAlign w:val="center"/>
          </w:tcPr>
          <w:p w14:paraId="3B50717E"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4</w:t>
            </w:r>
            <w:r w:rsidRPr="001E4F9D">
              <w:rPr>
                <w:rFonts w:ascii="Calibri" w:hAnsi="Calibri" w:cs="Calibri"/>
                <w:b/>
                <w:sz w:val="14"/>
                <w:lang w:val="en-GB"/>
              </w:rPr>
              <w:br/>
              <w:t>(weight 4)</w:t>
            </w:r>
          </w:p>
        </w:tc>
        <w:tc>
          <w:tcPr>
            <w:tcW w:w="1413" w:type="dxa"/>
            <w:vAlign w:val="center"/>
          </w:tcPr>
          <w:p w14:paraId="181EC52B"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3</w:t>
            </w:r>
            <w:r w:rsidRPr="001E4F9D">
              <w:rPr>
                <w:rFonts w:ascii="Calibri" w:hAnsi="Calibri" w:cs="Calibri"/>
                <w:b/>
                <w:sz w:val="14"/>
                <w:lang w:val="en-GB"/>
              </w:rPr>
              <w:br/>
              <w:t>(weight 3)</w:t>
            </w:r>
          </w:p>
        </w:tc>
        <w:tc>
          <w:tcPr>
            <w:tcW w:w="1413" w:type="dxa"/>
            <w:vAlign w:val="center"/>
          </w:tcPr>
          <w:p w14:paraId="6F7EC6A7"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2</w:t>
            </w:r>
            <w:r w:rsidRPr="001E4F9D">
              <w:rPr>
                <w:rFonts w:ascii="Calibri" w:hAnsi="Calibri" w:cs="Calibri"/>
                <w:b/>
                <w:sz w:val="14"/>
                <w:lang w:val="en-GB"/>
              </w:rPr>
              <w:br/>
              <w:t>(weight 2)</w:t>
            </w:r>
          </w:p>
        </w:tc>
        <w:tc>
          <w:tcPr>
            <w:tcW w:w="1413" w:type="dxa"/>
            <w:vAlign w:val="center"/>
          </w:tcPr>
          <w:p w14:paraId="6D97F22C"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1</w:t>
            </w:r>
            <w:r w:rsidRPr="001E4F9D">
              <w:rPr>
                <w:rFonts w:ascii="Calibri" w:hAnsi="Calibri" w:cs="Calibri"/>
                <w:b/>
                <w:sz w:val="14"/>
                <w:lang w:val="en-GB"/>
              </w:rPr>
              <w:br/>
              <w:t>(weight 1)</w:t>
            </w:r>
          </w:p>
        </w:tc>
      </w:tr>
      <w:tr w:rsidR="007A171C" w:rsidRPr="001E4F9D" w14:paraId="1222DF54" w14:textId="77777777">
        <w:trPr>
          <w:jc w:val="center"/>
        </w:trPr>
        <w:tc>
          <w:tcPr>
            <w:tcW w:w="1413" w:type="dxa"/>
            <w:vAlign w:val="center"/>
          </w:tcPr>
          <w:p w14:paraId="1D696ED9" w14:textId="77777777" w:rsidR="007A171C" w:rsidRPr="001E4F9D" w:rsidRDefault="00000000">
            <w:pPr>
              <w:spacing w:after="0"/>
              <w:rPr>
                <w:rFonts w:ascii="Calibri" w:hAnsi="Calibri" w:cs="Calibri"/>
                <w:lang w:val="en-GB"/>
              </w:rPr>
            </w:pPr>
            <w:r w:rsidRPr="001E4F9D">
              <w:rPr>
                <w:rFonts w:ascii="Calibri" w:hAnsi="Calibri" w:cs="Calibri"/>
                <w:b/>
                <w:sz w:val="16"/>
                <w:lang w:val="en-GB"/>
              </w:rPr>
              <w:t>5</w:t>
            </w:r>
          </w:p>
        </w:tc>
        <w:tc>
          <w:tcPr>
            <w:tcW w:w="1413" w:type="dxa"/>
            <w:vAlign w:val="center"/>
          </w:tcPr>
          <w:p w14:paraId="70CE3E7D" w14:textId="77777777" w:rsidR="007A171C" w:rsidRPr="001E4F9D" w:rsidRDefault="00000000">
            <w:pPr>
              <w:spacing w:after="0"/>
              <w:rPr>
                <w:rFonts w:ascii="Calibri" w:hAnsi="Calibri" w:cs="Calibri"/>
                <w:lang w:val="en-GB"/>
              </w:rPr>
            </w:pPr>
            <w:r w:rsidRPr="001E4F9D">
              <w:rPr>
                <w:rFonts w:ascii="Calibri" w:hAnsi="Calibri" w:cs="Calibri"/>
                <w:b/>
                <w:sz w:val="16"/>
                <w:lang w:val="en-GB"/>
              </w:rPr>
              <w:t>15</w:t>
            </w:r>
          </w:p>
        </w:tc>
        <w:tc>
          <w:tcPr>
            <w:tcW w:w="1413" w:type="dxa"/>
            <w:shd w:val="clear" w:color="auto" w:fill="FF0000"/>
            <w:vAlign w:val="center"/>
          </w:tcPr>
          <w:p w14:paraId="33404270"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135</w:t>
            </w:r>
            <w:r w:rsidRPr="001E4F9D">
              <w:rPr>
                <w:rFonts w:ascii="Calibri" w:hAnsi="Calibri" w:cs="Calibri"/>
                <w:b/>
                <w:sz w:val="14"/>
                <w:lang w:val="en-GB"/>
              </w:rPr>
              <w:br/>
              <w:t>Class A</w:t>
            </w:r>
          </w:p>
        </w:tc>
        <w:tc>
          <w:tcPr>
            <w:tcW w:w="1413" w:type="dxa"/>
            <w:shd w:val="clear" w:color="auto" w:fill="FF0000"/>
            <w:vAlign w:val="center"/>
          </w:tcPr>
          <w:p w14:paraId="43419449"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60</w:t>
            </w:r>
            <w:r w:rsidRPr="001E4F9D">
              <w:rPr>
                <w:rFonts w:ascii="Calibri" w:hAnsi="Calibri" w:cs="Calibri"/>
                <w:b/>
                <w:sz w:val="14"/>
                <w:lang w:val="en-GB"/>
              </w:rPr>
              <w:br/>
              <w:t>Class A</w:t>
            </w:r>
          </w:p>
        </w:tc>
        <w:tc>
          <w:tcPr>
            <w:tcW w:w="1413" w:type="dxa"/>
            <w:shd w:val="clear" w:color="auto" w:fill="FF0000"/>
            <w:vAlign w:val="center"/>
          </w:tcPr>
          <w:p w14:paraId="45E286F1"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45</w:t>
            </w:r>
            <w:r w:rsidRPr="001E4F9D">
              <w:rPr>
                <w:rFonts w:ascii="Calibri" w:hAnsi="Calibri" w:cs="Calibri"/>
                <w:b/>
                <w:sz w:val="14"/>
                <w:lang w:val="en-GB"/>
              </w:rPr>
              <w:br/>
              <w:t>Class A</w:t>
            </w:r>
          </w:p>
        </w:tc>
        <w:tc>
          <w:tcPr>
            <w:tcW w:w="1413" w:type="dxa"/>
            <w:shd w:val="clear" w:color="auto" w:fill="FF0000"/>
            <w:vAlign w:val="center"/>
          </w:tcPr>
          <w:p w14:paraId="1E5F9DE6"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30</w:t>
            </w:r>
            <w:r w:rsidRPr="001E4F9D">
              <w:rPr>
                <w:rFonts w:ascii="Calibri" w:hAnsi="Calibri" w:cs="Calibri"/>
                <w:b/>
                <w:sz w:val="14"/>
                <w:lang w:val="en-GB"/>
              </w:rPr>
              <w:br/>
              <w:t>Class A</w:t>
            </w:r>
          </w:p>
        </w:tc>
        <w:tc>
          <w:tcPr>
            <w:tcW w:w="1413" w:type="dxa"/>
            <w:shd w:val="clear" w:color="auto" w:fill="FFC000"/>
            <w:vAlign w:val="center"/>
          </w:tcPr>
          <w:p w14:paraId="55394BEE"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15</w:t>
            </w:r>
            <w:r w:rsidRPr="001E4F9D">
              <w:rPr>
                <w:rFonts w:ascii="Calibri" w:hAnsi="Calibri" w:cs="Calibri"/>
                <w:b/>
                <w:sz w:val="14"/>
                <w:lang w:val="en-GB"/>
              </w:rPr>
              <w:br/>
              <w:t>Class B</w:t>
            </w:r>
          </w:p>
        </w:tc>
      </w:tr>
      <w:tr w:rsidR="007A171C" w:rsidRPr="001E4F9D" w14:paraId="7B2D483C" w14:textId="77777777">
        <w:trPr>
          <w:jc w:val="center"/>
        </w:trPr>
        <w:tc>
          <w:tcPr>
            <w:tcW w:w="1413" w:type="dxa"/>
            <w:vAlign w:val="center"/>
          </w:tcPr>
          <w:p w14:paraId="5EDE4246" w14:textId="77777777" w:rsidR="007A171C" w:rsidRPr="001E4F9D" w:rsidRDefault="00000000">
            <w:pPr>
              <w:spacing w:after="0"/>
              <w:rPr>
                <w:rFonts w:ascii="Calibri" w:hAnsi="Calibri" w:cs="Calibri"/>
                <w:lang w:val="en-GB"/>
              </w:rPr>
            </w:pPr>
            <w:r w:rsidRPr="001E4F9D">
              <w:rPr>
                <w:rFonts w:ascii="Calibri" w:hAnsi="Calibri" w:cs="Calibri"/>
                <w:b/>
                <w:sz w:val="16"/>
                <w:lang w:val="en-GB"/>
              </w:rPr>
              <w:t>4</w:t>
            </w:r>
          </w:p>
        </w:tc>
        <w:tc>
          <w:tcPr>
            <w:tcW w:w="1413" w:type="dxa"/>
            <w:vAlign w:val="center"/>
          </w:tcPr>
          <w:p w14:paraId="0FA17071" w14:textId="77777777" w:rsidR="007A171C" w:rsidRPr="001E4F9D" w:rsidRDefault="00000000">
            <w:pPr>
              <w:spacing w:after="0"/>
              <w:rPr>
                <w:rFonts w:ascii="Calibri" w:hAnsi="Calibri" w:cs="Calibri"/>
                <w:lang w:val="en-GB"/>
              </w:rPr>
            </w:pPr>
            <w:r w:rsidRPr="001E4F9D">
              <w:rPr>
                <w:rFonts w:ascii="Calibri" w:hAnsi="Calibri" w:cs="Calibri"/>
                <w:b/>
                <w:sz w:val="16"/>
                <w:lang w:val="en-GB"/>
              </w:rPr>
              <w:t>9</w:t>
            </w:r>
          </w:p>
        </w:tc>
        <w:tc>
          <w:tcPr>
            <w:tcW w:w="1413" w:type="dxa"/>
            <w:shd w:val="clear" w:color="auto" w:fill="FF0000"/>
            <w:vAlign w:val="center"/>
          </w:tcPr>
          <w:p w14:paraId="3F635FF0"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81</w:t>
            </w:r>
            <w:r w:rsidRPr="001E4F9D">
              <w:rPr>
                <w:rFonts w:ascii="Calibri" w:hAnsi="Calibri" w:cs="Calibri"/>
                <w:b/>
                <w:sz w:val="14"/>
                <w:lang w:val="en-GB"/>
              </w:rPr>
              <w:br/>
              <w:t>Class A</w:t>
            </w:r>
          </w:p>
        </w:tc>
        <w:tc>
          <w:tcPr>
            <w:tcW w:w="1413" w:type="dxa"/>
            <w:shd w:val="clear" w:color="auto" w:fill="FF0000"/>
            <w:vAlign w:val="center"/>
          </w:tcPr>
          <w:p w14:paraId="62645F90"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36</w:t>
            </w:r>
            <w:r w:rsidRPr="001E4F9D">
              <w:rPr>
                <w:rFonts w:ascii="Calibri" w:hAnsi="Calibri" w:cs="Calibri"/>
                <w:b/>
                <w:sz w:val="14"/>
                <w:lang w:val="en-GB"/>
              </w:rPr>
              <w:br/>
              <w:t>Class A</w:t>
            </w:r>
          </w:p>
        </w:tc>
        <w:tc>
          <w:tcPr>
            <w:tcW w:w="1413" w:type="dxa"/>
            <w:shd w:val="clear" w:color="auto" w:fill="FF0000"/>
            <w:vAlign w:val="center"/>
          </w:tcPr>
          <w:p w14:paraId="3FB30E4D"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27</w:t>
            </w:r>
            <w:r w:rsidRPr="001E4F9D">
              <w:rPr>
                <w:rFonts w:ascii="Calibri" w:hAnsi="Calibri" w:cs="Calibri"/>
                <w:b/>
                <w:sz w:val="14"/>
                <w:lang w:val="en-GB"/>
              </w:rPr>
              <w:br/>
              <w:t>Class A</w:t>
            </w:r>
          </w:p>
        </w:tc>
        <w:tc>
          <w:tcPr>
            <w:tcW w:w="1413" w:type="dxa"/>
            <w:shd w:val="clear" w:color="auto" w:fill="FFC000"/>
            <w:vAlign w:val="center"/>
          </w:tcPr>
          <w:p w14:paraId="53386488"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18</w:t>
            </w:r>
            <w:r w:rsidRPr="001E4F9D">
              <w:rPr>
                <w:rFonts w:ascii="Calibri" w:hAnsi="Calibri" w:cs="Calibri"/>
                <w:b/>
                <w:sz w:val="14"/>
                <w:lang w:val="en-GB"/>
              </w:rPr>
              <w:br/>
              <w:t>Class B</w:t>
            </w:r>
          </w:p>
        </w:tc>
        <w:tc>
          <w:tcPr>
            <w:tcW w:w="1413" w:type="dxa"/>
            <w:shd w:val="clear" w:color="auto" w:fill="FFFF00"/>
            <w:vAlign w:val="center"/>
          </w:tcPr>
          <w:p w14:paraId="357596F7"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9</w:t>
            </w:r>
            <w:r w:rsidRPr="001E4F9D">
              <w:rPr>
                <w:rFonts w:ascii="Calibri" w:hAnsi="Calibri" w:cs="Calibri"/>
                <w:b/>
                <w:sz w:val="14"/>
                <w:lang w:val="en-GB"/>
              </w:rPr>
              <w:br/>
              <w:t>Class C</w:t>
            </w:r>
          </w:p>
        </w:tc>
      </w:tr>
      <w:tr w:rsidR="007A171C" w:rsidRPr="001E4F9D" w14:paraId="20F6F368" w14:textId="77777777">
        <w:trPr>
          <w:jc w:val="center"/>
        </w:trPr>
        <w:tc>
          <w:tcPr>
            <w:tcW w:w="1413" w:type="dxa"/>
            <w:vAlign w:val="center"/>
          </w:tcPr>
          <w:p w14:paraId="13392314" w14:textId="77777777" w:rsidR="007A171C" w:rsidRPr="001E4F9D" w:rsidRDefault="00000000">
            <w:pPr>
              <w:spacing w:after="0"/>
              <w:rPr>
                <w:rFonts w:ascii="Calibri" w:hAnsi="Calibri" w:cs="Calibri"/>
                <w:lang w:val="en-GB"/>
              </w:rPr>
            </w:pPr>
            <w:r w:rsidRPr="001E4F9D">
              <w:rPr>
                <w:rFonts w:ascii="Calibri" w:hAnsi="Calibri" w:cs="Calibri"/>
                <w:b/>
                <w:sz w:val="16"/>
                <w:lang w:val="en-GB"/>
              </w:rPr>
              <w:t>3</w:t>
            </w:r>
          </w:p>
        </w:tc>
        <w:tc>
          <w:tcPr>
            <w:tcW w:w="1413" w:type="dxa"/>
            <w:vAlign w:val="center"/>
          </w:tcPr>
          <w:p w14:paraId="120384B8" w14:textId="77777777" w:rsidR="007A171C" w:rsidRPr="001E4F9D" w:rsidRDefault="00000000">
            <w:pPr>
              <w:spacing w:after="0"/>
              <w:rPr>
                <w:rFonts w:ascii="Calibri" w:hAnsi="Calibri" w:cs="Calibri"/>
                <w:lang w:val="en-GB"/>
              </w:rPr>
            </w:pPr>
            <w:r w:rsidRPr="001E4F9D">
              <w:rPr>
                <w:rFonts w:ascii="Calibri" w:hAnsi="Calibri" w:cs="Calibri"/>
                <w:b/>
                <w:sz w:val="16"/>
                <w:lang w:val="en-GB"/>
              </w:rPr>
              <w:t>5</w:t>
            </w:r>
          </w:p>
        </w:tc>
        <w:tc>
          <w:tcPr>
            <w:tcW w:w="1413" w:type="dxa"/>
            <w:shd w:val="clear" w:color="auto" w:fill="FF0000"/>
            <w:vAlign w:val="center"/>
          </w:tcPr>
          <w:p w14:paraId="2C074124"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45</w:t>
            </w:r>
            <w:r w:rsidRPr="001E4F9D">
              <w:rPr>
                <w:rFonts w:ascii="Calibri" w:hAnsi="Calibri" w:cs="Calibri"/>
                <w:b/>
                <w:sz w:val="14"/>
                <w:lang w:val="en-GB"/>
              </w:rPr>
              <w:br/>
              <w:t>Class A</w:t>
            </w:r>
          </w:p>
        </w:tc>
        <w:tc>
          <w:tcPr>
            <w:tcW w:w="1413" w:type="dxa"/>
            <w:shd w:val="clear" w:color="auto" w:fill="FFC000"/>
            <w:vAlign w:val="center"/>
          </w:tcPr>
          <w:p w14:paraId="2D5AC1B2"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20</w:t>
            </w:r>
            <w:r w:rsidRPr="001E4F9D">
              <w:rPr>
                <w:rFonts w:ascii="Calibri" w:hAnsi="Calibri" w:cs="Calibri"/>
                <w:b/>
                <w:sz w:val="14"/>
                <w:lang w:val="en-GB"/>
              </w:rPr>
              <w:br/>
              <w:t>Class B</w:t>
            </w:r>
          </w:p>
        </w:tc>
        <w:tc>
          <w:tcPr>
            <w:tcW w:w="1413" w:type="dxa"/>
            <w:shd w:val="clear" w:color="auto" w:fill="FFC000"/>
            <w:vAlign w:val="center"/>
          </w:tcPr>
          <w:p w14:paraId="0DC5854F"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15</w:t>
            </w:r>
            <w:r w:rsidRPr="001E4F9D">
              <w:rPr>
                <w:rFonts w:ascii="Calibri" w:hAnsi="Calibri" w:cs="Calibri"/>
                <w:b/>
                <w:sz w:val="14"/>
                <w:lang w:val="en-GB"/>
              </w:rPr>
              <w:br/>
              <w:t>Class B</w:t>
            </w:r>
          </w:p>
        </w:tc>
        <w:tc>
          <w:tcPr>
            <w:tcW w:w="1413" w:type="dxa"/>
            <w:shd w:val="clear" w:color="auto" w:fill="FFC000"/>
            <w:vAlign w:val="center"/>
          </w:tcPr>
          <w:p w14:paraId="6D97F1A7"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10</w:t>
            </w:r>
            <w:r w:rsidRPr="001E4F9D">
              <w:rPr>
                <w:rFonts w:ascii="Calibri" w:hAnsi="Calibri" w:cs="Calibri"/>
                <w:b/>
                <w:sz w:val="14"/>
                <w:lang w:val="en-GB"/>
              </w:rPr>
              <w:br/>
              <w:t>Class B</w:t>
            </w:r>
          </w:p>
        </w:tc>
        <w:tc>
          <w:tcPr>
            <w:tcW w:w="1413" w:type="dxa"/>
            <w:shd w:val="clear" w:color="auto" w:fill="FFFF00"/>
            <w:vAlign w:val="center"/>
          </w:tcPr>
          <w:p w14:paraId="791E7838"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5</w:t>
            </w:r>
            <w:r w:rsidRPr="001E4F9D">
              <w:rPr>
                <w:rFonts w:ascii="Calibri" w:hAnsi="Calibri" w:cs="Calibri"/>
                <w:b/>
                <w:sz w:val="14"/>
                <w:lang w:val="en-GB"/>
              </w:rPr>
              <w:br/>
              <w:t>Class C</w:t>
            </w:r>
          </w:p>
        </w:tc>
      </w:tr>
      <w:tr w:rsidR="007A171C" w:rsidRPr="001E4F9D" w14:paraId="7DEBE221" w14:textId="77777777">
        <w:trPr>
          <w:jc w:val="center"/>
        </w:trPr>
        <w:tc>
          <w:tcPr>
            <w:tcW w:w="1413" w:type="dxa"/>
            <w:vAlign w:val="center"/>
          </w:tcPr>
          <w:p w14:paraId="3CE4A862" w14:textId="77777777" w:rsidR="007A171C" w:rsidRPr="001E4F9D" w:rsidRDefault="00000000">
            <w:pPr>
              <w:spacing w:after="0"/>
              <w:rPr>
                <w:rFonts w:ascii="Calibri" w:hAnsi="Calibri" w:cs="Calibri"/>
                <w:lang w:val="en-GB"/>
              </w:rPr>
            </w:pPr>
            <w:r w:rsidRPr="001E4F9D">
              <w:rPr>
                <w:rFonts w:ascii="Calibri" w:hAnsi="Calibri" w:cs="Calibri"/>
                <w:b/>
                <w:sz w:val="16"/>
                <w:lang w:val="en-GB"/>
              </w:rPr>
              <w:t>2</w:t>
            </w:r>
          </w:p>
        </w:tc>
        <w:tc>
          <w:tcPr>
            <w:tcW w:w="1413" w:type="dxa"/>
            <w:vAlign w:val="center"/>
          </w:tcPr>
          <w:p w14:paraId="2B1C9C02" w14:textId="77777777" w:rsidR="007A171C" w:rsidRPr="001E4F9D" w:rsidRDefault="00000000">
            <w:pPr>
              <w:spacing w:after="0"/>
              <w:rPr>
                <w:rFonts w:ascii="Calibri" w:hAnsi="Calibri" w:cs="Calibri"/>
                <w:lang w:val="en-GB"/>
              </w:rPr>
            </w:pPr>
            <w:r w:rsidRPr="001E4F9D">
              <w:rPr>
                <w:rFonts w:ascii="Calibri" w:hAnsi="Calibri" w:cs="Calibri"/>
                <w:b/>
                <w:sz w:val="16"/>
                <w:lang w:val="en-GB"/>
              </w:rPr>
              <w:t>2</w:t>
            </w:r>
          </w:p>
        </w:tc>
        <w:tc>
          <w:tcPr>
            <w:tcW w:w="1413" w:type="dxa"/>
            <w:shd w:val="clear" w:color="auto" w:fill="FFC000"/>
            <w:vAlign w:val="center"/>
          </w:tcPr>
          <w:p w14:paraId="0399BB7E"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18</w:t>
            </w:r>
            <w:r w:rsidRPr="001E4F9D">
              <w:rPr>
                <w:rFonts w:ascii="Calibri" w:hAnsi="Calibri" w:cs="Calibri"/>
                <w:b/>
                <w:sz w:val="14"/>
                <w:lang w:val="en-GB"/>
              </w:rPr>
              <w:br/>
              <w:t>Class B</w:t>
            </w:r>
          </w:p>
        </w:tc>
        <w:tc>
          <w:tcPr>
            <w:tcW w:w="1413" w:type="dxa"/>
            <w:shd w:val="clear" w:color="auto" w:fill="FFFF00"/>
            <w:vAlign w:val="center"/>
          </w:tcPr>
          <w:p w14:paraId="3BBA7E2E"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8</w:t>
            </w:r>
            <w:r w:rsidRPr="001E4F9D">
              <w:rPr>
                <w:rFonts w:ascii="Calibri" w:hAnsi="Calibri" w:cs="Calibri"/>
                <w:b/>
                <w:sz w:val="14"/>
                <w:lang w:val="en-GB"/>
              </w:rPr>
              <w:br/>
              <w:t>Class C</w:t>
            </w:r>
          </w:p>
        </w:tc>
        <w:tc>
          <w:tcPr>
            <w:tcW w:w="1413" w:type="dxa"/>
            <w:shd w:val="clear" w:color="auto" w:fill="FFFF00"/>
            <w:vAlign w:val="center"/>
          </w:tcPr>
          <w:p w14:paraId="7C878765"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6</w:t>
            </w:r>
            <w:r w:rsidRPr="001E4F9D">
              <w:rPr>
                <w:rFonts w:ascii="Calibri" w:hAnsi="Calibri" w:cs="Calibri"/>
                <w:b/>
                <w:sz w:val="14"/>
                <w:lang w:val="en-GB"/>
              </w:rPr>
              <w:br/>
              <w:t>Class C</w:t>
            </w:r>
          </w:p>
        </w:tc>
        <w:tc>
          <w:tcPr>
            <w:tcW w:w="1413" w:type="dxa"/>
            <w:shd w:val="clear" w:color="auto" w:fill="00B050"/>
            <w:vAlign w:val="center"/>
          </w:tcPr>
          <w:p w14:paraId="766221FA"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4</w:t>
            </w:r>
            <w:r w:rsidRPr="001E4F9D">
              <w:rPr>
                <w:rFonts w:ascii="Calibri" w:hAnsi="Calibri" w:cs="Calibri"/>
                <w:b/>
                <w:sz w:val="14"/>
                <w:lang w:val="en-GB"/>
              </w:rPr>
              <w:br/>
              <w:t>Class D</w:t>
            </w:r>
          </w:p>
        </w:tc>
        <w:tc>
          <w:tcPr>
            <w:tcW w:w="1413" w:type="dxa"/>
            <w:shd w:val="clear" w:color="auto" w:fill="00B050"/>
            <w:vAlign w:val="center"/>
          </w:tcPr>
          <w:p w14:paraId="2DBE706D"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2</w:t>
            </w:r>
            <w:r w:rsidRPr="001E4F9D">
              <w:rPr>
                <w:rFonts w:ascii="Calibri" w:hAnsi="Calibri" w:cs="Calibri"/>
                <w:b/>
                <w:sz w:val="14"/>
                <w:lang w:val="en-GB"/>
              </w:rPr>
              <w:br/>
              <w:t>Class D</w:t>
            </w:r>
          </w:p>
        </w:tc>
      </w:tr>
      <w:tr w:rsidR="007A171C" w:rsidRPr="001E4F9D" w14:paraId="52356AC9" w14:textId="77777777">
        <w:trPr>
          <w:jc w:val="center"/>
        </w:trPr>
        <w:tc>
          <w:tcPr>
            <w:tcW w:w="1413" w:type="dxa"/>
            <w:vAlign w:val="center"/>
          </w:tcPr>
          <w:p w14:paraId="5D4F18B4" w14:textId="77777777" w:rsidR="007A171C" w:rsidRPr="001E4F9D" w:rsidRDefault="00000000">
            <w:pPr>
              <w:spacing w:after="0"/>
              <w:rPr>
                <w:rFonts w:ascii="Calibri" w:hAnsi="Calibri" w:cs="Calibri"/>
                <w:lang w:val="en-GB"/>
              </w:rPr>
            </w:pPr>
            <w:r w:rsidRPr="001E4F9D">
              <w:rPr>
                <w:rFonts w:ascii="Calibri" w:hAnsi="Calibri" w:cs="Calibri"/>
                <w:b/>
                <w:sz w:val="16"/>
                <w:lang w:val="en-GB"/>
              </w:rPr>
              <w:t>1</w:t>
            </w:r>
          </w:p>
        </w:tc>
        <w:tc>
          <w:tcPr>
            <w:tcW w:w="1413" w:type="dxa"/>
            <w:vAlign w:val="center"/>
          </w:tcPr>
          <w:p w14:paraId="3E738FE0" w14:textId="77777777" w:rsidR="007A171C" w:rsidRPr="001E4F9D" w:rsidRDefault="00000000">
            <w:pPr>
              <w:spacing w:after="0"/>
              <w:rPr>
                <w:rFonts w:ascii="Calibri" w:hAnsi="Calibri" w:cs="Calibri"/>
                <w:lang w:val="en-GB"/>
              </w:rPr>
            </w:pPr>
            <w:r w:rsidRPr="001E4F9D">
              <w:rPr>
                <w:rFonts w:ascii="Calibri" w:hAnsi="Calibri" w:cs="Calibri"/>
                <w:b/>
                <w:sz w:val="16"/>
                <w:lang w:val="en-GB"/>
              </w:rPr>
              <w:t>1</w:t>
            </w:r>
          </w:p>
        </w:tc>
        <w:tc>
          <w:tcPr>
            <w:tcW w:w="1413" w:type="dxa"/>
            <w:shd w:val="clear" w:color="auto" w:fill="FFFF00"/>
            <w:vAlign w:val="center"/>
          </w:tcPr>
          <w:p w14:paraId="72636016"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9</w:t>
            </w:r>
            <w:r w:rsidRPr="001E4F9D">
              <w:rPr>
                <w:rFonts w:ascii="Calibri" w:hAnsi="Calibri" w:cs="Calibri"/>
                <w:b/>
                <w:sz w:val="14"/>
                <w:lang w:val="en-GB"/>
              </w:rPr>
              <w:br/>
              <w:t>Class C</w:t>
            </w:r>
          </w:p>
        </w:tc>
        <w:tc>
          <w:tcPr>
            <w:tcW w:w="1413" w:type="dxa"/>
            <w:shd w:val="clear" w:color="auto" w:fill="00B050"/>
            <w:vAlign w:val="center"/>
          </w:tcPr>
          <w:p w14:paraId="696A126B"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4</w:t>
            </w:r>
            <w:r w:rsidRPr="001E4F9D">
              <w:rPr>
                <w:rFonts w:ascii="Calibri" w:hAnsi="Calibri" w:cs="Calibri"/>
                <w:b/>
                <w:sz w:val="14"/>
                <w:lang w:val="en-GB"/>
              </w:rPr>
              <w:br/>
              <w:t>Class D</w:t>
            </w:r>
          </w:p>
        </w:tc>
        <w:tc>
          <w:tcPr>
            <w:tcW w:w="1413" w:type="dxa"/>
            <w:shd w:val="clear" w:color="auto" w:fill="00B050"/>
            <w:vAlign w:val="center"/>
          </w:tcPr>
          <w:p w14:paraId="25517867"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3</w:t>
            </w:r>
            <w:r w:rsidRPr="001E4F9D">
              <w:rPr>
                <w:rFonts w:ascii="Calibri" w:hAnsi="Calibri" w:cs="Calibri"/>
                <w:b/>
                <w:sz w:val="14"/>
                <w:lang w:val="en-GB"/>
              </w:rPr>
              <w:br/>
              <w:t>Class D</w:t>
            </w:r>
          </w:p>
        </w:tc>
        <w:tc>
          <w:tcPr>
            <w:tcW w:w="1413" w:type="dxa"/>
            <w:shd w:val="clear" w:color="auto" w:fill="00B050"/>
            <w:vAlign w:val="center"/>
          </w:tcPr>
          <w:p w14:paraId="4184BF9D"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2</w:t>
            </w:r>
            <w:r w:rsidRPr="001E4F9D">
              <w:rPr>
                <w:rFonts w:ascii="Calibri" w:hAnsi="Calibri" w:cs="Calibri"/>
                <w:b/>
                <w:sz w:val="14"/>
                <w:lang w:val="en-GB"/>
              </w:rPr>
              <w:br/>
              <w:t>Class D</w:t>
            </w:r>
          </w:p>
        </w:tc>
        <w:tc>
          <w:tcPr>
            <w:tcW w:w="1413" w:type="dxa"/>
            <w:shd w:val="clear" w:color="auto" w:fill="00B050"/>
            <w:vAlign w:val="center"/>
          </w:tcPr>
          <w:p w14:paraId="1CB7CCB8" w14:textId="77777777" w:rsidR="007A171C" w:rsidRPr="001E4F9D" w:rsidRDefault="00000000">
            <w:pPr>
              <w:spacing w:after="0"/>
              <w:rPr>
                <w:rFonts w:ascii="Calibri" w:hAnsi="Calibri" w:cs="Calibri"/>
                <w:lang w:val="en-GB"/>
              </w:rPr>
            </w:pPr>
            <w:r w:rsidRPr="001E4F9D">
              <w:rPr>
                <w:rFonts w:ascii="Calibri" w:hAnsi="Calibri" w:cs="Calibri"/>
                <w:b/>
                <w:sz w:val="14"/>
                <w:lang w:val="en-GB"/>
              </w:rPr>
              <w:t>1</w:t>
            </w:r>
            <w:r w:rsidRPr="001E4F9D">
              <w:rPr>
                <w:rFonts w:ascii="Calibri" w:hAnsi="Calibri" w:cs="Calibri"/>
                <w:b/>
                <w:sz w:val="14"/>
                <w:lang w:val="en-GB"/>
              </w:rPr>
              <w:br/>
              <w:t>Class D</w:t>
            </w:r>
          </w:p>
        </w:tc>
      </w:tr>
    </w:tbl>
    <w:p w14:paraId="664E86D8" w14:textId="77777777" w:rsidR="007A171C" w:rsidRPr="001E4F9D" w:rsidRDefault="00000000">
      <w:pPr>
        <w:rPr>
          <w:rFonts w:ascii="Calibri" w:hAnsi="Calibri" w:cs="Calibri"/>
          <w:lang w:val="en-GB"/>
        </w:rPr>
      </w:pPr>
      <w:r w:rsidRPr="001E4F9D">
        <w:rPr>
          <w:rFonts w:ascii="Calibri" w:hAnsi="Calibri" w:cs="Calibri"/>
          <w:lang w:val="en-GB"/>
        </w:rPr>
        <w:t xml:space="preserve">The original matrix is kept </w:t>
      </w:r>
      <w:proofErr w:type="gramStart"/>
      <w:r w:rsidRPr="001E4F9D">
        <w:rPr>
          <w:rFonts w:ascii="Calibri" w:hAnsi="Calibri" w:cs="Calibri"/>
          <w:lang w:val="en-GB"/>
        </w:rPr>
        <w:t>to show</w:t>
      </w:r>
      <w:proofErr w:type="gramEnd"/>
      <w:r w:rsidRPr="001E4F9D">
        <w:rPr>
          <w:rFonts w:ascii="Calibri" w:hAnsi="Calibri" w:cs="Calibri"/>
          <w:lang w:val="en-GB"/>
        </w:rPr>
        <w:t xml:space="preserve"> how the assessment was improved. Its main weaknesses are hidden weighting, uneven gaps between scores and a calculation method that is difficult to explain. It may also give a false sense of accuracy because likelihood and severity are judgement-based categories rather than exact measurements [9], [11].</w:t>
      </w:r>
    </w:p>
    <w:p w14:paraId="6D9806E6" w14:textId="77777777" w:rsidR="007A171C" w:rsidRPr="001E4F9D" w:rsidRDefault="00000000">
      <w:pPr>
        <w:pStyle w:val="Heading3"/>
        <w:rPr>
          <w:rFonts w:ascii="Calibri" w:hAnsi="Calibri" w:cs="Calibri"/>
          <w:color w:val="000000" w:themeColor="text1"/>
          <w:sz w:val="20"/>
          <w:szCs w:val="20"/>
          <w:lang w:val="en-GB"/>
        </w:rPr>
      </w:pPr>
      <w:bookmarkStart w:id="8" w:name="_Toc235173330"/>
      <w:r w:rsidRPr="001E4F9D">
        <w:rPr>
          <w:rFonts w:ascii="Calibri" w:hAnsi="Calibri" w:cs="Calibri"/>
          <w:color w:val="000000" w:themeColor="text1"/>
          <w:sz w:val="20"/>
          <w:szCs w:val="20"/>
          <w:lang w:val="en-GB"/>
        </w:rPr>
        <w:t>2.2 Improved 5 x 5 risk matrix</w:t>
      </w:r>
      <w:bookmarkEnd w:id="8"/>
    </w:p>
    <w:tbl>
      <w:tblPr>
        <w:tblStyle w:val="TableGrid"/>
        <w:tblpPr w:leftFromText="180" w:rightFromText="180" w:vertAnchor="text" w:horzAnchor="margin" w:tblpXSpec="center" w:tblpY="422"/>
        <w:tblW w:w="0" w:type="auto"/>
        <w:tblLook w:val="04A0" w:firstRow="1" w:lastRow="0" w:firstColumn="1" w:lastColumn="0" w:noHBand="0" w:noVBand="1"/>
      </w:tblPr>
      <w:tblGrid>
        <w:gridCol w:w="1413"/>
        <w:gridCol w:w="1413"/>
        <w:gridCol w:w="472"/>
        <w:gridCol w:w="941"/>
        <w:gridCol w:w="1413"/>
        <w:gridCol w:w="944"/>
        <w:gridCol w:w="469"/>
        <w:gridCol w:w="1413"/>
        <w:gridCol w:w="1416"/>
      </w:tblGrid>
      <w:tr w:rsidR="009C783D" w:rsidRPr="001E4F9D" w14:paraId="1CFEEA1A" w14:textId="77777777" w:rsidTr="009C783D">
        <w:tc>
          <w:tcPr>
            <w:tcW w:w="1413" w:type="dxa"/>
            <w:shd w:val="clear" w:color="auto" w:fill="2F75B5"/>
            <w:vAlign w:val="center"/>
          </w:tcPr>
          <w:p w14:paraId="3B4CEC1A" w14:textId="77777777" w:rsidR="009C783D" w:rsidRPr="001E4F9D" w:rsidRDefault="009C783D" w:rsidP="009C783D">
            <w:pPr>
              <w:spacing w:after="0"/>
              <w:jc w:val="center"/>
              <w:rPr>
                <w:rFonts w:ascii="Calibri" w:hAnsi="Calibri" w:cs="Calibri"/>
                <w:lang w:val="en-GB"/>
              </w:rPr>
            </w:pPr>
            <w:r w:rsidRPr="001E4F9D">
              <w:rPr>
                <w:rFonts w:ascii="Calibri" w:hAnsi="Calibri" w:cs="Calibri"/>
                <w:b/>
                <w:color w:val="FFFFFF"/>
                <w:sz w:val="15"/>
                <w:lang w:val="en-GB"/>
              </w:rPr>
              <w:t>Severity</w:t>
            </w:r>
          </w:p>
        </w:tc>
        <w:tc>
          <w:tcPr>
            <w:tcW w:w="1413" w:type="dxa"/>
            <w:shd w:val="clear" w:color="auto" w:fill="2F75B5"/>
            <w:vAlign w:val="center"/>
          </w:tcPr>
          <w:p w14:paraId="110A7F09" w14:textId="77777777" w:rsidR="009C783D" w:rsidRPr="001E4F9D" w:rsidRDefault="009C783D" w:rsidP="009C783D">
            <w:pPr>
              <w:spacing w:after="0"/>
              <w:jc w:val="center"/>
              <w:rPr>
                <w:rFonts w:ascii="Calibri" w:hAnsi="Calibri" w:cs="Calibri"/>
                <w:lang w:val="en-GB"/>
              </w:rPr>
            </w:pPr>
            <w:r w:rsidRPr="001E4F9D">
              <w:rPr>
                <w:rFonts w:ascii="Calibri" w:hAnsi="Calibri" w:cs="Calibri"/>
                <w:b/>
                <w:color w:val="FFFFFF"/>
                <w:sz w:val="14"/>
                <w:lang w:val="en-GB"/>
              </w:rPr>
              <w:t>Severity meaning</w:t>
            </w:r>
          </w:p>
        </w:tc>
        <w:tc>
          <w:tcPr>
            <w:tcW w:w="1413" w:type="dxa"/>
            <w:gridSpan w:val="2"/>
            <w:shd w:val="clear" w:color="auto" w:fill="2F75B5"/>
            <w:vAlign w:val="center"/>
          </w:tcPr>
          <w:p w14:paraId="5AB82AB9" w14:textId="77777777" w:rsidR="009C783D" w:rsidRPr="001E4F9D" w:rsidRDefault="009C783D" w:rsidP="009C783D">
            <w:pPr>
              <w:spacing w:after="0"/>
              <w:jc w:val="center"/>
              <w:rPr>
                <w:rFonts w:ascii="Calibri" w:hAnsi="Calibri" w:cs="Calibri"/>
                <w:lang w:val="en-GB"/>
              </w:rPr>
            </w:pPr>
            <w:r w:rsidRPr="001E4F9D">
              <w:rPr>
                <w:rFonts w:ascii="Calibri" w:hAnsi="Calibri" w:cs="Calibri"/>
                <w:b/>
                <w:color w:val="FFFFFF"/>
                <w:sz w:val="14"/>
                <w:lang w:val="en-GB"/>
              </w:rPr>
              <w:t>Likelihood 5</w:t>
            </w:r>
          </w:p>
        </w:tc>
        <w:tc>
          <w:tcPr>
            <w:tcW w:w="1413" w:type="dxa"/>
            <w:shd w:val="clear" w:color="auto" w:fill="2F75B5"/>
            <w:vAlign w:val="center"/>
          </w:tcPr>
          <w:p w14:paraId="664BECB9" w14:textId="77777777" w:rsidR="009C783D" w:rsidRPr="001E4F9D" w:rsidRDefault="009C783D" w:rsidP="009C783D">
            <w:pPr>
              <w:spacing w:after="0"/>
              <w:jc w:val="center"/>
              <w:rPr>
                <w:rFonts w:ascii="Calibri" w:hAnsi="Calibri" w:cs="Calibri"/>
                <w:lang w:val="en-GB"/>
              </w:rPr>
            </w:pPr>
            <w:r w:rsidRPr="001E4F9D">
              <w:rPr>
                <w:rFonts w:ascii="Calibri" w:hAnsi="Calibri" w:cs="Calibri"/>
                <w:b/>
                <w:color w:val="FFFFFF"/>
                <w:sz w:val="14"/>
                <w:lang w:val="en-GB"/>
              </w:rPr>
              <w:t>Likelihood 4</w:t>
            </w:r>
          </w:p>
        </w:tc>
        <w:tc>
          <w:tcPr>
            <w:tcW w:w="1413" w:type="dxa"/>
            <w:gridSpan w:val="2"/>
            <w:shd w:val="clear" w:color="auto" w:fill="2F75B5"/>
            <w:vAlign w:val="center"/>
          </w:tcPr>
          <w:p w14:paraId="09C5562B" w14:textId="77777777" w:rsidR="009C783D" w:rsidRPr="001E4F9D" w:rsidRDefault="009C783D" w:rsidP="009C783D">
            <w:pPr>
              <w:spacing w:after="0"/>
              <w:jc w:val="center"/>
              <w:rPr>
                <w:rFonts w:ascii="Calibri" w:hAnsi="Calibri" w:cs="Calibri"/>
                <w:lang w:val="en-GB"/>
              </w:rPr>
            </w:pPr>
            <w:r w:rsidRPr="001E4F9D">
              <w:rPr>
                <w:rFonts w:ascii="Calibri" w:hAnsi="Calibri" w:cs="Calibri"/>
                <w:b/>
                <w:color w:val="FFFFFF"/>
                <w:sz w:val="14"/>
                <w:lang w:val="en-GB"/>
              </w:rPr>
              <w:t>Likelihood 3</w:t>
            </w:r>
          </w:p>
        </w:tc>
        <w:tc>
          <w:tcPr>
            <w:tcW w:w="1413" w:type="dxa"/>
            <w:shd w:val="clear" w:color="auto" w:fill="2F75B5"/>
            <w:vAlign w:val="center"/>
          </w:tcPr>
          <w:p w14:paraId="728764BE" w14:textId="77777777" w:rsidR="009C783D" w:rsidRPr="001E4F9D" w:rsidRDefault="009C783D" w:rsidP="009C783D">
            <w:pPr>
              <w:spacing w:after="0"/>
              <w:jc w:val="center"/>
              <w:rPr>
                <w:rFonts w:ascii="Calibri" w:hAnsi="Calibri" w:cs="Calibri"/>
                <w:lang w:val="en-GB"/>
              </w:rPr>
            </w:pPr>
            <w:r w:rsidRPr="001E4F9D">
              <w:rPr>
                <w:rFonts w:ascii="Calibri" w:hAnsi="Calibri" w:cs="Calibri"/>
                <w:b/>
                <w:color w:val="FFFFFF"/>
                <w:sz w:val="14"/>
                <w:lang w:val="en-GB"/>
              </w:rPr>
              <w:t>Likelihood 2</w:t>
            </w:r>
          </w:p>
        </w:tc>
        <w:tc>
          <w:tcPr>
            <w:tcW w:w="1416" w:type="dxa"/>
            <w:shd w:val="clear" w:color="auto" w:fill="2F75B5"/>
            <w:vAlign w:val="center"/>
          </w:tcPr>
          <w:p w14:paraId="4F30C4E8" w14:textId="77777777" w:rsidR="009C783D" w:rsidRPr="001E4F9D" w:rsidRDefault="009C783D" w:rsidP="009C783D">
            <w:pPr>
              <w:spacing w:after="0"/>
              <w:jc w:val="center"/>
              <w:rPr>
                <w:rFonts w:ascii="Calibri" w:hAnsi="Calibri" w:cs="Calibri"/>
                <w:lang w:val="en-GB"/>
              </w:rPr>
            </w:pPr>
            <w:r w:rsidRPr="001E4F9D">
              <w:rPr>
                <w:rFonts w:ascii="Calibri" w:hAnsi="Calibri" w:cs="Calibri"/>
                <w:b/>
                <w:color w:val="FFFFFF"/>
                <w:sz w:val="14"/>
                <w:lang w:val="en-GB"/>
              </w:rPr>
              <w:t>Likelihood 1</w:t>
            </w:r>
          </w:p>
        </w:tc>
      </w:tr>
      <w:tr w:rsidR="009C783D" w:rsidRPr="001E4F9D" w14:paraId="3C874B5F" w14:textId="77777777" w:rsidTr="009C783D">
        <w:tc>
          <w:tcPr>
            <w:tcW w:w="1413" w:type="dxa"/>
            <w:vAlign w:val="center"/>
          </w:tcPr>
          <w:p w14:paraId="7A67978C" w14:textId="77777777" w:rsidR="009C783D" w:rsidRPr="001E4F9D" w:rsidRDefault="009C783D" w:rsidP="009C783D">
            <w:pPr>
              <w:spacing w:after="0"/>
              <w:jc w:val="center"/>
              <w:rPr>
                <w:rFonts w:ascii="Calibri" w:hAnsi="Calibri" w:cs="Calibri"/>
                <w:lang w:val="en-GB"/>
              </w:rPr>
            </w:pPr>
          </w:p>
        </w:tc>
        <w:tc>
          <w:tcPr>
            <w:tcW w:w="1413" w:type="dxa"/>
            <w:vAlign w:val="center"/>
          </w:tcPr>
          <w:p w14:paraId="732DC739" w14:textId="77777777" w:rsidR="009C783D" w:rsidRPr="001E4F9D" w:rsidRDefault="009C783D" w:rsidP="009C783D">
            <w:pPr>
              <w:spacing w:after="0"/>
              <w:jc w:val="center"/>
              <w:rPr>
                <w:rFonts w:ascii="Calibri" w:hAnsi="Calibri" w:cs="Calibri"/>
                <w:lang w:val="en-GB"/>
              </w:rPr>
            </w:pPr>
          </w:p>
        </w:tc>
        <w:tc>
          <w:tcPr>
            <w:tcW w:w="1413" w:type="dxa"/>
            <w:gridSpan w:val="2"/>
            <w:vAlign w:val="center"/>
          </w:tcPr>
          <w:p w14:paraId="3E40CF2B"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3"/>
                <w:lang w:val="en-GB"/>
              </w:rPr>
              <w:t>Frequent</w:t>
            </w:r>
          </w:p>
        </w:tc>
        <w:tc>
          <w:tcPr>
            <w:tcW w:w="1413" w:type="dxa"/>
            <w:vAlign w:val="center"/>
          </w:tcPr>
          <w:p w14:paraId="57586908"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3"/>
                <w:lang w:val="en-GB"/>
              </w:rPr>
              <w:t>Likely</w:t>
            </w:r>
          </w:p>
        </w:tc>
        <w:tc>
          <w:tcPr>
            <w:tcW w:w="1413" w:type="dxa"/>
            <w:gridSpan w:val="2"/>
            <w:vAlign w:val="center"/>
          </w:tcPr>
          <w:p w14:paraId="75C22B86"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3"/>
                <w:lang w:val="en-GB"/>
              </w:rPr>
              <w:t>Occasional</w:t>
            </w:r>
          </w:p>
        </w:tc>
        <w:tc>
          <w:tcPr>
            <w:tcW w:w="1413" w:type="dxa"/>
            <w:vAlign w:val="center"/>
          </w:tcPr>
          <w:p w14:paraId="350CA8CB"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3"/>
                <w:lang w:val="en-GB"/>
              </w:rPr>
              <w:t>Unlikely</w:t>
            </w:r>
          </w:p>
        </w:tc>
        <w:tc>
          <w:tcPr>
            <w:tcW w:w="1416" w:type="dxa"/>
            <w:vAlign w:val="center"/>
          </w:tcPr>
          <w:p w14:paraId="41B449FD"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3"/>
                <w:lang w:val="en-GB"/>
              </w:rPr>
              <w:t>Improbable</w:t>
            </w:r>
          </w:p>
        </w:tc>
      </w:tr>
      <w:tr w:rsidR="009C783D" w:rsidRPr="001E4F9D" w14:paraId="03F4F01A" w14:textId="77777777" w:rsidTr="009C783D">
        <w:tc>
          <w:tcPr>
            <w:tcW w:w="1413" w:type="dxa"/>
            <w:vAlign w:val="center"/>
          </w:tcPr>
          <w:p w14:paraId="2D635AE6"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6"/>
                <w:lang w:val="en-GB"/>
              </w:rPr>
              <w:t>5</w:t>
            </w:r>
          </w:p>
        </w:tc>
        <w:tc>
          <w:tcPr>
            <w:tcW w:w="1413" w:type="dxa"/>
            <w:vAlign w:val="center"/>
          </w:tcPr>
          <w:p w14:paraId="57A2E5CC" w14:textId="77777777" w:rsidR="009C783D" w:rsidRPr="001E4F9D" w:rsidRDefault="009C783D" w:rsidP="009C783D">
            <w:pPr>
              <w:spacing w:after="0"/>
              <w:rPr>
                <w:rFonts w:ascii="Calibri" w:hAnsi="Calibri" w:cs="Calibri"/>
                <w:lang w:val="en-GB"/>
              </w:rPr>
            </w:pPr>
            <w:r w:rsidRPr="001E4F9D">
              <w:rPr>
                <w:rFonts w:ascii="Calibri" w:hAnsi="Calibri" w:cs="Calibri"/>
                <w:sz w:val="13"/>
                <w:lang w:val="en-GB"/>
              </w:rPr>
              <w:t>Catastrophic: fatality or multiple fatalities</w:t>
            </w:r>
          </w:p>
        </w:tc>
        <w:tc>
          <w:tcPr>
            <w:tcW w:w="1413" w:type="dxa"/>
            <w:gridSpan w:val="2"/>
            <w:shd w:val="clear" w:color="auto" w:fill="FF0000"/>
            <w:vAlign w:val="center"/>
          </w:tcPr>
          <w:p w14:paraId="1F569E73"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25</w:t>
            </w:r>
            <w:r w:rsidRPr="001E4F9D">
              <w:rPr>
                <w:rFonts w:ascii="Calibri" w:hAnsi="Calibri" w:cs="Calibri"/>
                <w:b/>
                <w:sz w:val="14"/>
                <w:lang w:val="en-GB"/>
              </w:rPr>
              <w:br/>
              <w:t>Class A</w:t>
            </w:r>
          </w:p>
        </w:tc>
        <w:tc>
          <w:tcPr>
            <w:tcW w:w="1413" w:type="dxa"/>
            <w:shd w:val="clear" w:color="auto" w:fill="FF0000"/>
            <w:vAlign w:val="center"/>
          </w:tcPr>
          <w:p w14:paraId="5909655D"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20</w:t>
            </w:r>
            <w:r w:rsidRPr="001E4F9D">
              <w:rPr>
                <w:rFonts w:ascii="Calibri" w:hAnsi="Calibri" w:cs="Calibri"/>
                <w:b/>
                <w:sz w:val="14"/>
                <w:lang w:val="en-GB"/>
              </w:rPr>
              <w:br/>
              <w:t>Class A</w:t>
            </w:r>
          </w:p>
        </w:tc>
        <w:tc>
          <w:tcPr>
            <w:tcW w:w="1413" w:type="dxa"/>
            <w:gridSpan w:val="2"/>
            <w:shd w:val="clear" w:color="auto" w:fill="FF0000"/>
            <w:vAlign w:val="center"/>
          </w:tcPr>
          <w:p w14:paraId="5882747B"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15</w:t>
            </w:r>
            <w:r w:rsidRPr="001E4F9D">
              <w:rPr>
                <w:rFonts w:ascii="Calibri" w:hAnsi="Calibri" w:cs="Calibri"/>
                <w:b/>
                <w:sz w:val="14"/>
                <w:lang w:val="en-GB"/>
              </w:rPr>
              <w:br/>
              <w:t>Class A</w:t>
            </w:r>
          </w:p>
        </w:tc>
        <w:tc>
          <w:tcPr>
            <w:tcW w:w="1413" w:type="dxa"/>
            <w:shd w:val="clear" w:color="auto" w:fill="FFC000"/>
            <w:vAlign w:val="center"/>
          </w:tcPr>
          <w:p w14:paraId="1FBB6867"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10</w:t>
            </w:r>
            <w:r w:rsidRPr="001E4F9D">
              <w:rPr>
                <w:rFonts w:ascii="Calibri" w:hAnsi="Calibri" w:cs="Calibri"/>
                <w:b/>
                <w:sz w:val="14"/>
                <w:lang w:val="en-GB"/>
              </w:rPr>
              <w:br/>
              <w:t>Class B</w:t>
            </w:r>
          </w:p>
        </w:tc>
        <w:tc>
          <w:tcPr>
            <w:tcW w:w="1416" w:type="dxa"/>
            <w:shd w:val="clear" w:color="auto" w:fill="FFC000"/>
            <w:vAlign w:val="center"/>
          </w:tcPr>
          <w:p w14:paraId="73A10976"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5</w:t>
            </w:r>
            <w:r w:rsidRPr="001E4F9D">
              <w:rPr>
                <w:rFonts w:ascii="Calibri" w:hAnsi="Calibri" w:cs="Calibri"/>
                <w:b/>
                <w:sz w:val="14"/>
                <w:lang w:val="en-GB"/>
              </w:rPr>
              <w:br/>
              <w:t>Class B</w:t>
            </w:r>
          </w:p>
        </w:tc>
      </w:tr>
      <w:tr w:rsidR="009C783D" w:rsidRPr="001E4F9D" w14:paraId="160DE076" w14:textId="77777777" w:rsidTr="009C783D">
        <w:tc>
          <w:tcPr>
            <w:tcW w:w="1413" w:type="dxa"/>
            <w:vAlign w:val="center"/>
          </w:tcPr>
          <w:p w14:paraId="66ABCF10"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6"/>
                <w:lang w:val="en-GB"/>
              </w:rPr>
              <w:t>4</w:t>
            </w:r>
          </w:p>
        </w:tc>
        <w:tc>
          <w:tcPr>
            <w:tcW w:w="1413" w:type="dxa"/>
            <w:vAlign w:val="center"/>
          </w:tcPr>
          <w:p w14:paraId="68338CCD" w14:textId="77777777" w:rsidR="009C783D" w:rsidRPr="001E4F9D" w:rsidRDefault="009C783D" w:rsidP="009C783D">
            <w:pPr>
              <w:spacing w:after="0"/>
              <w:rPr>
                <w:rFonts w:ascii="Calibri" w:hAnsi="Calibri" w:cs="Calibri"/>
                <w:lang w:val="en-GB"/>
              </w:rPr>
            </w:pPr>
            <w:r w:rsidRPr="001E4F9D">
              <w:rPr>
                <w:rFonts w:ascii="Calibri" w:hAnsi="Calibri" w:cs="Calibri"/>
                <w:sz w:val="13"/>
                <w:lang w:val="en-GB"/>
              </w:rPr>
              <w:t>Critical: life-altering injury</w:t>
            </w:r>
          </w:p>
        </w:tc>
        <w:tc>
          <w:tcPr>
            <w:tcW w:w="1413" w:type="dxa"/>
            <w:gridSpan w:val="2"/>
            <w:shd w:val="clear" w:color="auto" w:fill="FF0000"/>
            <w:vAlign w:val="center"/>
          </w:tcPr>
          <w:p w14:paraId="1CAD7535"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20</w:t>
            </w:r>
            <w:r w:rsidRPr="001E4F9D">
              <w:rPr>
                <w:rFonts w:ascii="Calibri" w:hAnsi="Calibri" w:cs="Calibri"/>
                <w:b/>
                <w:sz w:val="14"/>
                <w:lang w:val="en-GB"/>
              </w:rPr>
              <w:br/>
              <w:t>Class A</w:t>
            </w:r>
          </w:p>
        </w:tc>
        <w:tc>
          <w:tcPr>
            <w:tcW w:w="1413" w:type="dxa"/>
            <w:shd w:val="clear" w:color="auto" w:fill="FF0000"/>
            <w:vAlign w:val="center"/>
          </w:tcPr>
          <w:p w14:paraId="457638D6"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16</w:t>
            </w:r>
            <w:r w:rsidRPr="001E4F9D">
              <w:rPr>
                <w:rFonts w:ascii="Calibri" w:hAnsi="Calibri" w:cs="Calibri"/>
                <w:b/>
                <w:sz w:val="14"/>
                <w:lang w:val="en-GB"/>
              </w:rPr>
              <w:br/>
              <w:t>Class A</w:t>
            </w:r>
          </w:p>
        </w:tc>
        <w:tc>
          <w:tcPr>
            <w:tcW w:w="1413" w:type="dxa"/>
            <w:gridSpan w:val="2"/>
            <w:shd w:val="clear" w:color="auto" w:fill="FFC000"/>
            <w:vAlign w:val="center"/>
          </w:tcPr>
          <w:p w14:paraId="636F47A0"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12</w:t>
            </w:r>
            <w:r w:rsidRPr="001E4F9D">
              <w:rPr>
                <w:rFonts w:ascii="Calibri" w:hAnsi="Calibri" w:cs="Calibri"/>
                <w:b/>
                <w:sz w:val="14"/>
                <w:lang w:val="en-GB"/>
              </w:rPr>
              <w:br/>
              <w:t>Class B</w:t>
            </w:r>
          </w:p>
        </w:tc>
        <w:tc>
          <w:tcPr>
            <w:tcW w:w="1413" w:type="dxa"/>
            <w:shd w:val="clear" w:color="auto" w:fill="FFC000"/>
            <w:vAlign w:val="center"/>
          </w:tcPr>
          <w:p w14:paraId="3F1BB5D1"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8</w:t>
            </w:r>
            <w:r w:rsidRPr="001E4F9D">
              <w:rPr>
                <w:rFonts w:ascii="Calibri" w:hAnsi="Calibri" w:cs="Calibri"/>
                <w:b/>
                <w:sz w:val="14"/>
                <w:lang w:val="en-GB"/>
              </w:rPr>
              <w:br/>
              <w:t>Class B</w:t>
            </w:r>
          </w:p>
        </w:tc>
        <w:tc>
          <w:tcPr>
            <w:tcW w:w="1416" w:type="dxa"/>
            <w:shd w:val="clear" w:color="auto" w:fill="FFFF00"/>
            <w:vAlign w:val="center"/>
          </w:tcPr>
          <w:p w14:paraId="251AF3F6"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4</w:t>
            </w:r>
            <w:r w:rsidRPr="001E4F9D">
              <w:rPr>
                <w:rFonts w:ascii="Calibri" w:hAnsi="Calibri" w:cs="Calibri"/>
                <w:b/>
                <w:sz w:val="14"/>
                <w:lang w:val="en-GB"/>
              </w:rPr>
              <w:br/>
              <w:t>Class C</w:t>
            </w:r>
          </w:p>
        </w:tc>
      </w:tr>
      <w:tr w:rsidR="009C783D" w:rsidRPr="001E4F9D" w14:paraId="1EB0FE05" w14:textId="77777777" w:rsidTr="009C783D">
        <w:tc>
          <w:tcPr>
            <w:tcW w:w="1413" w:type="dxa"/>
            <w:vAlign w:val="center"/>
          </w:tcPr>
          <w:p w14:paraId="2D68DC45"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6"/>
                <w:lang w:val="en-GB"/>
              </w:rPr>
              <w:t>3</w:t>
            </w:r>
          </w:p>
        </w:tc>
        <w:tc>
          <w:tcPr>
            <w:tcW w:w="1413" w:type="dxa"/>
            <w:vAlign w:val="center"/>
          </w:tcPr>
          <w:p w14:paraId="2AD70EE5" w14:textId="77777777" w:rsidR="009C783D" w:rsidRPr="001E4F9D" w:rsidRDefault="009C783D" w:rsidP="009C783D">
            <w:pPr>
              <w:spacing w:after="0"/>
              <w:rPr>
                <w:rFonts w:ascii="Calibri" w:hAnsi="Calibri" w:cs="Calibri"/>
                <w:lang w:val="en-GB"/>
              </w:rPr>
            </w:pPr>
            <w:r w:rsidRPr="001E4F9D">
              <w:rPr>
                <w:rFonts w:ascii="Calibri" w:hAnsi="Calibri" w:cs="Calibri"/>
                <w:sz w:val="13"/>
                <w:lang w:val="en-GB"/>
              </w:rPr>
              <w:t>Severe: serious or permanent injury</w:t>
            </w:r>
          </w:p>
        </w:tc>
        <w:tc>
          <w:tcPr>
            <w:tcW w:w="1413" w:type="dxa"/>
            <w:gridSpan w:val="2"/>
            <w:shd w:val="clear" w:color="auto" w:fill="FF0000"/>
            <w:vAlign w:val="center"/>
          </w:tcPr>
          <w:p w14:paraId="17633A24"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15</w:t>
            </w:r>
            <w:r w:rsidRPr="001E4F9D">
              <w:rPr>
                <w:rFonts w:ascii="Calibri" w:hAnsi="Calibri" w:cs="Calibri"/>
                <w:b/>
                <w:sz w:val="14"/>
                <w:lang w:val="en-GB"/>
              </w:rPr>
              <w:br/>
              <w:t>Class A</w:t>
            </w:r>
          </w:p>
        </w:tc>
        <w:tc>
          <w:tcPr>
            <w:tcW w:w="1413" w:type="dxa"/>
            <w:shd w:val="clear" w:color="auto" w:fill="FFC000"/>
            <w:vAlign w:val="center"/>
          </w:tcPr>
          <w:p w14:paraId="54BA2D7A"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12</w:t>
            </w:r>
            <w:r w:rsidRPr="001E4F9D">
              <w:rPr>
                <w:rFonts w:ascii="Calibri" w:hAnsi="Calibri" w:cs="Calibri"/>
                <w:b/>
                <w:sz w:val="14"/>
                <w:lang w:val="en-GB"/>
              </w:rPr>
              <w:br/>
              <w:t>Class B</w:t>
            </w:r>
          </w:p>
        </w:tc>
        <w:tc>
          <w:tcPr>
            <w:tcW w:w="1413" w:type="dxa"/>
            <w:gridSpan w:val="2"/>
            <w:shd w:val="clear" w:color="auto" w:fill="FFC000"/>
            <w:vAlign w:val="center"/>
          </w:tcPr>
          <w:p w14:paraId="056F7638"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9</w:t>
            </w:r>
            <w:r w:rsidRPr="001E4F9D">
              <w:rPr>
                <w:rFonts w:ascii="Calibri" w:hAnsi="Calibri" w:cs="Calibri"/>
                <w:b/>
                <w:sz w:val="14"/>
                <w:lang w:val="en-GB"/>
              </w:rPr>
              <w:br/>
              <w:t>Class B</w:t>
            </w:r>
          </w:p>
        </w:tc>
        <w:tc>
          <w:tcPr>
            <w:tcW w:w="1413" w:type="dxa"/>
            <w:shd w:val="clear" w:color="auto" w:fill="FFFF00"/>
            <w:vAlign w:val="center"/>
          </w:tcPr>
          <w:p w14:paraId="2016EE1B"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6</w:t>
            </w:r>
            <w:r w:rsidRPr="001E4F9D">
              <w:rPr>
                <w:rFonts w:ascii="Calibri" w:hAnsi="Calibri" w:cs="Calibri"/>
                <w:b/>
                <w:sz w:val="14"/>
                <w:lang w:val="en-GB"/>
              </w:rPr>
              <w:br/>
              <w:t>Class C</w:t>
            </w:r>
          </w:p>
        </w:tc>
        <w:tc>
          <w:tcPr>
            <w:tcW w:w="1416" w:type="dxa"/>
            <w:shd w:val="clear" w:color="auto" w:fill="FFFF00"/>
            <w:vAlign w:val="center"/>
          </w:tcPr>
          <w:p w14:paraId="2AB93848"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3</w:t>
            </w:r>
            <w:r w:rsidRPr="001E4F9D">
              <w:rPr>
                <w:rFonts w:ascii="Calibri" w:hAnsi="Calibri" w:cs="Calibri"/>
                <w:b/>
                <w:sz w:val="14"/>
                <w:lang w:val="en-GB"/>
              </w:rPr>
              <w:br/>
              <w:t>Class C</w:t>
            </w:r>
          </w:p>
        </w:tc>
      </w:tr>
      <w:tr w:rsidR="009C783D" w:rsidRPr="001E4F9D" w14:paraId="0CB20E3B" w14:textId="77777777" w:rsidTr="009C783D">
        <w:tc>
          <w:tcPr>
            <w:tcW w:w="1413" w:type="dxa"/>
            <w:vAlign w:val="center"/>
          </w:tcPr>
          <w:p w14:paraId="070DD3D2"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6"/>
                <w:lang w:val="en-GB"/>
              </w:rPr>
              <w:t>2</w:t>
            </w:r>
          </w:p>
        </w:tc>
        <w:tc>
          <w:tcPr>
            <w:tcW w:w="1413" w:type="dxa"/>
            <w:vAlign w:val="center"/>
          </w:tcPr>
          <w:p w14:paraId="3883D623" w14:textId="77777777" w:rsidR="009C783D" w:rsidRPr="001E4F9D" w:rsidRDefault="009C783D" w:rsidP="009C783D">
            <w:pPr>
              <w:spacing w:after="0"/>
              <w:rPr>
                <w:rFonts w:ascii="Calibri" w:hAnsi="Calibri" w:cs="Calibri"/>
                <w:lang w:val="en-GB"/>
              </w:rPr>
            </w:pPr>
            <w:r w:rsidRPr="001E4F9D">
              <w:rPr>
                <w:rFonts w:ascii="Calibri" w:hAnsi="Calibri" w:cs="Calibri"/>
                <w:sz w:val="13"/>
                <w:lang w:val="en-GB"/>
              </w:rPr>
              <w:t>Minor: recoverable minor injury</w:t>
            </w:r>
          </w:p>
        </w:tc>
        <w:tc>
          <w:tcPr>
            <w:tcW w:w="1413" w:type="dxa"/>
            <w:gridSpan w:val="2"/>
            <w:shd w:val="clear" w:color="auto" w:fill="FFC000"/>
            <w:vAlign w:val="center"/>
          </w:tcPr>
          <w:p w14:paraId="34BAD50E"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10</w:t>
            </w:r>
            <w:r w:rsidRPr="001E4F9D">
              <w:rPr>
                <w:rFonts w:ascii="Calibri" w:hAnsi="Calibri" w:cs="Calibri"/>
                <w:b/>
                <w:sz w:val="14"/>
                <w:lang w:val="en-GB"/>
              </w:rPr>
              <w:br/>
              <w:t>Class B</w:t>
            </w:r>
          </w:p>
        </w:tc>
        <w:tc>
          <w:tcPr>
            <w:tcW w:w="1413" w:type="dxa"/>
            <w:shd w:val="clear" w:color="auto" w:fill="FFC000"/>
            <w:vAlign w:val="center"/>
          </w:tcPr>
          <w:p w14:paraId="7E8C59D7"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8</w:t>
            </w:r>
            <w:r w:rsidRPr="001E4F9D">
              <w:rPr>
                <w:rFonts w:ascii="Calibri" w:hAnsi="Calibri" w:cs="Calibri"/>
                <w:b/>
                <w:sz w:val="14"/>
                <w:lang w:val="en-GB"/>
              </w:rPr>
              <w:br/>
              <w:t>Class B</w:t>
            </w:r>
          </w:p>
        </w:tc>
        <w:tc>
          <w:tcPr>
            <w:tcW w:w="1413" w:type="dxa"/>
            <w:gridSpan w:val="2"/>
            <w:shd w:val="clear" w:color="auto" w:fill="FFFF00"/>
            <w:vAlign w:val="center"/>
          </w:tcPr>
          <w:p w14:paraId="695F928D"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6</w:t>
            </w:r>
            <w:r w:rsidRPr="001E4F9D">
              <w:rPr>
                <w:rFonts w:ascii="Calibri" w:hAnsi="Calibri" w:cs="Calibri"/>
                <w:b/>
                <w:sz w:val="14"/>
                <w:lang w:val="en-GB"/>
              </w:rPr>
              <w:br/>
              <w:t>Class C</w:t>
            </w:r>
          </w:p>
        </w:tc>
        <w:tc>
          <w:tcPr>
            <w:tcW w:w="1413" w:type="dxa"/>
            <w:shd w:val="clear" w:color="auto" w:fill="FFFF00"/>
            <w:vAlign w:val="center"/>
          </w:tcPr>
          <w:p w14:paraId="12861865"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4</w:t>
            </w:r>
            <w:r w:rsidRPr="001E4F9D">
              <w:rPr>
                <w:rFonts w:ascii="Calibri" w:hAnsi="Calibri" w:cs="Calibri"/>
                <w:b/>
                <w:sz w:val="14"/>
                <w:lang w:val="en-GB"/>
              </w:rPr>
              <w:br/>
              <w:t>Class C</w:t>
            </w:r>
          </w:p>
        </w:tc>
        <w:tc>
          <w:tcPr>
            <w:tcW w:w="1416" w:type="dxa"/>
            <w:shd w:val="clear" w:color="auto" w:fill="00B050"/>
            <w:vAlign w:val="center"/>
          </w:tcPr>
          <w:p w14:paraId="3D62A71E"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2</w:t>
            </w:r>
            <w:r w:rsidRPr="001E4F9D">
              <w:rPr>
                <w:rFonts w:ascii="Calibri" w:hAnsi="Calibri" w:cs="Calibri"/>
                <w:b/>
                <w:sz w:val="14"/>
                <w:lang w:val="en-GB"/>
              </w:rPr>
              <w:br/>
              <w:t>Class D</w:t>
            </w:r>
          </w:p>
        </w:tc>
      </w:tr>
      <w:tr w:rsidR="009C783D" w:rsidRPr="001E4F9D" w14:paraId="1FAC21DB" w14:textId="77777777" w:rsidTr="009C783D">
        <w:tc>
          <w:tcPr>
            <w:tcW w:w="1413" w:type="dxa"/>
            <w:vAlign w:val="center"/>
          </w:tcPr>
          <w:p w14:paraId="25D8A93A"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6"/>
                <w:lang w:val="en-GB"/>
              </w:rPr>
              <w:t>1</w:t>
            </w:r>
          </w:p>
        </w:tc>
        <w:tc>
          <w:tcPr>
            <w:tcW w:w="1413" w:type="dxa"/>
            <w:vAlign w:val="center"/>
          </w:tcPr>
          <w:p w14:paraId="03E0EDF7" w14:textId="77777777" w:rsidR="009C783D" w:rsidRPr="001E4F9D" w:rsidRDefault="009C783D" w:rsidP="009C783D">
            <w:pPr>
              <w:spacing w:after="0"/>
              <w:rPr>
                <w:rFonts w:ascii="Calibri" w:hAnsi="Calibri" w:cs="Calibri"/>
                <w:lang w:val="en-GB"/>
              </w:rPr>
            </w:pPr>
            <w:r w:rsidRPr="001E4F9D">
              <w:rPr>
                <w:rFonts w:ascii="Calibri" w:hAnsi="Calibri" w:cs="Calibri"/>
                <w:sz w:val="13"/>
                <w:lang w:val="en-GB"/>
              </w:rPr>
              <w:t>Marginal: negligible harm</w:t>
            </w:r>
          </w:p>
        </w:tc>
        <w:tc>
          <w:tcPr>
            <w:tcW w:w="1413" w:type="dxa"/>
            <w:gridSpan w:val="2"/>
            <w:shd w:val="clear" w:color="auto" w:fill="FFFF00"/>
            <w:vAlign w:val="center"/>
          </w:tcPr>
          <w:p w14:paraId="6715D2AD"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5</w:t>
            </w:r>
            <w:r w:rsidRPr="001E4F9D">
              <w:rPr>
                <w:rFonts w:ascii="Calibri" w:hAnsi="Calibri" w:cs="Calibri"/>
                <w:b/>
                <w:sz w:val="14"/>
                <w:lang w:val="en-GB"/>
              </w:rPr>
              <w:br/>
              <w:t>Class C</w:t>
            </w:r>
          </w:p>
        </w:tc>
        <w:tc>
          <w:tcPr>
            <w:tcW w:w="1413" w:type="dxa"/>
            <w:shd w:val="clear" w:color="auto" w:fill="FFFF00"/>
            <w:vAlign w:val="center"/>
          </w:tcPr>
          <w:p w14:paraId="4B402EA8"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4</w:t>
            </w:r>
            <w:r w:rsidRPr="001E4F9D">
              <w:rPr>
                <w:rFonts w:ascii="Calibri" w:hAnsi="Calibri" w:cs="Calibri"/>
                <w:b/>
                <w:sz w:val="14"/>
                <w:lang w:val="en-GB"/>
              </w:rPr>
              <w:br/>
              <w:t>Class C</w:t>
            </w:r>
          </w:p>
        </w:tc>
        <w:tc>
          <w:tcPr>
            <w:tcW w:w="1413" w:type="dxa"/>
            <w:gridSpan w:val="2"/>
            <w:shd w:val="clear" w:color="auto" w:fill="00B050"/>
            <w:vAlign w:val="center"/>
          </w:tcPr>
          <w:p w14:paraId="784ACDE0"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3</w:t>
            </w:r>
            <w:r w:rsidRPr="001E4F9D">
              <w:rPr>
                <w:rFonts w:ascii="Calibri" w:hAnsi="Calibri" w:cs="Calibri"/>
                <w:b/>
                <w:sz w:val="14"/>
                <w:lang w:val="en-GB"/>
              </w:rPr>
              <w:br/>
              <w:t>Class D</w:t>
            </w:r>
          </w:p>
        </w:tc>
        <w:tc>
          <w:tcPr>
            <w:tcW w:w="1413" w:type="dxa"/>
            <w:shd w:val="clear" w:color="auto" w:fill="00B050"/>
            <w:vAlign w:val="center"/>
          </w:tcPr>
          <w:p w14:paraId="68C90B53"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2</w:t>
            </w:r>
            <w:r w:rsidRPr="001E4F9D">
              <w:rPr>
                <w:rFonts w:ascii="Calibri" w:hAnsi="Calibri" w:cs="Calibri"/>
                <w:b/>
                <w:sz w:val="14"/>
                <w:lang w:val="en-GB"/>
              </w:rPr>
              <w:br/>
              <w:t>Class D</w:t>
            </w:r>
          </w:p>
        </w:tc>
        <w:tc>
          <w:tcPr>
            <w:tcW w:w="1416" w:type="dxa"/>
            <w:shd w:val="clear" w:color="auto" w:fill="00B050"/>
            <w:vAlign w:val="center"/>
          </w:tcPr>
          <w:p w14:paraId="03C46039" w14:textId="77777777" w:rsidR="009C783D" w:rsidRPr="001E4F9D" w:rsidRDefault="009C783D" w:rsidP="009C783D">
            <w:pPr>
              <w:spacing w:after="0"/>
              <w:jc w:val="center"/>
              <w:rPr>
                <w:rFonts w:ascii="Calibri" w:hAnsi="Calibri" w:cs="Calibri"/>
                <w:lang w:val="en-GB"/>
              </w:rPr>
            </w:pPr>
            <w:r w:rsidRPr="001E4F9D">
              <w:rPr>
                <w:rFonts w:ascii="Calibri" w:hAnsi="Calibri" w:cs="Calibri"/>
                <w:b/>
                <w:sz w:val="14"/>
                <w:lang w:val="en-GB"/>
              </w:rPr>
              <w:t>1</w:t>
            </w:r>
            <w:r w:rsidRPr="001E4F9D">
              <w:rPr>
                <w:rFonts w:ascii="Calibri" w:hAnsi="Calibri" w:cs="Calibri"/>
                <w:b/>
                <w:sz w:val="14"/>
                <w:lang w:val="en-GB"/>
              </w:rPr>
              <w:br/>
              <w:t>Class D</w:t>
            </w:r>
          </w:p>
        </w:tc>
      </w:tr>
      <w:tr w:rsidR="009C783D" w:rsidRPr="001E4F9D" w14:paraId="46271526" w14:textId="77777777" w:rsidTr="009C783D">
        <w:tc>
          <w:tcPr>
            <w:tcW w:w="3298" w:type="dxa"/>
            <w:gridSpan w:val="3"/>
            <w:shd w:val="clear" w:color="auto" w:fill="2F75B5"/>
            <w:vAlign w:val="center"/>
          </w:tcPr>
          <w:p w14:paraId="299B9C69" w14:textId="77777777" w:rsidR="009C783D" w:rsidRPr="001E4F9D" w:rsidRDefault="009C783D" w:rsidP="009C783D">
            <w:pPr>
              <w:spacing w:after="0"/>
              <w:jc w:val="center"/>
              <w:rPr>
                <w:rFonts w:ascii="Calibri" w:hAnsi="Calibri" w:cs="Calibri"/>
                <w:lang w:val="en-GB"/>
              </w:rPr>
            </w:pPr>
            <w:r w:rsidRPr="001E4F9D">
              <w:rPr>
                <w:rFonts w:ascii="Calibri" w:hAnsi="Calibri" w:cs="Calibri"/>
                <w:b/>
                <w:color w:val="FFFFFF"/>
                <w:sz w:val="15"/>
                <w:lang w:val="en-GB"/>
              </w:rPr>
              <w:t>Risk Class</w:t>
            </w:r>
          </w:p>
        </w:tc>
        <w:tc>
          <w:tcPr>
            <w:tcW w:w="3298" w:type="dxa"/>
            <w:gridSpan w:val="3"/>
            <w:shd w:val="clear" w:color="auto" w:fill="2F75B5"/>
            <w:vAlign w:val="center"/>
          </w:tcPr>
          <w:p w14:paraId="51CC376B" w14:textId="77777777" w:rsidR="009C783D" w:rsidRPr="001E4F9D" w:rsidRDefault="009C783D" w:rsidP="009C783D">
            <w:pPr>
              <w:spacing w:after="0"/>
              <w:jc w:val="center"/>
              <w:rPr>
                <w:rFonts w:ascii="Calibri" w:hAnsi="Calibri" w:cs="Calibri"/>
                <w:lang w:val="en-GB"/>
              </w:rPr>
            </w:pPr>
            <w:r w:rsidRPr="001E4F9D">
              <w:rPr>
                <w:rFonts w:ascii="Calibri" w:hAnsi="Calibri" w:cs="Calibri"/>
                <w:b/>
                <w:color w:val="FFFFFF"/>
                <w:sz w:val="15"/>
                <w:lang w:val="en-GB"/>
              </w:rPr>
              <w:t>Decision category</w:t>
            </w:r>
          </w:p>
        </w:tc>
        <w:tc>
          <w:tcPr>
            <w:tcW w:w="3298" w:type="dxa"/>
            <w:gridSpan w:val="3"/>
            <w:shd w:val="clear" w:color="auto" w:fill="2F75B5"/>
            <w:vAlign w:val="center"/>
          </w:tcPr>
          <w:p w14:paraId="2276E475" w14:textId="77777777" w:rsidR="009C783D" w:rsidRPr="001E4F9D" w:rsidRDefault="009C783D" w:rsidP="009C783D">
            <w:pPr>
              <w:spacing w:after="0"/>
              <w:jc w:val="center"/>
              <w:rPr>
                <w:rFonts w:ascii="Calibri" w:hAnsi="Calibri" w:cs="Calibri"/>
                <w:lang w:val="en-GB"/>
              </w:rPr>
            </w:pPr>
            <w:r w:rsidRPr="001E4F9D">
              <w:rPr>
                <w:rFonts w:ascii="Calibri" w:hAnsi="Calibri" w:cs="Calibri"/>
                <w:b/>
                <w:color w:val="FFFFFF"/>
                <w:sz w:val="15"/>
                <w:lang w:val="en-GB"/>
              </w:rPr>
              <w:t>Required response</w:t>
            </w:r>
          </w:p>
        </w:tc>
      </w:tr>
      <w:tr w:rsidR="009C783D" w:rsidRPr="001E4F9D" w14:paraId="6BE06413" w14:textId="77777777" w:rsidTr="009C783D">
        <w:tc>
          <w:tcPr>
            <w:tcW w:w="3298" w:type="dxa"/>
            <w:gridSpan w:val="3"/>
            <w:shd w:val="clear" w:color="auto" w:fill="FF0000"/>
            <w:vAlign w:val="center"/>
          </w:tcPr>
          <w:p w14:paraId="646338EE" w14:textId="77777777" w:rsidR="009C783D" w:rsidRPr="001E4F9D" w:rsidRDefault="009C783D" w:rsidP="009C783D">
            <w:pPr>
              <w:spacing w:after="0"/>
              <w:jc w:val="center"/>
              <w:rPr>
                <w:rFonts w:ascii="Calibri" w:hAnsi="Calibri" w:cs="Calibri"/>
                <w:lang w:val="en-GB"/>
              </w:rPr>
            </w:pPr>
            <w:r w:rsidRPr="001E4F9D">
              <w:rPr>
                <w:rFonts w:ascii="Calibri" w:hAnsi="Calibri" w:cs="Calibri"/>
                <w:sz w:val="14"/>
                <w:lang w:val="en-GB"/>
              </w:rPr>
              <w:t>A</w:t>
            </w:r>
          </w:p>
        </w:tc>
        <w:tc>
          <w:tcPr>
            <w:tcW w:w="3298" w:type="dxa"/>
            <w:gridSpan w:val="3"/>
            <w:vAlign w:val="center"/>
          </w:tcPr>
          <w:p w14:paraId="4D8BF267" w14:textId="77777777" w:rsidR="009C783D" w:rsidRPr="001E4F9D" w:rsidRDefault="009C783D" w:rsidP="009C783D">
            <w:pPr>
              <w:spacing w:after="0"/>
              <w:jc w:val="center"/>
              <w:rPr>
                <w:rFonts w:ascii="Calibri" w:hAnsi="Calibri" w:cs="Calibri"/>
                <w:lang w:val="en-GB"/>
              </w:rPr>
            </w:pPr>
            <w:r w:rsidRPr="001E4F9D">
              <w:rPr>
                <w:rFonts w:ascii="Calibri" w:hAnsi="Calibri" w:cs="Calibri"/>
                <w:sz w:val="14"/>
                <w:lang w:val="en-GB"/>
              </w:rPr>
              <w:t>Intolerable / unacceptable</w:t>
            </w:r>
          </w:p>
        </w:tc>
        <w:tc>
          <w:tcPr>
            <w:tcW w:w="3298" w:type="dxa"/>
            <w:gridSpan w:val="3"/>
            <w:vAlign w:val="center"/>
          </w:tcPr>
          <w:p w14:paraId="0CDF417F" w14:textId="77777777" w:rsidR="009C783D" w:rsidRPr="001E4F9D" w:rsidRDefault="009C783D" w:rsidP="009C783D">
            <w:pPr>
              <w:spacing w:after="0"/>
              <w:rPr>
                <w:rFonts w:ascii="Calibri" w:hAnsi="Calibri" w:cs="Calibri"/>
                <w:sz w:val="14"/>
                <w:szCs w:val="14"/>
                <w:lang w:val="en-GB"/>
              </w:rPr>
            </w:pPr>
            <w:r w:rsidRPr="001E4F9D">
              <w:rPr>
                <w:rFonts w:ascii="Calibri" w:hAnsi="Calibri" w:cs="Calibri"/>
                <w:color w:val="000000"/>
                <w:sz w:val="14"/>
                <w:szCs w:val="14"/>
                <w:lang w:val="en-GB"/>
              </w:rPr>
              <w:t>The risk is considered Intolerable/ Unacceptable. The activity shall not proceed, or the system shall not be used.</w:t>
            </w:r>
          </w:p>
        </w:tc>
      </w:tr>
      <w:tr w:rsidR="009C783D" w:rsidRPr="001E4F9D" w14:paraId="74AAF338" w14:textId="77777777" w:rsidTr="009C783D">
        <w:tc>
          <w:tcPr>
            <w:tcW w:w="3298" w:type="dxa"/>
            <w:gridSpan w:val="3"/>
            <w:shd w:val="clear" w:color="auto" w:fill="FFC000"/>
            <w:vAlign w:val="center"/>
          </w:tcPr>
          <w:p w14:paraId="1A6C1CEC" w14:textId="77777777" w:rsidR="009C783D" w:rsidRPr="001E4F9D" w:rsidRDefault="009C783D" w:rsidP="009C783D">
            <w:pPr>
              <w:spacing w:after="0"/>
              <w:jc w:val="center"/>
              <w:rPr>
                <w:rFonts w:ascii="Calibri" w:hAnsi="Calibri" w:cs="Calibri"/>
                <w:lang w:val="en-GB"/>
              </w:rPr>
            </w:pPr>
            <w:r w:rsidRPr="001E4F9D">
              <w:rPr>
                <w:rFonts w:ascii="Calibri" w:hAnsi="Calibri" w:cs="Calibri"/>
                <w:sz w:val="14"/>
                <w:lang w:val="en-GB"/>
              </w:rPr>
              <w:t>B</w:t>
            </w:r>
          </w:p>
        </w:tc>
        <w:tc>
          <w:tcPr>
            <w:tcW w:w="3298" w:type="dxa"/>
            <w:gridSpan w:val="3"/>
            <w:vAlign w:val="center"/>
          </w:tcPr>
          <w:p w14:paraId="409E527D" w14:textId="77777777" w:rsidR="009C783D" w:rsidRPr="001E4F9D" w:rsidRDefault="009C783D" w:rsidP="009C783D">
            <w:pPr>
              <w:spacing w:after="0"/>
              <w:jc w:val="center"/>
              <w:rPr>
                <w:rFonts w:ascii="Calibri" w:hAnsi="Calibri" w:cs="Calibri"/>
                <w:lang w:val="en-GB"/>
              </w:rPr>
            </w:pPr>
            <w:r w:rsidRPr="001E4F9D">
              <w:rPr>
                <w:rFonts w:ascii="Calibri" w:hAnsi="Calibri" w:cs="Calibri"/>
                <w:sz w:val="14"/>
                <w:lang w:val="en-GB"/>
              </w:rPr>
              <w:t>Tolerable only if ALARP is demonstrated</w:t>
            </w:r>
          </w:p>
        </w:tc>
        <w:tc>
          <w:tcPr>
            <w:tcW w:w="3298" w:type="dxa"/>
            <w:gridSpan w:val="3"/>
            <w:vAlign w:val="center"/>
          </w:tcPr>
          <w:p w14:paraId="14CF6D90" w14:textId="77777777" w:rsidR="009C783D" w:rsidRPr="001E4F9D" w:rsidRDefault="009C783D" w:rsidP="009C783D">
            <w:pPr>
              <w:spacing w:after="0"/>
              <w:rPr>
                <w:rFonts w:ascii="Calibri" w:hAnsi="Calibri" w:cs="Calibri"/>
                <w:sz w:val="14"/>
                <w:szCs w:val="14"/>
                <w:lang w:val="en-GB"/>
              </w:rPr>
            </w:pPr>
            <w:r w:rsidRPr="001E4F9D">
              <w:rPr>
                <w:rFonts w:ascii="Calibri" w:hAnsi="Calibri" w:cs="Calibri"/>
                <w:color w:val="000000"/>
                <w:sz w:val="14"/>
                <w:szCs w:val="14"/>
                <w:lang w:val="en-GB"/>
              </w:rPr>
              <w:t>The risk can only be considered Tolerable and ALARP if demonstrated that further risk reduction is impracticable.</w:t>
            </w:r>
          </w:p>
        </w:tc>
      </w:tr>
      <w:tr w:rsidR="009C783D" w:rsidRPr="001E4F9D" w14:paraId="6D160E62" w14:textId="77777777" w:rsidTr="009C783D">
        <w:trPr>
          <w:trHeight w:val="503"/>
        </w:trPr>
        <w:tc>
          <w:tcPr>
            <w:tcW w:w="3298" w:type="dxa"/>
            <w:gridSpan w:val="3"/>
            <w:shd w:val="clear" w:color="auto" w:fill="FFFF00"/>
            <w:vAlign w:val="center"/>
          </w:tcPr>
          <w:p w14:paraId="5D41973D" w14:textId="77777777" w:rsidR="009C783D" w:rsidRPr="001E4F9D" w:rsidRDefault="009C783D" w:rsidP="009C783D">
            <w:pPr>
              <w:spacing w:after="0"/>
              <w:jc w:val="center"/>
              <w:rPr>
                <w:rFonts w:ascii="Calibri" w:hAnsi="Calibri" w:cs="Calibri"/>
                <w:lang w:val="en-GB"/>
              </w:rPr>
            </w:pPr>
            <w:r w:rsidRPr="001E4F9D">
              <w:rPr>
                <w:rFonts w:ascii="Calibri" w:hAnsi="Calibri" w:cs="Calibri"/>
                <w:sz w:val="14"/>
                <w:lang w:val="en-GB"/>
              </w:rPr>
              <w:t>C</w:t>
            </w:r>
          </w:p>
        </w:tc>
        <w:tc>
          <w:tcPr>
            <w:tcW w:w="3298" w:type="dxa"/>
            <w:gridSpan w:val="3"/>
            <w:vAlign w:val="center"/>
          </w:tcPr>
          <w:p w14:paraId="3853EE94" w14:textId="77777777" w:rsidR="009C783D" w:rsidRPr="001E4F9D" w:rsidRDefault="009C783D" w:rsidP="009C783D">
            <w:pPr>
              <w:spacing w:after="0"/>
              <w:jc w:val="center"/>
              <w:rPr>
                <w:rFonts w:ascii="Calibri" w:hAnsi="Calibri" w:cs="Calibri"/>
                <w:lang w:val="en-GB"/>
              </w:rPr>
            </w:pPr>
            <w:r w:rsidRPr="001E4F9D">
              <w:rPr>
                <w:rFonts w:ascii="Calibri" w:hAnsi="Calibri" w:cs="Calibri"/>
                <w:sz w:val="14"/>
                <w:lang w:val="en-GB"/>
              </w:rPr>
              <w:t>Tolerable and subject to ALARP assurance</w:t>
            </w:r>
          </w:p>
        </w:tc>
        <w:tc>
          <w:tcPr>
            <w:tcW w:w="3298" w:type="dxa"/>
            <w:gridSpan w:val="3"/>
            <w:vAlign w:val="center"/>
          </w:tcPr>
          <w:p w14:paraId="06F4816E" w14:textId="77777777" w:rsidR="009C783D" w:rsidRPr="001E4F9D" w:rsidRDefault="009C783D" w:rsidP="009C783D">
            <w:pPr>
              <w:spacing w:after="0"/>
              <w:rPr>
                <w:rFonts w:ascii="Calibri" w:hAnsi="Calibri" w:cs="Calibri"/>
                <w:sz w:val="14"/>
                <w:szCs w:val="14"/>
                <w:lang w:val="en-GB"/>
              </w:rPr>
            </w:pPr>
            <w:r w:rsidRPr="001E4F9D">
              <w:rPr>
                <w:rFonts w:ascii="Calibri" w:hAnsi="Calibri" w:cs="Calibri"/>
                <w:color w:val="000000"/>
                <w:sz w:val="14"/>
                <w:szCs w:val="14"/>
                <w:lang w:val="en-GB"/>
              </w:rPr>
              <w:t>The risk is considered Tolerable and ALARP</w:t>
            </w:r>
          </w:p>
        </w:tc>
      </w:tr>
      <w:tr w:rsidR="009C783D" w:rsidRPr="001E4F9D" w14:paraId="00AB7CA9" w14:textId="77777777" w:rsidTr="009C783D">
        <w:tc>
          <w:tcPr>
            <w:tcW w:w="3298" w:type="dxa"/>
            <w:gridSpan w:val="3"/>
            <w:shd w:val="clear" w:color="auto" w:fill="00B050"/>
            <w:vAlign w:val="center"/>
          </w:tcPr>
          <w:p w14:paraId="0232B300" w14:textId="77777777" w:rsidR="009C783D" w:rsidRPr="001E4F9D" w:rsidRDefault="009C783D" w:rsidP="009C783D">
            <w:pPr>
              <w:spacing w:after="0"/>
              <w:jc w:val="center"/>
              <w:rPr>
                <w:rFonts w:ascii="Calibri" w:hAnsi="Calibri" w:cs="Calibri"/>
                <w:lang w:val="en-GB"/>
              </w:rPr>
            </w:pPr>
            <w:r w:rsidRPr="001E4F9D">
              <w:rPr>
                <w:rFonts w:ascii="Calibri" w:hAnsi="Calibri" w:cs="Calibri"/>
                <w:sz w:val="14"/>
                <w:lang w:val="en-GB"/>
              </w:rPr>
              <w:t>D</w:t>
            </w:r>
          </w:p>
        </w:tc>
        <w:tc>
          <w:tcPr>
            <w:tcW w:w="3298" w:type="dxa"/>
            <w:gridSpan w:val="3"/>
            <w:vAlign w:val="center"/>
          </w:tcPr>
          <w:p w14:paraId="6E09C1F7" w14:textId="77777777" w:rsidR="009C783D" w:rsidRPr="001E4F9D" w:rsidRDefault="009C783D" w:rsidP="009C783D">
            <w:pPr>
              <w:spacing w:after="0"/>
              <w:jc w:val="center"/>
              <w:rPr>
                <w:rFonts w:ascii="Calibri" w:hAnsi="Calibri" w:cs="Calibri"/>
                <w:lang w:val="en-GB"/>
              </w:rPr>
            </w:pPr>
            <w:r w:rsidRPr="001E4F9D">
              <w:rPr>
                <w:rFonts w:ascii="Calibri" w:hAnsi="Calibri" w:cs="Calibri"/>
                <w:sz w:val="14"/>
                <w:lang w:val="en-GB"/>
              </w:rPr>
              <w:t>Broadly acceptable</w:t>
            </w:r>
          </w:p>
        </w:tc>
        <w:tc>
          <w:tcPr>
            <w:tcW w:w="3298" w:type="dxa"/>
            <w:gridSpan w:val="3"/>
            <w:vAlign w:val="center"/>
          </w:tcPr>
          <w:p w14:paraId="07631F11" w14:textId="77777777" w:rsidR="009C783D" w:rsidRPr="001E4F9D" w:rsidRDefault="009C783D" w:rsidP="009C783D">
            <w:pPr>
              <w:spacing w:after="0"/>
              <w:rPr>
                <w:rFonts w:ascii="Calibri" w:hAnsi="Calibri" w:cs="Calibri"/>
                <w:sz w:val="14"/>
                <w:szCs w:val="14"/>
                <w:lang w:val="en-GB"/>
              </w:rPr>
            </w:pPr>
            <w:r w:rsidRPr="001E4F9D">
              <w:rPr>
                <w:rFonts w:ascii="Calibri" w:hAnsi="Calibri" w:cs="Calibri"/>
                <w:color w:val="000000"/>
                <w:sz w:val="14"/>
                <w:szCs w:val="14"/>
                <w:lang w:val="en-GB"/>
              </w:rPr>
              <w:t xml:space="preserve">The risk </w:t>
            </w:r>
            <w:proofErr w:type="gramStart"/>
            <w:r w:rsidRPr="001E4F9D">
              <w:rPr>
                <w:rFonts w:ascii="Calibri" w:hAnsi="Calibri" w:cs="Calibri"/>
                <w:color w:val="000000"/>
                <w:sz w:val="14"/>
                <w:szCs w:val="14"/>
                <w:lang w:val="en-GB"/>
              </w:rPr>
              <w:t>is considered to be</w:t>
            </w:r>
            <w:proofErr w:type="gramEnd"/>
            <w:r w:rsidRPr="001E4F9D">
              <w:rPr>
                <w:rFonts w:ascii="Calibri" w:hAnsi="Calibri" w:cs="Calibri"/>
                <w:color w:val="000000"/>
                <w:sz w:val="14"/>
                <w:szCs w:val="14"/>
                <w:lang w:val="en-GB"/>
              </w:rPr>
              <w:t xml:space="preserve"> Broadly Acceptable. Additional risk reductions may be introduced only if the benefits justify the cost (time, money,</w:t>
            </w:r>
            <w:r w:rsidRPr="001E4F9D">
              <w:rPr>
                <w:rFonts w:ascii="Calibri" w:hAnsi="Calibri" w:cs="Calibri"/>
                <w:color w:val="000000"/>
                <w:sz w:val="14"/>
                <w:szCs w:val="14"/>
                <w:lang w:val="en-GB"/>
              </w:rPr>
              <w:br/>
              <w:t>inconvenience).</w:t>
            </w:r>
          </w:p>
        </w:tc>
      </w:tr>
    </w:tbl>
    <w:p w14:paraId="7C4D9E1C" w14:textId="77777777" w:rsidR="007A171C" w:rsidRPr="001E4F9D" w:rsidRDefault="00000000">
      <w:pPr>
        <w:rPr>
          <w:rFonts w:ascii="Calibri" w:hAnsi="Calibri" w:cs="Calibri"/>
          <w:color w:val="000000" w:themeColor="text1"/>
          <w:lang w:val="en-GB"/>
        </w:rPr>
      </w:pPr>
      <w:r w:rsidRPr="001E4F9D">
        <w:rPr>
          <w:rFonts w:ascii="Calibri" w:hAnsi="Calibri" w:cs="Calibri"/>
          <w:color w:val="000000" w:themeColor="text1"/>
          <w:lang w:val="en-GB"/>
        </w:rPr>
        <w:br w:type="page"/>
      </w:r>
    </w:p>
    <w:p w14:paraId="61BBB94C" w14:textId="0606A77E" w:rsidR="00B100AB" w:rsidRPr="001E4F9D" w:rsidRDefault="00B100AB" w:rsidP="008F00D3">
      <w:pPr>
        <w:rPr>
          <w:rFonts w:ascii="Calibri" w:hAnsi="Calibri" w:cs="Calibri"/>
          <w:lang w:val="en-GB"/>
        </w:rPr>
      </w:pPr>
      <w:r w:rsidRPr="001E4F9D">
        <w:rPr>
          <w:rFonts w:ascii="Calibri" w:hAnsi="Calibri" w:cs="Calibri"/>
          <w:lang w:val="en-GB"/>
        </w:rPr>
        <w:lastRenderedPageBreak/>
        <w:t>Likelihood is the chance that the stated harm will occur during a typical live-fire training or operational activity. It is based on the harmful outcome, not simply on the fact that the weapon is fired. Where reliable numerical data are not available, the written likelihood description is used and any uncertainty is recorded.</w:t>
      </w:r>
      <w:r w:rsidRPr="001E4F9D">
        <w:rPr>
          <w:rFonts w:ascii="Calibri" w:hAnsi="Calibri" w:cs="Calibri"/>
          <w:b/>
          <w:bCs/>
          <w:lang w:val="en-GB"/>
        </w:rPr>
        <w:t xml:space="preserve"> </w:t>
      </w:r>
      <w:r w:rsidRPr="001E4F9D">
        <w:rPr>
          <w:rFonts w:ascii="Calibri" w:hAnsi="Calibri" w:cs="Calibri"/>
          <w:lang w:val="en-GB"/>
        </w:rPr>
        <w:t>Severity is based on the most credible harm that could reasonably occur. It is not based on an extreme or unrealistic worst-case event. After controls are applied, severity usually stays the same because controls normally reduce the chance of the event rather than the seriousness of the harm.</w:t>
      </w:r>
    </w:p>
    <w:p w14:paraId="79C07CDD" w14:textId="77777777" w:rsidR="00B100AB" w:rsidRPr="001E4F9D" w:rsidRDefault="00B100AB" w:rsidP="008F00D3">
      <w:pPr>
        <w:rPr>
          <w:rFonts w:ascii="Calibri" w:hAnsi="Calibri" w:cs="Calibri"/>
          <w:lang w:val="en-GB"/>
        </w:rPr>
      </w:pPr>
      <w:r w:rsidRPr="001E4F9D">
        <w:rPr>
          <w:rFonts w:ascii="Calibri" w:hAnsi="Calibri" w:cs="Calibri"/>
          <w:lang w:val="en-GB"/>
        </w:rPr>
        <w:t>The improved matrix is clearer and easier to use. The same values from 1 to 5 are used to calculate the risk score, and each category has a clear description. This helps different assessors reach more consistent decisions. The matrix also keeps rare but catastrophic hazards under strong control and does not treat a low score as automatic proof that the risk is ALARP. The 1 to 25 scale is also easier to check, explain and compare.</w:t>
      </w:r>
    </w:p>
    <w:p w14:paraId="68831C79" w14:textId="77777777" w:rsidR="00B100AB" w:rsidRPr="001E4F9D" w:rsidRDefault="00B100AB" w:rsidP="008F00D3">
      <w:pPr>
        <w:rPr>
          <w:rFonts w:ascii="Calibri" w:hAnsi="Calibri" w:cs="Calibri"/>
          <w:lang w:val="en-GB"/>
        </w:rPr>
      </w:pPr>
      <w:r w:rsidRPr="001E4F9D">
        <w:rPr>
          <w:rFonts w:ascii="Calibri" w:hAnsi="Calibri" w:cs="Calibri"/>
          <w:lang w:val="en-GB"/>
        </w:rPr>
        <w:t>The original group matrix used separate hidden weights for likelihood and severity, producing scores from 1 to 135. Although this method was cautious, it was difficult to explain because the values shown in the matrix were not the same values used in the calculation. It also suggested a level of numerical accuracy that the available evidence could not support [9].</w:t>
      </w:r>
    </w:p>
    <w:p w14:paraId="3FE13815" w14:textId="77777777" w:rsidR="00B100AB" w:rsidRPr="001E4F9D" w:rsidRDefault="00B100AB" w:rsidP="008F00D3">
      <w:pPr>
        <w:rPr>
          <w:rFonts w:ascii="Calibri" w:hAnsi="Calibri" w:cs="Calibri"/>
          <w:b/>
          <w:bCs/>
          <w:lang w:val="en-GB"/>
        </w:rPr>
      </w:pPr>
      <w:r w:rsidRPr="001E4F9D">
        <w:rPr>
          <w:rFonts w:ascii="Calibri" w:hAnsi="Calibri" w:cs="Calibri"/>
          <w:lang w:val="en-GB"/>
        </w:rPr>
        <w:t xml:space="preserve">The improved method keeps five likelihood levels and five severity levels but removes the hidden weighting. Each risk score is calculated as Likelihood × Severity, and the risk class is then shown using a cautious colour system. The matrix is used to compare and prioritise risks, but it </w:t>
      </w:r>
      <w:r w:rsidRPr="001E4F9D">
        <w:rPr>
          <w:rFonts w:ascii="Calibri" w:hAnsi="Calibri" w:cs="Calibri"/>
          <w:noProof/>
          <w:lang w:val="en-GB"/>
        </w:rPr>
        <w:t>does</w:t>
      </w:r>
      <w:r w:rsidRPr="001E4F9D">
        <w:rPr>
          <w:rFonts w:ascii="Calibri" w:hAnsi="Calibri" w:cs="Calibri"/>
          <w:lang w:val="en-GB"/>
        </w:rPr>
        <w:t xml:space="preserve"> not by itself prove that a risk is ALARP. IEC 31010 also states that the categories, assumptions and decision rules should be clearly defined for the activity being assessed [10].</w:t>
      </w:r>
    </w:p>
    <w:p w14:paraId="39C1D70D" w14:textId="7C1EAD09" w:rsidR="007A171C" w:rsidRPr="001E4F9D" w:rsidRDefault="00C10D54" w:rsidP="00B100AB">
      <w:pPr>
        <w:pStyle w:val="Heading2"/>
        <w:rPr>
          <w:rFonts w:ascii="Calibri" w:hAnsi="Calibri" w:cs="Calibri"/>
          <w:color w:val="000000" w:themeColor="text1"/>
          <w:szCs w:val="24"/>
          <w:lang w:val="en-GB"/>
        </w:rPr>
      </w:pPr>
      <w:bookmarkStart w:id="9" w:name="_Toc235173331"/>
      <w:r w:rsidRPr="001E4F9D">
        <w:rPr>
          <w:rFonts w:ascii="Calibri" w:hAnsi="Calibri" w:cs="Calibri"/>
          <w:color w:val="000000" w:themeColor="text1"/>
          <w:szCs w:val="24"/>
          <w:lang w:val="en-GB"/>
        </w:rPr>
        <w:t>3. Hazard register, controls and residual risk</w:t>
      </w:r>
      <w:bookmarkEnd w:id="9"/>
    </w:p>
    <w:p w14:paraId="5C63ED54" w14:textId="77777777" w:rsidR="007A171C" w:rsidRPr="001E4F9D" w:rsidRDefault="00000000">
      <w:pPr>
        <w:spacing w:after="60" w:line="245" w:lineRule="auto"/>
        <w:rPr>
          <w:rFonts w:ascii="Calibri" w:hAnsi="Calibri" w:cs="Calibri"/>
          <w:lang w:val="en-GB"/>
        </w:rPr>
      </w:pPr>
      <w:r w:rsidRPr="001E4F9D">
        <w:rPr>
          <w:rFonts w:ascii="Calibri" w:hAnsi="Calibri" w:cs="Calibri"/>
          <w:lang w:val="en-GB"/>
        </w:rPr>
        <w:t>The table shows each hazard, the possible accident, likely causes, risk before controls, required controls, risk after controls and final risk status. The person responsible for the activity should confirm that all safety-critical controls are in place before work begins. The activity should be stopped if an essential control is missing.</w:t>
      </w:r>
    </w:p>
    <w:tbl>
      <w:tblPr>
        <w:tblStyle w:val="TableGrid"/>
        <w:tblW w:w="0" w:type="auto"/>
        <w:jc w:val="center"/>
        <w:tblLook w:val="04A0" w:firstRow="1" w:lastRow="0" w:firstColumn="1" w:lastColumn="0" w:noHBand="0" w:noVBand="1"/>
      </w:tblPr>
      <w:tblGrid>
        <w:gridCol w:w="615"/>
        <w:gridCol w:w="1066"/>
        <w:gridCol w:w="1745"/>
        <w:gridCol w:w="1885"/>
        <w:gridCol w:w="2022"/>
        <w:gridCol w:w="528"/>
        <w:gridCol w:w="528"/>
        <w:gridCol w:w="775"/>
        <w:gridCol w:w="3113"/>
        <w:gridCol w:w="879"/>
        <w:gridCol w:w="747"/>
        <w:gridCol w:w="778"/>
        <w:gridCol w:w="1135"/>
      </w:tblGrid>
      <w:tr w:rsidR="007A171C" w:rsidRPr="001E4F9D" w14:paraId="5BED9B42" w14:textId="77777777" w:rsidTr="00C10D54">
        <w:trPr>
          <w:tblHeader/>
          <w:jc w:val="center"/>
        </w:trPr>
        <w:tc>
          <w:tcPr>
            <w:tcW w:w="617" w:type="dxa"/>
            <w:shd w:val="clear" w:color="auto" w:fill="2F75B5"/>
            <w:vAlign w:val="center"/>
          </w:tcPr>
          <w:p w14:paraId="0094A708" w14:textId="77777777" w:rsidR="007A171C" w:rsidRPr="001E4F9D" w:rsidRDefault="00000000">
            <w:pPr>
              <w:spacing w:after="0"/>
              <w:rPr>
                <w:rFonts w:ascii="Calibri" w:hAnsi="Calibri" w:cs="Calibri"/>
                <w:sz w:val="11"/>
                <w:szCs w:val="11"/>
                <w:lang w:val="en-GB"/>
              </w:rPr>
            </w:pPr>
            <w:r w:rsidRPr="001E4F9D">
              <w:rPr>
                <w:rFonts w:ascii="Calibri" w:hAnsi="Calibri" w:cs="Calibri"/>
                <w:b/>
                <w:color w:val="FFFFFF"/>
                <w:sz w:val="11"/>
                <w:szCs w:val="11"/>
                <w:lang w:val="en-GB"/>
              </w:rPr>
              <w:t>Hazard ID</w:t>
            </w:r>
          </w:p>
        </w:tc>
        <w:tc>
          <w:tcPr>
            <w:tcW w:w="1076" w:type="dxa"/>
            <w:shd w:val="clear" w:color="auto" w:fill="2F75B5"/>
            <w:vAlign w:val="center"/>
          </w:tcPr>
          <w:p w14:paraId="61D88684" w14:textId="77777777" w:rsidR="007A171C" w:rsidRPr="001E4F9D" w:rsidRDefault="00000000">
            <w:pPr>
              <w:spacing w:after="0"/>
              <w:rPr>
                <w:rFonts w:ascii="Calibri" w:hAnsi="Calibri" w:cs="Calibri"/>
                <w:sz w:val="11"/>
                <w:szCs w:val="11"/>
                <w:lang w:val="en-GB"/>
              </w:rPr>
            </w:pPr>
            <w:r w:rsidRPr="001E4F9D">
              <w:rPr>
                <w:rFonts w:ascii="Calibri" w:hAnsi="Calibri" w:cs="Calibri"/>
                <w:b/>
                <w:color w:val="FFFFFF"/>
                <w:sz w:val="11"/>
                <w:szCs w:val="11"/>
                <w:lang w:val="en-GB"/>
              </w:rPr>
              <w:t>Hazard</w:t>
            </w:r>
          </w:p>
        </w:tc>
        <w:tc>
          <w:tcPr>
            <w:tcW w:w="1777" w:type="dxa"/>
            <w:shd w:val="clear" w:color="auto" w:fill="2F75B5"/>
            <w:vAlign w:val="center"/>
          </w:tcPr>
          <w:p w14:paraId="4AAD6107" w14:textId="77777777" w:rsidR="007A171C" w:rsidRPr="001E4F9D" w:rsidRDefault="00000000">
            <w:pPr>
              <w:spacing w:after="0"/>
              <w:rPr>
                <w:rFonts w:ascii="Calibri" w:hAnsi="Calibri" w:cs="Calibri"/>
                <w:sz w:val="11"/>
                <w:szCs w:val="11"/>
                <w:lang w:val="en-GB"/>
              </w:rPr>
            </w:pPr>
            <w:r w:rsidRPr="001E4F9D">
              <w:rPr>
                <w:rFonts w:ascii="Calibri" w:hAnsi="Calibri" w:cs="Calibri"/>
                <w:b/>
                <w:color w:val="FFFFFF"/>
                <w:sz w:val="11"/>
                <w:szCs w:val="11"/>
                <w:lang w:val="en-GB"/>
              </w:rPr>
              <w:t>Hazard description</w:t>
            </w:r>
          </w:p>
        </w:tc>
        <w:tc>
          <w:tcPr>
            <w:tcW w:w="1917" w:type="dxa"/>
            <w:shd w:val="clear" w:color="auto" w:fill="2F75B5"/>
            <w:vAlign w:val="center"/>
          </w:tcPr>
          <w:p w14:paraId="78701E22" w14:textId="77777777" w:rsidR="007A171C" w:rsidRPr="001E4F9D" w:rsidRDefault="00000000">
            <w:pPr>
              <w:spacing w:after="0"/>
              <w:rPr>
                <w:rFonts w:ascii="Calibri" w:hAnsi="Calibri" w:cs="Calibri"/>
                <w:sz w:val="11"/>
                <w:szCs w:val="11"/>
                <w:lang w:val="en-GB"/>
              </w:rPr>
            </w:pPr>
            <w:r w:rsidRPr="001E4F9D">
              <w:rPr>
                <w:rFonts w:ascii="Calibri" w:hAnsi="Calibri" w:cs="Calibri"/>
                <w:b/>
                <w:color w:val="FFFFFF"/>
                <w:sz w:val="11"/>
                <w:szCs w:val="11"/>
                <w:lang w:val="en-GB"/>
              </w:rPr>
              <w:t>Accident / consequence</w:t>
            </w:r>
          </w:p>
        </w:tc>
        <w:tc>
          <w:tcPr>
            <w:tcW w:w="2060" w:type="dxa"/>
            <w:shd w:val="clear" w:color="auto" w:fill="2F75B5"/>
            <w:vAlign w:val="center"/>
          </w:tcPr>
          <w:p w14:paraId="00410155" w14:textId="77777777" w:rsidR="007A171C" w:rsidRPr="001E4F9D" w:rsidRDefault="00000000">
            <w:pPr>
              <w:spacing w:after="0"/>
              <w:rPr>
                <w:rFonts w:ascii="Calibri" w:hAnsi="Calibri" w:cs="Calibri"/>
                <w:sz w:val="11"/>
                <w:szCs w:val="11"/>
                <w:lang w:val="en-GB"/>
              </w:rPr>
            </w:pPr>
            <w:r w:rsidRPr="001E4F9D">
              <w:rPr>
                <w:rFonts w:ascii="Calibri" w:hAnsi="Calibri" w:cs="Calibri"/>
                <w:b/>
                <w:color w:val="FFFFFF"/>
                <w:sz w:val="11"/>
                <w:szCs w:val="11"/>
                <w:lang w:val="en-GB"/>
              </w:rPr>
              <w:t>Causes / threats</w:t>
            </w:r>
          </w:p>
        </w:tc>
        <w:tc>
          <w:tcPr>
            <w:tcW w:w="530" w:type="dxa"/>
            <w:shd w:val="clear" w:color="auto" w:fill="2F75B5"/>
            <w:vAlign w:val="center"/>
          </w:tcPr>
          <w:p w14:paraId="58DCBA79" w14:textId="77777777" w:rsidR="007A171C" w:rsidRPr="001E4F9D" w:rsidRDefault="00000000">
            <w:pPr>
              <w:spacing w:after="0"/>
              <w:rPr>
                <w:rFonts w:ascii="Calibri" w:hAnsi="Calibri" w:cs="Calibri"/>
                <w:sz w:val="11"/>
                <w:szCs w:val="11"/>
                <w:lang w:val="en-GB"/>
              </w:rPr>
            </w:pPr>
            <w:r w:rsidRPr="001E4F9D">
              <w:rPr>
                <w:rFonts w:ascii="Calibri" w:hAnsi="Calibri" w:cs="Calibri"/>
                <w:b/>
                <w:color w:val="FFFFFF"/>
                <w:sz w:val="11"/>
                <w:szCs w:val="11"/>
                <w:lang w:val="en-GB"/>
              </w:rPr>
              <w:t>Initial L</w:t>
            </w:r>
          </w:p>
        </w:tc>
        <w:tc>
          <w:tcPr>
            <w:tcW w:w="530" w:type="dxa"/>
            <w:shd w:val="clear" w:color="auto" w:fill="2F75B5"/>
            <w:vAlign w:val="center"/>
          </w:tcPr>
          <w:p w14:paraId="26EA8E53" w14:textId="77777777" w:rsidR="007A171C" w:rsidRPr="001E4F9D" w:rsidRDefault="00000000">
            <w:pPr>
              <w:spacing w:after="0"/>
              <w:rPr>
                <w:rFonts w:ascii="Calibri" w:hAnsi="Calibri" w:cs="Calibri"/>
                <w:sz w:val="11"/>
                <w:szCs w:val="11"/>
                <w:lang w:val="en-GB"/>
              </w:rPr>
            </w:pPr>
            <w:r w:rsidRPr="001E4F9D">
              <w:rPr>
                <w:rFonts w:ascii="Calibri" w:hAnsi="Calibri" w:cs="Calibri"/>
                <w:b/>
                <w:color w:val="FFFFFF"/>
                <w:sz w:val="11"/>
                <w:szCs w:val="11"/>
                <w:lang w:val="en-GB"/>
              </w:rPr>
              <w:t>Initial S</w:t>
            </w:r>
          </w:p>
        </w:tc>
        <w:tc>
          <w:tcPr>
            <w:tcW w:w="785" w:type="dxa"/>
            <w:shd w:val="clear" w:color="auto" w:fill="2F75B5"/>
            <w:vAlign w:val="center"/>
          </w:tcPr>
          <w:p w14:paraId="0F62CA44" w14:textId="77777777" w:rsidR="007A171C" w:rsidRPr="001E4F9D" w:rsidRDefault="00000000">
            <w:pPr>
              <w:spacing w:after="0"/>
              <w:rPr>
                <w:rFonts w:ascii="Calibri" w:hAnsi="Calibri" w:cs="Calibri"/>
                <w:sz w:val="11"/>
                <w:szCs w:val="11"/>
                <w:lang w:val="en-GB"/>
              </w:rPr>
            </w:pPr>
            <w:r w:rsidRPr="001E4F9D">
              <w:rPr>
                <w:rFonts w:ascii="Calibri" w:hAnsi="Calibri" w:cs="Calibri"/>
                <w:b/>
                <w:color w:val="FFFFFF"/>
                <w:sz w:val="11"/>
                <w:szCs w:val="11"/>
                <w:lang w:val="en-GB"/>
              </w:rPr>
              <w:t>Initial risk class</w:t>
            </w:r>
          </w:p>
        </w:tc>
        <w:tc>
          <w:tcPr>
            <w:tcW w:w="3186" w:type="dxa"/>
            <w:shd w:val="clear" w:color="auto" w:fill="2F75B5"/>
            <w:vAlign w:val="center"/>
          </w:tcPr>
          <w:p w14:paraId="5BF64A73" w14:textId="77777777" w:rsidR="007A171C" w:rsidRPr="001E4F9D" w:rsidRDefault="00000000">
            <w:pPr>
              <w:spacing w:after="0"/>
              <w:rPr>
                <w:rFonts w:ascii="Calibri" w:hAnsi="Calibri" w:cs="Calibri"/>
                <w:sz w:val="11"/>
                <w:szCs w:val="11"/>
                <w:lang w:val="en-GB"/>
              </w:rPr>
            </w:pPr>
            <w:r w:rsidRPr="001E4F9D">
              <w:rPr>
                <w:rFonts w:ascii="Calibri" w:hAnsi="Calibri" w:cs="Calibri"/>
                <w:b/>
                <w:color w:val="FFFFFF"/>
                <w:sz w:val="11"/>
                <w:szCs w:val="11"/>
                <w:lang w:val="en-GB"/>
              </w:rPr>
              <w:t>Risk reduction / controls</w:t>
            </w:r>
          </w:p>
        </w:tc>
        <w:tc>
          <w:tcPr>
            <w:tcW w:w="883" w:type="dxa"/>
            <w:shd w:val="clear" w:color="auto" w:fill="2F75B5"/>
            <w:vAlign w:val="center"/>
          </w:tcPr>
          <w:p w14:paraId="1292FD04" w14:textId="77777777" w:rsidR="007A171C" w:rsidRPr="001E4F9D" w:rsidRDefault="00000000">
            <w:pPr>
              <w:spacing w:after="0"/>
              <w:rPr>
                <w:rFonts w:ascii="Calibri" w:hAnsi="Calibri" w:cs="Calibri"/>
                <w:sz w:val="11"/>
                <w:szCs w:val="11"/>
                <w:lang w:val="en-GB"/>
              </w:rPr>
            </w:pPr>
            <w:r w:rsidRPr="001E4F9D">
              <w:rPr>
                <w:rFonts w:ascii="Calibri" w:hAnsi="Calibri" w:cs="Calibri"/>
                <w:b/>
                <w:color w:val="FFFFFF"/>
                <w:sz w:val="11"/>
                <w:szCs w:val="11"/>
                <w:lang w:val="en-GB"/>
              </w:rPr>
              <w:t>Likelihood2</w:t>
            </w:r>
          </w:p>
        </w:tc>
        <w:tc>
          <w:tcPr>
            <w:tcW w:w="750" w:type="dxa"/>
            <w:shd w:val="clear" w:color="auto" w:fill="2F75B5"/>
            <w:vAlign w:val="center"/>
          </w:tcPr>
          <w:p w14:paraId="2C0130C3" w14:textId="77777777" w:rsidR="007A171C" w:rsidRPr="001E4F9D" w:rsidRDefault="00000000">
            <w:pPr>
              <w:spacing w:after="0"/>
              <w:rPr>
                <w:rFonts w:ascii="Calibri" w:hAnsi="Calibri" w:cs="Calibri"/>
                <w:sz w:val="11"/>
                <w:szCs w:val="11"/>
                <w:lang w:val="en-GB"/>
              </w:rPr>
            </w:pPr>
            <w:r w:rsidRPr="001E4F9D">
              <w:rPr>
                <w:rFonts w:ascii="Calibri" w:hAnsi="Calibri" w:cs="Calibri"/>
                <w:b/>
                <w:color w:val="FFFFFF"/>
                <w:sz w:val="11"/>
                <w:szCs w:val="11"/>
                <w:lang w:val="en-GB"/>
              </w:rPr>
              <w:t>Severity3</w:t>
            </w:r>
          </w:p>
        </w:tc>
        <w:tc>
          <w:tcPr>
            <w:tcW w:w="787" w:type="dxa"/>
            <w:shd w:val="clear" w:color="auto" w:fill="2F75B5"/>
            <w:vAlign w:val="center"/>
          </w:tcPr>
          <w:p w14:paraId="44B8660E" w14:textId="77777777" w:rsidR="007A171C" w:rsidRPr="001E4F9D" w:rsidRDefault="00000000">
            <w:pPr>
              <w:spacing w:after="0"/>
              <w:rPr>
                <w:rFonts w:ascii="Calibri" w:hAnsi="Calibri" w:cs="Calibri"/>
                <w:sz w:val="11"/>
                <w:szCs w:val="11"/>
                <w:lang w:val="en-GB"/>
              </w:rPr>
            </w:pPr>
            <w:r w:rsidRPr="001E4F9D">
              <w:rPr>
                <w:rFonts w:ascii="Calibri" w:hAnsi="Calibri" w:cs="Calibri"/>
                <w:b/>
                <w:color w:val="FFFFFF"/>
                <w:sz w:val="11"/>
                <w:szCs w:val="11"/>
                <w:lang w:val="en-GB"/>
              </w:rPr>
              <w:t>Risk Class4</w:t>
            </w:r>
          </w:p>
        </w:tc>
        <w:tc>
          <w:tcPr>
            <w:tcW w:w="1144" w:type="dxa"/>
            <w:shd w:val="clear" w:color="auto" w:fill="2F75B5"/>
            <w:vAlign w:val="center"/>
          </w:tcPr>
          <w:p w14:paraId="71301048" w14:textId="77777777" w:rsidR="007A171C" w:rsidRPr="001E4F9D" w:rsidRDefault="00000000">
            <w:pPr>
              <w:spacing w:after="0"/>
              <w:rPr>
                <w:rFonts w:ascii="Calibri" w:hAnsi="Calibri" w:cs="Calibri"/>
                <w:sz w:val="11"/>
                <w:szCs w:val="11"/>
                <w:lang w:val="en-GB"/>
              </w:rPr>
            </w:pPr>
            <w:r w:rsidRPr="001E4F9D">
              <w:rPr>
                <w:rFonts w:ascii="Calibri" w:hAnsi="Calibri" w:cs="Calibri"/>
                <w:b/>
                <w:color w:val="FFFFFF"/>
                <w:sz w:val="11"/>
                <w:szCs w:val="11"/>
                <w:lang w:val="en-GB"/>
              </w:rPr>
              <w:t>Risk Status</w:t>
            </w:r>
          </w:p>
        </w:tc>
      </w:tr>
      <w:tr w:rsidR="007A171C" w:rsidRPr="001E4F9D" w14:paraId="0AB8F8B0" w14:textId="77777777" w:rsidTr="00C10D54">
        <w:trPr>
          <w:jc w:val="center"/>
        </w:trPr>
        <w:tc>
          <w:tcPr>
            <w:tcW w:w="617" w:type="dxa"/>
            <w:vAlign w:val="center"/>
          </w:tcPr>
          <w:p w14:paraId="456A0B9E" w14:textId="77777777" w:rsidR="007A171C" w:rsidRPr="001E4F9D" w:rsidRDefault="00000000">
            <w:pPr>
              <w:spacing w:after="0"/>
              <w:rPr>
                <w:rFonts w:ascii="Calibri" w:hAnsi="Calibri" w:cs="Calibri"/>
                <w:sz w:val="11"/>
                <w:szCs w:val="11"/>
                <w:lang w:val="en-GB"/>
              </w:rPr>
            </w:pPr>
            <w:r w:rsidRPr="001E4F9D">
              <w:rPr>
                <w:rFonts w:ascii="Calibri" w:hAnsi="Calibri" w:cs="Calibri"/>
                <w:sz w:val="11"/>
                <w:szCs w:val="11"/>
                <w:lang w:val="en-GB"/>
              </w:rPr>
              <w:t>H1</w:t>
            </w:r>
          </w:p>
        </w:tc>
        <w:tc>
          <w:tcPr>
            <w:tcW w:w="1076" w:type="dxa"/>
            <w:vAlign w:val="center"/>
          </w:tcPr>
          <w:p w14:paraId="104C81AC" w14:textId="77777777" w:rsidR="007A171C" w:rsidRPr="001E4F9D" w:rsidRDefault="00000000">
            <w:pPr>
              <w:spacing w:after="0"/>
              <w:rPr>
                <w:rFonts w:ascii="Calibri" w:hAnsi="Calibri" w:cs="Calibri"/>
                <w:sz w:val="11"/>
                <w:szCs w:val="11"/>
                <w:lang w:val="en-GB"/>
              </w:rPr>
            </w:pPr>
            <w:r w:rsidRPr="001E4F9D">
              <w:rPr>
                <w:rFonts w:ascii="Calibri" w:hAnsi="Calibri" w:cs="Calibri"/>
                <w:sz w:val="11"/>
                <w:szCs w:val="11"/>
                <w:lang w:val="en-GB"/>
              </w:rPr>
              <w:t>Ejected hot cartridge case</w:t>
            </w:r>
          </w:p>
        </w:tc>
        <w:tc>
          <w:tcPr>
            <w:tcW w:w="1777" w:type="dxa"/>
            <w:vAlign w:val="center"/>
          </w:tcPr>
          <w:p w14:paraId="62174BB8"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Hot cartridge cases are ejected during firing and may touch skin, clothing or nearby equipment.</w:t>
            </w:r>
          </w:p>
        </w:tc>
        <w:tc>
          <w:tcPr>
            <w:tcW w:w="1917" w:type="dxa"/>
            <w:vAlign w:val="center"/>
          </w:tcPr>
          <w:p w14:paraId="32C0C070"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Minor burns, damaged clothing, distraction, sudden movement, loss of muzzle control or a dropped weapon. In an extreme case, the operator could unintentionally fire while reacting.</w:t>
            </w:r>
          </w:p>
        </w:tc>
        <w:tc>
          <w:tcPr>
            <w:tcW w:w="2060" w:type="dxa"/>
            <w:vAlign w:val="center"/>
          </w:tcPr>
          <w:p w14:paraId="27A3666D"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Normal ejection; crowded firing points; unsuitable clothing; nearby firers; poor stance; incorrect reaction to a hot case.</w:t>
            </w:r>
          </w:p>
        </w:tc>
        <w:tc>
          <w:tcPr>
            <w:tcW w:w="530" w:type="dxa"/>
            <w:vAlign w:val="center"/>
          </w:tcPr>
          <w:p w14:paraId="429D1FFD"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4</w:t>
            </w:r>
          </w:p>
        </w:tc>
        <w:tc>
          <w:tcPr>
            <w:tcW w:w="530" w:type="dxa"/>
            <w:vAlign w:val="center"/>
          </w:tcPr>
          <w:p w14:paraId="20E11630"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2</w:t>
            </w:r>
          </w:p>
        </w:tc>
        <w:tc>
          <w:tcPr>
            <w:tcW w:w="785" w:type="dxa"/>
            <w:shd w:val="clear" w:color="auto" w:fill="FFC000"/>
            <w:vAlign w:val="center"/>
          </w:tcPr>
          <w:p w14:paraId="761CEAC7"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8 Class B</w:t>
            </w:r>
          </w:p>
        </w:tc>
        <w:tc>
          <w:tcPr>
            <w:tcW w:w="3186" w:type="dxa"/>
            <w:vAlign w:val="center"/>
          </w:tcPr>
          <w:p w14:paraId="4E67CF1A"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Wear long sleeves and eye protection; maintain safe spacing; brief users on case ejection; train a controlled response if a case enters clothing; keep the weapon pointed in a safe direction; provide instructor supervision and first aid.</w:t>
            </w:r>
          </w:p>
        </w:tc>
        <w:tc>
          <w:tcPr>
            <w:tcW w:w="883" w:type="dxa"/>
            <w:vAlign w:val="center"/>
          </w:tcPr>
          <w:p w14:paraId="7F80E731"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1</w:t>
            </w:r>
          </w:p>
        </w:tc>
        <w:tc>
          <w:tcPr>
            <w:tcW w:w="750" w:type="dxa"/>
            <w:vAlign w:val="center"/>
          </w:tcPr>
          <w:p w14:paraId="0F323F56"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2</w:t>
            </w:r>
          </w:p>
        </w:tc>
        <w:tc>
          <w:tcPr>
            <w:tcW w:w="787" w:type="dxa"/>
            <w:shd w:val="clear" w:color="auto" w:fill="00B050"/>
            <w:vAlign w:val="center"/>
          </w:tcPr>
          <w:p w14:paraId="15B47560"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2 Class D</w:t>
            </w:r>
          </w:p>
        </w:tc>
        <w:tc>
          <w:tcPr>
            <w:tcW w:w="1144" w:type="dxa"/>
            <w:vAlign w:val="center"/>
          </w:tcPr>
          <w:p w14:paraId="4707A104" w14:textId="77777777" w:rsidR="0045461B" w:rsidRPr="001E4F9D" w:rsidRDefault="00000000">
            <w:pPr>
              <w:spacing w:after="0"/>
              <w:rPr>
                <w:rFonts w:ascii="Calibri" w:hAnsi="Calibri" w:cs="Calibri"/>
                <w:sz w:val="11"/>
                <w:szCs w:val="11"/>
                <w:lang w:val="en-GB"/>
              </w:rPr>
            </w:pPr>
            <w:r w:rsidRPr="001E4F9D">
              <w:rPr>
                <w:rFonts w:ascii="Calibri" w:hAnsi="Calibri" w:cs="Calibri"/>
                <w:sz w:val="11"/>
                <w:szCs w:val="11"/>
                <w:lang w:val="en-GB"/>
              </w:rPr>
              <w:t>Broadly acceptable - maintain controls and review</w:t>
            </w:r>
          </w:p>
        </w:tc>
      </w:tr>
      <w:tr w:rsidR="007A171C" w:rsidRPr="001E4F9D" w14:paraId="02927538" w14:textId="77777777" w:rsidTr="00C10D54">
        <w:trPr>
          <w:jc w:val="center"/>
        </w:trPr>
        <w:tc>
          <w:tcPr>
            <w:tcW w:w="617" w:type="dxa"/>
            <w:vAlign w:val="center"/>
          </w:tcPr>
          <w:p w14:paraId="7529306E" w14:textId="77777777" w:rsidR="007A171C" w:rsidRPr="001E4F9D" w:rsidRDefault="00000000">
            <w:pPr>
              <w:spacing w:after="0"/>
              <w:rPr>
                <w:rFonts w:ascii="Calibri" w:hAnsi="Calibri" w:cs="Calibri"/>
                <w:sz w:val="11"/>
                <w:szCs w:val="11"/>
                <w:lang w:val="en-GB"/>
              </w:rPr>
            </w:pPr>
            <w:r w:rsidRPr="001E4F9D">
              <w:rPr>
                <w:rFonts w:ascii="Calibri" w:hAnsi="Calibri" w:cs="Calibri"/>
                <w:sz w:val="11"/>
                <w:szCs w:val="11"/>
                <w:lang w:val="en-GB"/>
              </w:rPr>
              <w:t>H2</w:t>
            </w:r>
          </w:p>
        </w:tc>
        <w:tc>
          <w:tcPr>
            <w:tcW w:w="1076" w:type="dxa"/>
            <w:vAlign w:val="center"/>
          </w:tcPr>
          <w:p w14:paraId="4833EA84" w14:textId="77777777" w:rsidR="007A171C" w:rsidRPr="001E4F9D" w:rsidRDefault="00000000">
            <w:pPr>
              <w:spacing w:after="0"/>
              <w:rPr>
                <w:rFonts w:ascii="Calibri" w:hAnsi="Calibri" w:cs="Calibri"/>
                <w:sz w:val="11"/>
                <w:szCs w:val="11"/>
                <w:lang w:val="en-GB"/>
              </w:rPr>
            </w:pPr>
            <w:r w:rsidRPr="001E4F9D">
              <w:rPr>
                <w:rFonts w:ascii="Calibri" w:hAnsi="Calibri" w:cs="Calibri"/>
                <w:sz w:val="11"/>
                <w:szCs w:val="11"/>
                <w:lang w:val="en-GB"/>
              </w:rPr>
              <w:t xml:space="preserve">Misfire / </w:t>
            </w:r>
            <w:proofErr w:type="spellStart"/>
            <w:r w:rsidRPr="001E4F9D">
              <w:rPr>
                <w:rFonts w:ascii="Calibri" w:hAnsi="Calibri" w:cs="Calibri"/>
                <w:sz w:val="11"/>
                <w:szCs w:val="11"/>
                <w:lang w:val="en-GB"/>
              </w:rPr>
              <w:t>hangfire</w:t>
            </w:r>
            <w:proofErr w:type="spellEnd"/>
            <w:r w:rsidRPr="001E4F9D">
              <w:rPr>
                <w:rFonts w:ascii="Calibri" w:hAnsi="Calibri" w:cs="Calibri"/>
                <w:sz w:val="11"/>
                <w:szCs w:val="11"/>
                <w:lang w:val="en-GB"/>
              </w:rPr>
              <w:t xml:space="preserve"> / stoppage</w:t>
            </w:r>
          </w:p>
        </w:tc>
        <w:tc>
          <w:tcPr>
            <w:tcW w:w="1777" w:type="dxa"/>
            <w:vAlign w:val="center"/>
          </w:tcPr>
          <w:p w14:paraId="0AB89BDA"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The round does not fire, or it fires after a delay.</w:t>
            </w:r>
          </w:p>
        </w:tc>
        <w:tc>
          <w:tcPr>
            <w:tcW w:w="1917" w:type="dxa"/>
            <w:vAlign w:val="center"/>
          </w:tcPr>
          <w:p w14:paraId="673FC220"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A delayed discharge may occur while the operator is inspecting or clearing the weapon. This could result in a person being shot, serious injury or death, unsafe muzzle movement, or damage to the weapon.</w:t>
            </w:r>
          </w:p>
        </w:tc>
        <w:tc>
          <w:tcPr>
            <w:tcW w:w="2060" w:type="dxa"/>
            <w:vAlign w:val="center"/>
          </w:tcPr>
          <w:p w14:paraId="14072DDA"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Faulty or contaminated ammunition; worn firing pin; fouling; incorrect ammunition; cold conditions; poor stoppage drills; opening or inspecting the weapon too soon; loss of safe direction.</w:t>
            </w:r>
          </w:p>
        </w:tc>
        <w:tc>
          <w:tcPr>
            <w:tcW w:w="530" w:type="dxa"/>
            <w:vAlign w:val="center"/>
          </w:tcPr>
          <w:p w14:paraId="7276D112"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2</w:t>
            </w:r>
          </w:p>
        </w:tc>
        <w:tc>
          <w:tcPr>
            <w:tcW w:w="530" w:type="dxa"/>
            <w:vAlign w:val="center"/>
          </w:tcPr>
          <w:p w14:paraId="533F8750"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5</w:t>
            </w:r>
          </w:p>
        </w:tc>
        <w:tc>
          <w:tcPr>
            <w:tcW w:w="785" w:type="dxa"/>
            <w:shd w:val="clear" w:color="auto" w:fill="FFC000"/>
            <w:vAlign w:val="center"/>
          </w:tcPr>
          <w:p w14:paraId="4736F7EE"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10 Class B</w:t>
            </w:r>
          </w:p>
        </w:tc>
        <w:tc>
          <w:tcPr>
            <w:tcW w:w="3186" w:type="dxa"/>
            <w:vAlign w:val="center"/>
          </w:tcPr>
          <w:p w14:paraId="22D24692"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Use approved ammunition; inspect the weapon and ammunition before use; keep the muzzle in a safe direction; apply the approved waiting period and stoppage drill; keep the finger clear of the trigger; use trained operators; quarantine defective ammunition or weapons; report and investigate faults through an armourer.</w:t>
            </w:r>
          </w:p>
        </w:tc>
        <w:tc>
          <w:tcPr>
            <w:tcW w:w="883" w:type="dxa"/>
            <w:vAlign w:val="center"/>
          </w:tcPr>
          <w:p w14:paraId="77EA1219"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1</w:t>
            </w:r>
          </w:p>
        </w:tc>
        <w:tc>
          <w:tcPr>
            <w:tcW w:w="750" w:type="dxa"/>
            <w:vAlign w:val="center"/>
          </w:tcPr>
          <w:p w14:paraId="69C538B9"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5</w:t>
            </w:r>
          </w:p>
        </w:tc>
        <w:tc>
          <w:tcPr>
            <w:tcW w:w="787" w:type="dxa"/>
            <w:shd w:val="clear" w:color="auto" w:fill="FFC000"/>
            <w:vAlign w:val="center"/>
          </w:tcPr>
          <w:p w14:paraId="4E1E03C6"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5 Class B</w:t>
            </w:r>
          </w:p>
        </w:tc>
        <w:tc>
          <w:tcPr>
            <w:tcW w:w="1144" w:type="dxa"/>
            <w:vAlign w:val="center"/>
          </w:tcPr>
          <w:p w14:paraId="7083925A" w14:textId="77777777" w:rsidR="0045461B" w:rsidRPr="001E4F9D" w:rsidRDefault="00000000">
            <w:pPr>
              <w:spacing w:after="0"/>
              <w:rPr>
                <w:rFonts w:ascii="Calibri" w:hAnsi="Calibri" w:cs="Calibri"/>
                <w:sz w:val="11"/>
                <w:szCs w:val="11"/>
                <w:lang w:val="en-GB"/>
              </w:rPr>
            </w:pPr>
            <w:r w:rsidRPr="001E4F9D">
              <w:rPr>
                <w:rFonts w:ascii="Calibri" w:hAnsi="Calibri" w:cs="Calibri"/>
                <w:sz w:val="11"/>
                <w:szCs w:val="11"/>
                <w:lang w:val="en-GB"/>
              </w:rPr>
              <w:t>Tolerable only where ALARP is demonstrated and recorded</w:t>
            </w:r>
          </w:p>
        </w:tc>
      </w:tr>
      <w:tr w:rsidR="007A171C" w:rsidRPr="001E4F9D" w14:paraId="2955C333" w14:textId="77777777" w:rsidTr="00C10D54">
        <w:trPr>
          <w:jc w:val="center"/>
        </w:trPr>
        <w:tc>
          <w:tcPr>
            <w:tcW w:w="617" w:type="dxa"/>
            <w:shd w:val="clear" w:color="auto" w:fill="DDEBF7"/>
            <w:vAlign w:val="center"/>
          </w:tcPr>
          <w:p w14:paraId="47A795D2" w14:textId="77777777" w:rsidR="007A171C" w:rsidRPr="001E4F9D" w:rsidRDefault="00000000">
            <w:pPr>
              <w:spacing w:after="0"/>
              <w:rPr>
                <w:rFonts w:ascii="Calibri" w:hAnsi="Calibri" w:cs="Calibri"/>
                <w:sz w:val="11"/>
                <w:szCs w:val="11"/>
                <w:lang w:val="en-GB"/>
              </w:rPr>
            </w:pPr>
            <w:r w:rsidRPr="001E4F9D">
              <w:rPr>
                <w:rFonts w:ascii="Calibri" w:hAnsi="Calibri" w:cs="Calibri"/>
                <w:sz w:val="11"/>
                <w:szCs w:val="11"/>
                <w:lang w:val="en-GB"/>
              </w:rPr>
              <w:t>H3</w:t>
            </w:r>
          </w:p>
        </w:tc>
        <w:tc>
          <w:tcPr>
            <w:tcW w:w="1076" w:type="dxa"/>
            <w:shd w:val="clear" w:color="auto" w:fill="DDEBF7"/>
            <w:vAlign w:val="center"/>
          </w:tcPr>
          <w:p w14:paraId="032B8724" w14:textId="77777777" w:rsidR="007A171C" w:rsidRPr="001E4F9D" w:rsidRDefault="00000000">
            <w:pPr>
              <w:spacing w:after="0"/>
              <w:rPr>
                <w:rFonts w:ascii="Calibri" w:hAnsi="Calibri" w:cs="Calibri"/>
                <w:sz w:val="11"/>
                <w:szCs w:val="11"/>
                <w:lang w:val="en-GB"/>
              </w:rPr>
            </w:pPr>
            <w:r w:rsidRPr="001E4F9D">
              <w:rPr>
                <w:rFonts w:ascii="Calibri" w:hAnsi="Calibri" w:cs="Calibri"/>
                <w:sz w:val="11"/>
                <w:szCs w:val="11"/>
                <w:lang w:val="en-GB"/>
              </w:rPr>
              <w:t>Noise exposure</w:t>
            </w:r>
          </w:p>
        </w:tc>
        <w:tc>
          <w:tcPr>
            <w:tcW w:w="1777" w:type="dxa"/>
            <w:shd w:val="clear" w:color="auto" w:fill="DDEBF7"/>
            <w:vAlign w:val="center"/>
          </w:tcPr>
          <w:p w14:paraId="37EC1F22"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Impulse noise from firing reaches the operator, instructors and nearby personnel.</w:t>
            </w:r>
          </w:p>
        </w:tc>
        <w:tc>
          <w:tcPr>
            <w:tcW w:w="1917" w:type="dxa"/>
            <w:shd w:val="clear" w:color="auto" w:fill="DDEBF7"/>
            <w:vAlign w:val="center"/>
          </w:tcPr>
          <w:p w14:paraId="787337E3"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Temporary hearing loss, acoustic trauma, tinnitus or permanent hearing damage. Reduced hearing may also prevent personnel from hearing safety commands and may contribute to a secondary accident.</w:t>
            </w:r>
          </w:p>
        </w:tc>
        <w:tc>
          <w:tcPr>
            <w:tcW w:w="2060" w:type="dxa"/>
            <w:shd w:val="clear" w:color="auto" w:fill="DDEBF7"/>
            <w:vAlign w:val="center"/>
          </w:tcPr>
          <w:p w14:paraId="7733FCD1"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Repeated firing; missing, damaged or poorly fitted protection; removal of protection; several weapons firing together; indoor or reflective range; weak noise assessment; poor supervision.</w:t>
            </w:r>
          </w:p>
        </w:tc>
        <w:tc>
          <w:tcPr>
            <w:tcW w:w="530" w:type="dxa"/>
            <w:shd w:val="clear" w:color="auto" w:fill="DDEBF7"/>
            <w:vAlign w:val="center"/>
          </w:tcPr>
          <w:p w14:paraId="2076D9C9"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4</w:t>
            </w:r>
          </w:p>
        </w:tc>
        <w:tc>
          <w:tcPr>
            <w:tcW w:w="530" w:type="dxa"/>
            <w:shd w:val="clear" w:color="auto" w:fill="DDEBF7"/>
            <w:vAlign w:val="center"/>
          </w:tcPr>
          <w:p w14:paraId="0A8DB13D"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3</w:t>
            </w:r>
          </w:p>
        </w:tc>
        <w:tc>
          <w:tcPr>
            <w:tcW w:w="785" w:type="dxa"/>
            <w:shd w:val="clear" w:color="auto" w:fill="FFC000"/>
            <w:vAlign w:val="center"/>
          </w:tcPr>
          <w:p w14:paraId="78D533FE"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12 Class B</w:t>
            </w:r>
          </w:p>
        </w:tc>
        <w:tc>
          <w:tcPr>
            <w:tcW w:w="3186" w:type="dxa"/>
            <w:shd w:val="clear" w:color="auto" w:fill="DDEBF7"/>
            <w:vAlign w:val="center"/>
          </w:tcPr>
          <w:p w14:paraId="26389860"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Complete a competent impulse-noise assessment; reduce unnecessary live firing; maintain range acoustic controls; define hearing-protection zones; control access and simultaneous firing; provide suitable plugs, muffs or dual protection; train users in fitting; supervise use; provide audiometry and review incidents [1]-[7].</w:t>
            </w:r>
          </w:p>
        </w:tc>
        <w:tc>
          <w:tcPr>
            <w:tcW w:w="883" w:type="dxa"/>
            <w:shd w:val="clear" w:color="auto" w:fill="DDEBF7"/>
            <w:vAlign w:val="center"/>
          </w:tcPr>
          <w:p w14:paraId="643A7383"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1</w:t>
            </w:r>
          </w:p>
        </w:tc>
        <w:tc>
          <w:tcPr>
            <w:tcW w:w="750" w:type="dxa"/>
            <w:shd w:val="clear" w:color="auto" w:fill="DDEBF7"/>
            <w:vAlign w:val="center"/>
          </w:tcPr>
          <w:p w14:paraId="316E6439"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3</w:t>
            </w:r>
          </w:p>
        </w:tc>
        <w:tc>
          <w:tcPr>
            <w:tcW w:w="787" w:type="dxa"/>
            <w:shd w:val="clear" w:color="auto" w:fill="FFFF00"/>
            <w:vAlign w:val="center"/>
          </w:tcPr>
          <w:p w14:paraId="7307AD4E"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3 Class C</w:t>
            </w:r>
          </w:p>
        </w:tc>
        <w:tc>
          <w:tcPr>
            <w:tcW w:w="1144" w:type="dxa"/>
            <w:shd w:val="clear" w:color="auto" w:fill="DDEBF7"/>
            <w:vAlign w:val="center"/>
          </w:tcPr>
          <w:p w14:paraId="089077EF" w14:textId="77777777" w:rsidR="0045461B" w:rsidRPr="001E4F9D" w:rsidRDefault="00000000">
            <w:pPr>
              <w:spacing w:after="0"/>
              <w:rPr>
                <w:rFonts w:ascii="Calibri" w:hAnsi="Calibri" w:cs="Calibri"/>
                <w:sz w:val="11"/>
                <w:szCs w:val="11"/>
                <w:lang w:val="en-GB"/>
              </w:rPr>
            </w:pPr>
            <w:r w:rsidRPr="001E4F9D">
              <w:rPr>
                <w:rFonts w:ascii="Calibri" w:hAnsi="Calibri" w:cs="Calibri"/>
                <w:sz w:val="11"/>
                <w:szCs w:val="11"/>
                <w:lang w:val="en-GB"/>
              </w:rPr>
              <w:t>Tolerable and ALARP while controls remain effective</w:t>
            </w:r>
          </w:p>
        </w:tc>
      </w:tr>
      <w:tr w:rsidR="007A171C" w:rsidRPr="001E4F9D" w14:paraId="23263F7C" w14:textId="77777777" w:rsidTr="00C10D54">
        <w:trPr>
          <w:jc w:val="center"/>
        </w:trPr>
        <w:tc>
          <w:tcPr>
            <w:tcW w:w="617" w:type="dxa"/>
            <w:vAlign w:val="center"/>
          </w:tcPr>
          <w:p w14:paraId="5A2E37EB" w14:textId="77777777" w:rsidR="007A171C" w:rsidRPr="001E4F9D" w:rsidRDefault="00000000">
            <w:pPr>
              <w:spacing w:after="0"/>
              <w:rPr>
                <w:rFonts w:ascii="Calibri" w:hAnsi="Calibri" w:cs="Calibri"/>
                <w:sz w:val="11"/>
                <w:szCs w:val="11"/>
                <w:lang w:val="en-GB"/>
              </w:rPr>
            </w:pPr>
            <w:r w:rsidRPr="001E4F9D">
              <w:rPr>
                <w:rFonts w:ascii="Calibri" w:hAnsi="Calibri" w:cs="Calibri"/>
                <w:sz w:val="11"/>
                <w:szCs w:val="11"/>
                <w:lang w:val="en-GB"/>
              </w:rPr>
              <w:t>H4</w:t>
            </w:r>
          </w:p>
        </w:tc>
        <w:tc>
          <w:tcPr>
            <w:tcW w:w="1076" w:type="dxa"/>
            <w:vAlign w:val="center"/>
          </w:tcPr>
          <w:p w14:paraId="3A241BA5" w14:textId="77777777" w:rsidR="007A171C" w:rsidRPr="001E4F9D" w:rsidRDefault="00000000">
            <w:pPr>
              <w:spacing w:after="0"/>
              <w:rPr>
                <w:rFonts w:ascii="Calibri" w:hAnsi="Calibri" w:cs="Calibri"/>
                <w:sz w:val="11"/>
                <w:szCs w:val="11"/>
                <w:lang w:val="en-GB"/>
              </w:rPr>
            </w:pPr>
            <w:r w:rsidRPr="001E4F9D">
              <w:rPr>
                <w:rFonts w:ascii="Calibri" w:hAnsi="Calibri" w:cs="Calibri"/>
                <w:sz w:val="11"/>
                <w:szCs w:val="11"/>
                <w:lang w:val="en-GB"/>
              </w:rPr>
              <w:t>Unintended discharge</w:t>
            </w:r>
          </w:p>
        </w:tc>
        <w:tc>
          <w:tcPr>
            <w:tcW w:w="1777" w:type="dxa"/>
            <w:vAlign w:val="center"/>
          </w:tcPr>
          <w:p w14:paraId="16456AA7"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The weapon fires without a deliberate and authorised decision to fire.</w:t>
            </w:r>
          </w:p>
        </w:tc>
        <w:tc>
          <w:tcPr>
            <w:tcW w:w="1917" w:type="dxa"/>
            <w:vAlign w:val="center"/>
          </w:tcPr>
          <w:p w14:paraId="001936C1"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A person may be shot, causing serious injury or death. The discharge may also damage equipment or property and may create a wider public-safety risk.</w:t>
            </w:r>
          </w:p>
        </w:tc>
        <w:tc>
          <w:tcPr>
            <w:tcW w:w="2060" w:type="dxa"/>
            <w:vAlign w:val="center"/>
          </w:tcPr>
          <w:p w14:paraId="6256326C"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Poor weapon handling; finger on trigger; incorrect assumption that the weapon is clear; fatigue; distraction; weak supervision; unsafe movement; mechanical defect; failure to follow loading or unloading drills.</w:t>
            </w:r>
          </w:p>
        </w:tc>
        <w:tc>
          <w:tcPr>
            <w:tcW w:w="530" w:type="dxa"/>
            <w:vAlign w:val="center"/>
          </w:tcPr>
          <w:p w14:paraId="1FD94ECD"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3</w:t>
            </w:r>
          </w:p>
        </w:tc>
        <w:tc>
          <w:tcPr>
            <w:tcW w:w="530" w:type="dxa"/>
            <w:vAlign w:val="center"/>
          </w:tcPr>
          <w:p w14:paraId="6EB0CF5C"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5</w:t>
            </w:r>
          </w:p>
        </w:tc>
        <w:tc>
          <w:tcPr>
            <w:tcW w:w="785" w:type="dxa"/>
            <w:shd w:val="clear" w:color="auto" w:fill="FF0000"/>
            <w:vAlign w:val="center"/>
          </w:tcPr>
          <w:p w14:paraId="100FE1CE"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15 Class A</w:t>
            </w:r>
          </w:p>
        </w:tc>
        <w:tc>
          <w:tcPr>
            <w:tcW w:w="3186" w:type="dxa"/>
            <w:vAlign w:val="center"/>
          </w:tcPr>
          <w:p w14:paraId="4C56462C" w14:textId="77777777" w:rsidR="0045461B" w:rsidRPr="001E4F9D" w:rsidRDefault="00000000">
            <w:pPr>
              <w:rPr>
                <w:rFonts w:ascii="Calibri" w:hAnsi="Calibri" w:cs="Calibri"/>
                <w:sz w:val="11"/>
                <w:szCs w:val="11"/>
                <w:lang w:val="en-GB"/>
              </w:rPr>
            </w:pPr>
            <w:r w:rsidRPr="001E4F9D">
              <w:rPr>
                <w:rFonts w:ascii="Calibri" w:hAnsi="Calibri" w:cs="Calibri"/>
                <w:sz w:val="11"/>
                <w:szCs w:val="11"/>
                <w:lang w:val="en-GB"/>
              </w:rPr>
              <w:t>Use trained and authorised operators; apply safe-direction and trigger-finger rules; use clear loading, unloading and proving-clear drills; provide direct supervision and clear commands; inspect the weapon before and after use; separate live ammunition from non-firing tasks; report and quarantine defects.</w:t>
            </w:r>
          </w:p>
        </w:tc>
        <w:tc>
          <w:tcPr>
            <w:tcW w:w="883" w:type="dxa"/>
            <w:vAlign w:val="center"/>
          </w:tcPr>
          <w:p w14:paraId="24CED184"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1</w:t>
            </w:r>
          </w:p>
        </w:tc>
        <w:tc>
          <w:tcPr>
            <w:tcW w:w="750" w:type="dxa"/>
            <w:vAlign w:val="center"/>
          </w:tcPr>
          <w:p w14:paraId="2D486C07"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5</w:t>
            </w:r>
          </w:p>
        </w:tc>
        <w:tc>
          <w:tcPr>
            <w:tcW w:w="787" w:type="dxa"/>
            <w:shd w:val="clear" w:color="auto" w:fill="FFC000"/>
            <w:vAlign w:val="center"/>
          </w:tcPr>
          <w:p w14:paraId="4E650F6D" w14:textId="77777777" w:rsidR="0045461B" w:rsidRPr="001E4F9D" w:rsidRDefault="00000000">
            <w:pPr>
              <w:spacing w:after="0"/>
              <w:jc w:val="center"/>
              <w:rPr>
                <w:rFonts w:ascii="Calibri" w:hAnsi="Calibri" w:cs="Calibri"/>
                <w:sz w:val="11"/>
                <w:szCs w:val="11"/>
                <w:lang w:val="en-GB"/>
              </w:rPr>
            </w:pPr>
            <w:r w:rsidRPr="001E4F9D">
              <w:rPr>
                <w:rFonts w:ascii="Calibri" w:hAnsi="Calibri" w:cs="Calibri"/>
                <w:b/>
                <w:sz w:val="11"/>
                <w:szCs w:val="11"/>
                <w:lang w:val="en-GB"/>
              </w:rPr>
              <w:t>5 Class B</w:t>
            </w:r>
          </w:p>
        </w:tc>
        <w:tc>
          <w:tcPr>
            <w:tcW w:w="1144" w:type="dxa"/>
            <w:vAlign w:val="center"/>
          </w:tcPr>
          <w:p w14:paraId="160D9BFF" w14:textId="77777777" w:rsidR="0045461B" w:rsidRPr="001E4F9D" w:rsidRDefault="00000000">
            <w:pPr>
              <w:spacing w:after="0"/>
              <w:rPr>
                <w:rFonts w:ascii="Calibri" w:hAnsi="Calibri" w:cs="Calibri"/>
                <w:sz w:val="11"/>
                <w:szCs w:val="11"/>
                <w:lang w:val="en-GB"/>
              </w:rPr>
            </w:pPr>
            <w:r w:rsidRPr="001E4F9D">
              <w:rPr>
                <w:rFonts w:ascii="Calibri" w:hAnsi="Calibri" w:cs="Calibri"/>
                <w:sz w:val="11"/>
                <w:szCs w:val="11"/>
                <w:lang w:val="en-GB"/>
              </w:rPr>
              <w:t>Tolerable only where ALARP is demonstrated and recorded</w:t>
            </w:r>
          </w:p>
        </w:tc>
      </w:tr>
    </w:tbl>
    <w:p w14:paraId="0D5E3438" w14:textId="77777777" w:rsidR="007A171C" w:rsidRPr="001E4F9D" w:rsidRDefault="007A171C">
      <w:pPr>
        <w:rPr>
          <w:rFonts w:ascii="Calibri" w:hAnsi="Calibri" w:cs="Calibri"/>
          <w:lang w:val="en-GB"/>
        </w:rPr>
      </w:pPr>
    </w:p>
    <w:p w14:paraId="7205F659" w14:textId="77777777" w:rsidR="007A171C" w:rsidRPr="001E4F9D" w:rsidRDefault="00000000">
      <w:pPr>
        <w:rPr>
          <w:rFonts w:ascii="Calibri" w:hAnsi="Calibri" w:cs="Calibri"/>
          <w:lang w:val="en-GB"/>
        </w:rPr>
      </w:pPr>
      <w:r w:rsidRPr="001E4F9D">
        <w:rPr>
          <w:rFonts w:ascii="Calibri" w:hAnsi="Calibri" w:cs="Calibri"/>
          <w:sz w:val="17"/>
          <w:lang w:val="en-GB"/>
        </w:rPr>
        <w:t xml:space="preserve">Risk-rating check: every score in the table now uses the improved matrix and is calculated as Likelihood x Severity. The class is then taken from the improved matrix cell, not from the </w:t>
      </w:r>
      <w:proofErr w:type="gramStart"/>
      <w:r w:rsidRPr="001E4F9D">
        <w:rPr>
          <w:rFonts w:ascii="Calibri" w:hAnsi="Calibri" w:cs="Calibri"/>
          <w:sz w:val="17"/>
          <w:lang w:val="en-GB"/>
        </w:rPr>
        <w:t>old weighted</w:t>
      </w:r>
      <w:proofErr w:type="gramEnd"/>
      <w:r w:rsidRPr="001E4F9D">
        <w:rPr>
          <w:rFonts w:ascii="Calibri" w:hAnsi="Calibri" w:cs="Calibri"/>
          <w:sz w:val="17"/>
          <w:lang w:val="en-GB"/>
        </w:rPr>
        <w:t xml:space="preserve"> matrix. Class B residual risks require a recorded ALARP decision because the matrix deliberately keeps improbable but potentially fatal outcomes under formal control.</w:t>
      </w:r>
    </w:p>
    <w:p w14:paraId="69C8A266" w14:textId="77777777" w:rsidR="0045461B" w:rsidRPr="001E4F9D" w:rsidRDefault="00000000">
      <w:pPr>
        <w:spacing w:after="60"/>
        <w:rPr>
          <w:rFonts w:ascii="Calibri" w:hAnsi="Calibri" w:cs="Calibri"/>
          <w:lang w:val="en-GB"/>
        </w:rPr>
      </w:pPr>
      <w:r w:rsidRPr="001E4F9D">
        <w:rPr>
          <w:rFonts w:ascii="Calibri" w:hAnsi="Calibri" w:cs="Calibri"/>
          <w:sz w:val="17"/>
          <w:lang w:val="en-GB"/>
        </w:rPr>
        <w:t>Judgement check: likelihood refers to the chance of the stated injury or harm, rather than the certainty that the weapon fires or ejects a case. Severity is based on the most credible reasonably foreseeable consequence.</w:t>
      </w:r>
    </w:p>
    <w:p w14:paraId="510B1CD0" w14:textId="77777777" w:rsidR="007A171C" w:rsidRPr="001E4F9D" w:rsidRDefault="007A171C">
      <w:pPr>
        <w:rPr>
          <w:rFonts w:ascii="Calibri" w:hAnsi="Calibri" w:cs="Calibri"/>
          <w:lang w:val="en-GB"/>
        </w:rPr>
        <w:sectPr w:rsidR="007A171C" w:rsidRPr="001E4F9D">
          <w:footerReference w:type="default" r:id="rId10"/>
          <w:pgSz w:w="16834" w:h="11909" w:orient="landscape"/>
          <w:pgMar w:top="605" w:right="504" w:bottom="605" w:left="504" w:header="720" w:footer="720" w:gutter="0"/>
          <w:cols w:space="720"/>
          <w:docGrid w:linePitch="360"/>
        </w:sectPr>
      </w:pPr>
    </w:p>
    <w:p w14:paraId="325D37C6" w14:textId="77777777" w:rsidR="007A171C" w:rsidRPr="001E4F9D" w:rsidRDefault="00000000">
      <w:pPr>
        <w:pStyle w:val="Heading1"/>
        <w:rPr>
          <w:rFonts w:ascii="Calibri" w:hAnsi="Calibri" w:cs="Calibri"/>
          <w:color w:val="000000" w:themeColor="text1"/>
          <w:lang w:val="en-GB"/>
        </w:rPr>
      </w:pPr>
      <w:bookmarkStart w:id="10" w:name="_Toc235173332"/>
      <w:r w:rsidRPr="001E4F9D">
        <w:rPr>
          <w:rFonts w:ascii="Calibri" w:hAnsi="Calibri" w:cs="Calibri"/>
          <w:color w:val="000000" w:themeColor="text1"/>
          <w:lang w:val="en-GB"/>
        </w:rPr>
        <w:lastRenderedPageBreak/>
        <w:t>Part 2 - ALARP Justification: Noise Exposure</w:t>
      </w:r>
      <w:bookmarkEnd w:id="10"/>
    </w:p>
    <w:p w14:paraId="3D316319" w14:textId="77777777" w:rsidR="007A171C" w:rsidRPr="001E4F9D" w:rsidRDefault="00000000">
      <w:pPr>
        <w:pStyle w:val="Heading2"/>
        <w:rPr>
          <w:rFonts w:ascii="Calibri" w:hAnsi="Calibri" w:cs="Calibri"/>
          <w:color w:val="000000" w:themeColor="text1"/>
          <w:lang w:val="en-GB"/>
        </w:rPr>
      </w:pPr>
      <w:bookmarkStart w:id="11" w:name="_Toc235173333"/>
      <w:r w:rsidRPr="001E4F9D">
        <w:rPr>
          <w:rFonts w:ascii="Calibri" w:hAnsi="Calibri" w:cs="Calibri"/>
          <w:color w:val="000000" w:themeColor="text1"/>
          <w:lang w:val="en-GB"/>
        </w:rPr>
        <w:t>1. Introduction and hazard selection</w:t>
      </w:r>
      <w:bookmarkEnd w:id="11"/>
    </w:p>
    <w:p w14:paraId="2AB38A74"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Noise exposure was selected because it is present during every live-fire activity. Other weapon hazards normally require a fault or an unsafe action. Noise is produced during normal operation. Each shot creates a short but very high sound-pressure peak close to the firer’s head. The firer, instructors, nearby firers and range staff may all be exposed.</w:t>
      </w:r>
    </w:p>
    <w:p w14:paraId="44D34BD9"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The possible effects include temporary reduced hearing, pain, tinnitus and permanent noise-induced hearing loss. Permanent hearing loss cannot normally be reversed. It may affect communication, quality of life and the ability to hear alarms or safety commands. Open-access research describes firearm noise as a preventable cause of hearing damage and supports reducing the number of shots, avoiding reflective environments and using correctly fitted hearing protection [1].</w:t>
      </w:r>
    </w:p>
    <w:p w14:paraId="79119726"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The initial risk is Likelihood 4 and Severity 3. Under the improved matrix this gives a score of 12 and Risk Class B. Class B requires further risk reduction and a clear ALARP decision. Severity 3 is suitable because permanent hearing damage is a credible serious outcome. Likelihood 4 reflects repeated firing and the possibility of poor fitting, damaged protection or weak supervision.</w:t>
      </w:r>
    </w:p>
    <w:p w14:paraId="32E08C69" w14:textId="77777777" w:rsidR="007A171C" w:rsidRPr="001E4F9D" w:rsidRDefault="00000000">
      <w:pPr>
        <w:pStyle w:val="Heading2"/>
        <w:rPr>
          <w:rFonts w:ascii="Calibri" w:hAnsi="Calibri" w:cs="Calibri"/>
          <w:color w:val="000000" w:themeColor="text1"/>
          <w:lang w:val="en-GB"/>
        </w:rPr>
      </w:pPr>
      <w:bookmarkStart w:id="12" w:name="_Toc235173334"/>
      <w:r w:rsidRPr="001E4F9D">
        <w:rPr>
          <w:rFonts w:ascii="Calibri" w:hAnsi="Calibri" w:cs="Calibri"/>
          <w:color w:val="000000" w:themeColor="text1"/>
          <w:lang w:val="en-GB"/>
        </w:rPr>
        <w:t>2. ALARP decision standard</w:t>
      </w:r>
      <w:bookmarkEnd w:id="12"/>
    </w:p>
    <w:p w14:paraId="6B775881"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ALARP means as low as reasonably practicable. It does not require all risk to be removed. Zero risk is not possible where live firing is necessary. The duty holder must reduce the risk until any further measure would require cost, time or effort that is grossly disproportionate to the additional safety benefit.</w:t>
      </w:r>
    </w:p>
    <w:p w14:paraId="5C8B4E30"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The test is weighted towards safety. A control should not be rejected only because it costs money or causes delay. For a hazard that may cause permanent injury, a strong level of control is expected. The matrix supports prioritisation, but a low score does not by itself prove ALARP. Evidence is required to show that suitable options were considered, selected controls are effective, and rejected controls were rejected for clear reasons.</w:t>
      </w:r>
    </w:p>
    <w:p w14:paraId="674374E8" w14:textId="77777777" w:rsidR="007A171C" w:rsidRPr="001E4F9D" w:rsidRDefault="00000000">
      <w:pPr>
        <w:pStyle w:val="Heading2"/>
        <w:rPr>
          <w:rFonts w:ascii="Calibri" w:hAnsi="Calibri" w:cs="Calibri"/>
          <w:color w:val="000000" w:themeColor="text1"/>
          <w:lang w:val="en-GB"/>
        </w:rPr>
      </w:pPr>
      <w:bookmarkStart w:id="13" w:name="_Toc235173335"/>
      <w:r w:rsidRPr="001E4F9D">
        <w:rPr>
          <w:rFonts w:ascii="Calibri" w:hAnsi="Calibri" w:cs="Calibri"/>
          <w:color w:val="000000" w:themeColor="text1"/>
          <w:lang w:val="en-GB"/>
        </w:rPr>
        <w:t>3. Legal duties and public good-practice sources</w:t>
      </w:r>
      <w:bookmarkEnd w:id="13"/>
    </w:p>
    <w:p w14:paraId="71709BB0" w14:textId="0811A148" w:rsidR="003511D2"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The Control of Noise at Work Regulations 2005 require employers to assess noise exposure, reduce it, provide suitable hearing protection where needed, provide information and training, and arrange health surveillance where there is a risk to health [2]. HSE guidance also states that technical and organisational controls should be used before relying on hearing protection alone [3], [4].</w:t>
      </w:r>
    </w:p>
    <w:p w14:paraId="68FE1E5D" w14:textId="4EDE1DCC" w:rsidR="003511D2" w:rsidRPr="001E4F9D" w:rsidRDefault="003511D2">
      <w:pPr>
        <w:spacing w:after="60" w:line="245" w:lineRule="auto"/>
        <w:rPr>
          <w:rFonts w:ascii="Calibri" w:hAnsi="Calibri" w:cs="Calibri"/>
          <w:color w:val="000000" w:themeColor="text1"/>
          <w:lang w:val="en-GB"/>
        </w:rPr>
      </w:pPr>
      <w:r>
        <w:rPr>
          <w:rFonts w:ascii="Calibri" w:hAnsi="Calibri" w:cs="Calibri"/>
          <w:color w:val="000000" w:themeColor="text1"/>
          <w:lang w:val="en-GB"/>
        </w:rPr>
        <w:t xml:space="preserve">However, there is an exemption for </w:t>
      </w:r>
      <w:r w:rsidRPr="003511D2">
        <w:rPr>
          <w:rFonts w:ascii="Calibri" w:hAnsi="Calibri" w:cs="Calibri"/>
          <w:color w:val="000000" w:themeColor="text1"/>
          <w:lang w:val="en-GB"/>
        </w:rPr>
        <w:t>Ministry of Defence</w:t>
      </w:r>
      <w:r>
        <w:rPr>
          <w:rFonts w:ascii="Calibri" w:hAnsi="Calibri" w:cs="Calibri"/>
          <w:color w:val="000000" w:themeColor="text1"/>
          <w:lang w:val="en-GB"/>
        </w:rPr>
        <w:t xml:space="preserve">. </w:t>
      </w:r>
      <w:r w:rsidRPr="003511D2">
        <w:rPr>
          <w:rFonts w:ascii="Calibri" w:hAnsi="Calibri" w:cs="Calibri"/>
          <w:color w:val="000000" w:themeColor="text1"/>
          <w:lang w:val="en-GB"/>
        </w:rPr>
        <w:t>Regulation 13 of the Control of Noise at Work Regulations 2005 allows the Secretary of State for Defence to issue a written certificate exempting specified persons from Regulation 6(4) and Regulation 7(1)</w:t>
      </w:r>
      <w:proofErr w:type="gramStart"/>
      <w:r w:rsidRPr="003511D2">
        <w:rPr>
          <w:rFonts w:ascii="Calibri" w:hAnsi="Calibri" w:cs="Calibri"/>
          <w:color w:val="000000" w:themeColor="text1"/>
          <w:lang w:val="en-GB"/>
        </w:rPr>
        <w:t>–(</w:t>
      </w:r>
      <w:proofErr w:type="gramEnd"/>
      <w:r w:rsidRPr="003511D2">
        <w:rPr>
          <w:rFonts w:ascii="Calibri" w:hAnsi="Calibri" w:cs="Calibri"/>
          <w:color w:val="000000" w:themeColor="text1"/>
          <w:lang w:val="en-GB"/>
        </w:rPr>
        <w:t>3), where military activities carried out in the interests of national security conflict with those requirements. This is a limited exemption rather than a general exemption for the armed forces. It may only be granted where employees</w:t>
      </w:r>
      <w:r>
        <w:rPr>
          <w:rFonts w:ascii="Calibri" w:hAnsi="Calibri" w:cs="Calibri"/>
          <w:color w:val="000000" w:themeColor="text1"/>
          <w:lang w:val="en-GB"/>
        </w:rPr>
        <w:t xml:space="preserve"> </w:t>
      </w:r>
      <w:r w:rsidRPr="003511D2">
        <w:rPr>
          <w:rFonts w:ascii="Calibri" w:hAnsi="Calibri" w:cs="Calibri"/>
          <w:color w:val="000000" w:themeColor="text1"/>
          <w:lang w:val="en-GB"/>
        </w:rPr>
        <w:t>health and safety are protected as far as possible. Therefore, unless a valid exemption certificate applies, the Noise Regulations should be treated as applying to military live-fire training in Great Britain</w:t>
      </w:r>
      <w:r>
        <w:rPr>
          <w:rFonts w:ascii="Calibri" w:hAnsi="Calibri" w:cs="Calibri"/>
          <w:color w:val="000000" w:themeColor="text1"/>
          <w:lang w:val="en-GB"/>
        </w:rPr>
        <w:t xml:space="preserve"> [2].</w:t>
      </w:r>
    </w:p>
    <w:p w14:paraId="7B96B7F8"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The Regulations include average exposure values and peak sound-pressure values. Peak values are especially important for firearms because the exposure is impulsive. The employer must also identify the hearing-protection zone, ensure that protection is worn, maintain equipment and review the assessment when conditions change [2]-[4].</w:t>
      </w:r>
    </w:p>
    <w:p w14:paraId="601CAF1C" w14:textId="77777777" w:rsidR="007A171C" w:rsidRPr="001E4F9D" w:rsidRDefault="00000000">
      <w:pPr>
        <w:pStyle w:val="Heading2"/>
        <w:rPr>
          <w:rFonts w:ascii="Calibri" w:hAnsi="Calibri" w:cs="Calibri"/>
          <w:color w:val="000000" w:themeColor="text1"/>
          <w:lang w:val="en-GB"/>
        </w:rPr>
      </w:pPr>
      <w:bookmarkStart w:id="14" w:name="_Toc235173336"/>
      <w:r w:rsidRPr="001E4F9D">
        <w:rPr>
          <w:rFonts w:ascii="Calibri" w:hAnsi="Calibri" w:cs="Calibri"/>
          <w:color w:val="000000" w:themeColor="text1"/>
          <w:lang w:val="en-GB"/>
        </w:rPr>
        <w:t>4. Reducing unnecessary live firing</w:t>
      </w:r>
      <w:bookmarkEnd w:id="14"/>
    </w:p>
    <w:p w14:paraId="4776B557"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The first control is to remove live firing where it is not required. Safety drills, loading, unloading, stoppage practice and some decision-making exercises can use inert systems, simulation or dry training. Every live round replaced by a non-firing method removes the noise exposure for that action.</w:t>
      </w:r>
    </w:p>
    <w:p w14:paraId="3017A139"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This control is reasonably practicable because it is usually low cost and may also reduce ammunition use, range time and equipment wear. It cannot replace all live-fire activity because personnel must demonstrate competence under real conditions. It should therefore be used where it achieves the training aim without reducing operational competence.</w:t>
      </w:r>
    </w:p>
    <w:p w14:paraId="1590E0A6" w14:textId="77777777" w:rsidR="007A171C" w:rsidRPr="001E4F9D" w:rsidRDefault="00000000">
      <w:pPr>
        <w:pStyle w:val="Heading2"/>
        <w:rPr>
          <w:rFonts w:ascii="Calibri" w:hAnsi="Calibri" w:cs="Calibri"/>
          <w:color w:val="000000" w:themeColor="text1"/>
          <w:lang w:val="en-GB"/>
        </w:rPr>
      </w:pPr>
      <w:bookmarkStart w:id="15" w:name="_Toc235173337"/>
      <w:r w:rsidRPr="001E4F9D">
        <w:rPr>
          <w:rFonts w:ascii="Calibri" w:hAnsi="Calibri" w:cs="Calibri"/>
          <w:color w:val="000000" w:themeColor="text1"/>
          <w:lang w:val="en-GB"/>
        </w:rPr>
        <w:t>5. Engineering controls</w:t>
      </w:r>
      <w:bookmarkEnd w:id="15"/>
    </w:p>
    <w:p w14:paraId="72070B15"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 xml:space="preserve">Engineering controls reduce noise before it reaches personnel. They include using an approved range, maintaining sound-absorbing materials, avoiding unnecessary reflective enclosures, and keeping firing positions and baffles in good condition. Indoor and partly enclosed ranges can increase exposure because sound is reflected towards the firer. Public NIOSH range investigations confirm that tactical firing can produce hazardous impulse </w:t>
      </w:r>
      <w:proofErr w:type="gramStart"/>
      <w:r w:rsidRPr="001E4F9D">
        <w:rPr>
          <w:rFonts w:ascii="Calibri" w:hAnsi="Calibri" w:cs="Calibri"/>
          <w:color w:val="000000" w:themeColor="text1"/>
          <w:lang w:val="en-GB"/>
        </w:rPr>
        <w:t>exposure</w:t>
      </w:r>
      <w:proofErr w:type="gramEnd"/>
      <w:r w:rsidRPr="001E4F9D">
        <w:rPr>
          <w:rFonts w:ascii="Calibri" w:hAnsi="Calibri" w:cs="Calibri"/>
          <w:color w:val="000000" w:themeColor="text1"/>
          <w:lang w:val="en-GB"/>
        </w:rPr>
        <w:t xml:space="preserve"> and that range design and firing position affect the result [7]-[9].</w:t>
      </w:r>
    </w:p>
    <w:p w14:paraId="1341091C"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Engineering controls are stronger than PPE because they protect everyone in the area. Routine inspection and repair are clearly reasonably practicable. Major reconstruction may have a higher cost, but it should be considered where measurements show poor performance, exposure remains high or hearing problems are reported.</w:t>
      </w:r>
    </w:p>
    <w:p w14:paraId="410740FA"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Approved sound moderators or other source controls may reduce muzzle noise, but they should not be assumed to make firing safe without hearing protection. Their use must be technically approved and assessed with the complete weapon, ammunition and training requirement. Where suitable, they may form one part of a layered control system.</w:t>
      </w:r>
    </w:p>
    <w:p w14:paraId="4E548D70" w14:textId="77777777" w:rsidR="007A171C" w:rsidRPr="001E4F9D" w:rsidRDefault="00000000">
      <w:pPr>
        <w:pStyle w:val="Heading2"/>
        <w:rPr>
          <w:rFonts w:ascii="Calibri" w:hAnsi="Calibri" w:cs="Calibri"/>
          <w:color w:val="000000" w:themeColor="text1"/>
          <w:lang w:val="en-GB"/>
        </w:rPr>
      </w:pPr>
      <w:bookmarkStart w:id="16" w:name="_Toc235173338"/>
      <w:r w:rsidRPr="001E4F9D">
        <w:rPr>
          <w:rFonts w:ascii="Calibri" w:hAnsi="Calibri" w:cs="Calibri"/>
          <w:color w:val="000000" w:themeColor="text1"/>
          <w:lang w:val="en-GB"/>
        </w:rPr>
        <w:lastRenderedPageBreak/>
        <w:t>6. Planning and administrative controls</w:t>
      </w:r>
      <w:bookmarkEnd w:id="16"/>
    </w:p>
    <w:p w14:paraId="1CC2DAA1"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Administrative controls reduce the number of people exposed and the duration of exposure. The range manager should define the hearing-protection zone and prevent unnecessary access. Only essential personnel should remain near the firing point. Firing details should avoid unnecessary simultaneous firing, and instructors should be positioned to supervise without avoidable exposure.</w:t>
      </w:r>
    </w:p>
    <w:p w14:paraId="7A4A1D43"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The activity should include a clear brief and a check that everyone has suitable protection before firing. Communication arrangements must also be tested. Visual cease-fire signals, radios or level-dependent electronic protection may provide additional ways to pass safety commands. These controls are low cost and are therefore reasonably practicable, but they require active supervision.</w:t>
      </w:r>
    </w:p>
    <w:p w14:paraId="08519E30" w14:textId="77777777" w:rsidR="007A171C" w:rsidRPr="001E4F9D" w:rsidRDefault="00000000">
      <w:pPr>
        <w:pStyle w:val="Heading2"/>
        <w:rPr>
          <w:rFonts w:ascii="Calibri" w:hAnsi="Calibri" w:cs="Calibri"/>
          <w:color w:val="000000" w:themeColor="text1"/>
          <w:lang w:val="en-GB"/>
        </w:rPr>
      </w:pPr>
      <w:bookmarkStart w:id="17" w:name="_Toc235173339"/>
      <w:r w:rsidRPr="001E4F9D">
        <w:rPr>
          <w:rFonts w:ascii="Calibri" w:hAnsi="Calibri" w:cs="Calibri"/>
          <w:color w:val="000000" w:themeColor="text1"/>
          <w:lang w:val="en-GB"/>
        </w:rPr>
        <w:t>7. Hearing protection</w:t>
      </w:r>
      <w:bookmarkEnd w:id="17"/>
    </w:p>
    <w:p w14:paraId="3E2E3AE1"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Hearing protection remains necessary because engineering and administrative controls may not reduce firearm impulses enough. The type of protection should be selected using competent measurements. Earplugs, earmuffs or dual protection may be required depending on the peak level and range conditions [1], [3], [4].</w:t>
      </w:r>
    </w:p>
    <w:p w14:paraId="0E95A05C"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 xml:space="preserve">Correct fit is essential. Earplugs must be inserted </w:t>
      </w:r>
      <w:proofErr w:type="gramStart"/>
      <w:r w:rsidRPr="001E4F9D">
        <w:rPr>
          <w:rFonts w:ascii="Calibri" w:hAnsi="Calibri" w:cs="Calibri"/>
          <w:color w:val="000000" w:themeColor="text1"/>
          <w:lang w:val="en-GB"/>
        </w:rPr>
        <w:t>properly</w:t>
      </w:r>
      <w:proofErr w:type="gramEnd"/>
      <w:r w:rsidRPr="001E4F9D">
        <w:rPr>
          <w:rFonts w:ascii="Calibri" w:hAnsi="Calibri" w:cs="Calibri"/>
          <w:color w:val="000000" w:themeColor="text1"/>
          <w:lang w:val="en-GB"/>
        </w:rPr>
        <w:t xml:space="preserve"> and earmuffs must form a complete seal. Spectacles, hair, helmets, damaged cushions or movement can reduce the protection. Personnel should receive practical fitting instruction and supervisors should check protection before firing. Damaged or unsuitable items should be replaced.</w:t>
      </w:r>
    </w:p>
    <w:p w14:paraId="1D359C00"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Electronic level-dependent protection may improve communication by allowing speech to be heard while limiting high-level impulses. This may reduce the temptation to remove protection. The equipment must still be checked for compatibility, battery condition and the protection achieved in the actual task.</w:t>
      </w:r>
    </w:p>
    <w:p w14:paraId="2CAE76C8" w14:textId="77777777" w:rsidR="007A171C" w:rsidRPr="001E4F9D" w:rsidRDefault="00000000">
      <w:pPr>
        <w:pStyle w:val="Heading2"/>
        <w:rPr>
          <w:rFonts w:ascii="Calibri" w:hAnsi="Calibri" w:cs="Calibri"/>
          <w:color w:val="000000" w:themeColor="text1"/>
          <w:lang w:val="en-GB"/>
        </w:rPr>
      </w:pPr>
      <w:bookmarkStart w:id="18" w:name="_Toc235173340"/>
      <w:r w:rsidRPr="001E4F9D">
        <w:rPr>
          <w:rFonts w:ascii="Calibri" w:hAnsi="Calibri" w:cs="Calibri"/>
          <w:color w:val="000000" w:themeColor="text1"/>
          <w:lang w:val="en-GB"/>
        </w:rPr>
        <w:t>8. Health surveillance and monitoring</w:t>
      </w:r>
      <w:bookmarkEnd w:id="18"/>
    </w:p>
    <w:p w14:paraId="3C0F94C6"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Baseline and periodic audiometry are required where there is a continuing risk to hearing. Surveillance can identify early deterioration and provide evidence on whether the control system is effective. Tinnitus, reduced hearing or an abnormal result should trigger an investigation of the range, exposure, protection and supervision [2]-[4].</w:t>
      </w:r>
    </w:p>
    <w:p w14:paraId="3CCB39A9"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Noise measurements should be repeated after changes to ammunition, range design, firing programme or hearing protection. A control that was suitable for one activity may not remain suitable when conditions change. Exposure records, equipment inspections, training and corrective actions should be retained.</w:t>
      </w:r>
    </w:p>
    <w:p w14:paraId="5B6FD80B" w14:textId="77777777" w:rsidR="007A171C" w:rsidRPr="001E4F9D" w:rsidRDefault="00000000">
      <w:pPr>
        <w:pStyle w:val="Heading2"/>
        <w:rPr>
          <w:rFonts w:ascii="Calibri" w:hAnsi="Calibri" w:cs="Calibri"/>
          <w:color w:val="000000" w:themeColor="text1"/>
          <w:lang w:val="en-GB"/>
        </w:rPr>
      </w:pPr>
      <w:bookmarkStart w:id="19" w:name="_Toc235173341"/>
      <w:r w:rsidRPr="001E4F9D">
        <w:rPr>
          <w:rFonts w:ascii="Calibri" w:hAnsi="Calibri" w:cs="Calibri"/>
          <w:color w:val="000000" w:themeColor="text1"/>
          <w:lang w:val="en-GB"/>
        </w:rPr>
        <w:t>9. Related firing-range health controls</w:t>
      </w:r>
      <w:bookmarkEnd w:id="19"/>
    </w:p>
    <w:p w14:paraId="6CBFFB0E"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Although Part 2 focuses on noise, lead and combustion residue are relevant because many of the same people are exposed during firing and cleaning. An open-access review found that firing-range users and workers can receive significant lead exposure, particularly where ventilation and hygiene are poor [5]. Public surveillance reports have also identified raised blood lead levels among firing-range workers [6].</w:t>
      </w:r>
    </w:p>
    <w:p w14:paraId="1C0F38DB"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Ventilation, wet or HEPA cleaning, handwashing, restrictions on food and drink, suitable work clothing and health monitoring therefore support the wider safety case [5]-[8]. These controls do not reduce noise directly, but they show why the live-fire environment must be managed as a complete occupational-health system.</w:t>
      </w:r>
    </w:p>
    <w:p w14:paraId="0F04EB46" w14:textId="77777777" w:rsidR="007A171C" w:rsidRPr="001E4F9D" w:rsidRDefault="00000000">
      <w:pPr>
        <w:pStyle w:val="Heading2"/>
        <w:rPr>
          <w:rFonts w:ascii="Calibri" w:hAnsi="Calibri" w:cs="Calibri"/>
          <w:color w:val="000000" w:themeColor="text1"/>
          <w:lang w:val="en-GB"/>
        </w:rPr>
      </w:pPr>
      <w:bookmarkStart w:id="20" w:name="_Toc235173342"/>
      <w:r w:rsidRPr="001E4F9D">
        <w:rPr>
          <w:rFonts w:ascii="Calibri" w:hAnsi="Calibri" w:cs="Calibri"/>
          <w:color w:val="000000" w:themeColor="text1"/>
          <w:lang w:val="en-GB"/>
        </w:rPr>
        <w:t>10. Controls considered but not fully adopted</w:t>
      </w:r>
      <w:bookmarkEnd w:id="20"/>
    </w:p>
    <w:p w14:paraId="4AC29B5E"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Complete elimination of live firing was not adopted because it would prevent personnel from demonstrating live-fire competence. It remains suitable for tasks that do not require a shot to be fired.</w:t>
      </w:r>
    </w:p>
    <w:p w14:paraId="26CF552B"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The highest-attenuation protector was not automatically selected for every person because excessive protection may make speech and safety commands difficult to hear. The safer approach is to provide enough attenuation without creating communication problems [3], [4].</w:t>
      </w:r>
    </w:p>
    <w:p w14:paraId="7B031B4C"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A complete range rebuild may be grossly disproportionate where measurements are satisfactory and effective controls are already in place. This decision must change if exposure increases, acoustic materials fail or hearing problems occur. Source-control equipment may also be rejected where it is not technically approved or would undermine the training requirement, but it should be reconsidered when technology or approval changes.</w:t>
      </w:r>
    </w:p>
    <w:p w14:paraId="413B3A28" w14:textId="77777777" w:rsidR="007A171C" w:rsidRPr="001E4F9D" w:rsidRDefault="00000000">
      <w:pPr>
        <w:pStyle w:val="Heading2"/>
        <w:rPr>
          <w:rFonts w:ascii="Calibri" w:hAnsi="Calibri" w:cs="Calibri"/>
          <w:color w:val="000000" w:themeColor="text1"/>
          <w:lang w:val="en-GB"/>
        </w:rPr>
      </w:pPr>
      <w:bookmarkStart w:id="21" w:name="_Toc235173343"/>
      <w:r w:rsidRPr="001E4F9D">
        <w:rPr>
          <w:rFonts w:ascii="Calibri" w:hAnsi="Calibri" w:cs="Calibri"/>
          <w:color w:val="000000" w:themeColor="text1"/>
          <w:lang w:val="en-GB"/>
        </w:rPr>
        <w:t>11. Residual risk and ALARP conclusion</w:t>
      </w:r>
      <w:bookmarkEnd w:id="21"/>
    </w:p>
    <w:p w14:paraId="1832DAA3"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After the controls are applied, Likelihood2 is reduced from 4 to 1. Severity3 remains at 3 because permanent hearing damage could still occur if several controls fail. The improved matrix gives a residual score of 3 and Risk Class C. The status is therefore tolerable and ALARP subject to active assurance.</w:t>
      </w:r>
    </w:p>
    <w:p w14:paraId="71FA6B57"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The conclusion is supported by several independent layers: unnecessary firing is reduced, the range is maintained, access and exposure are controlled, suitable hearing protection is fitted and supervised, and health surveillance checks for early harm. These controls are available, recognised and proportionate to the risk of permanent injury.</w:t>
      </w:r>
    </w:p>
    <w:p w14:paraId="2EF4D76D"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The residual risk is not zero. It remains tolerable only while the controls continue to work. Evidence should include a current noise assessment, maintenance records, protection selection and fitting records, training records, surveillance arrangements and corrective actions. Without this evidence, the ALARP claim would be weak even if the numerical score remained low.</w:t>
      </w:r>
    </w:p>
    <w:p w14:paraId="01F93CF4" w14:textId="77777777" w:rsidR="007A171C" w:rsidRPr="001E4F9D" w:rsidRDefault="00000000">
      <w:pPr>
        <w:pStyle w:val="Heading2"/>
        <w:rPr>
          <w:rFonts w:ascii="Calibri" w:hAnsi="Calibri" w:cs="Calibri"/>
          <w:color w:val="000000" w:themeColor="text1"/>
          <w:lang w:val="en-GB"/>
        </w:rPr>
      </w:pPr>
      <w:bookmarkStart w:id="22" w:name="_Toc235173344"/>
      <w:r w:rsidRPr="001E4F9D">
        <w:rPr>
          <w:rFonts w:ascii="Calibri" w:hAnsi="Calibri" w:cs="Calibri"/>
          <w:color w:val="000000" w:themeColor="text1"/>
          <w:lang w:val="en-GB"/>
        </w:rPr>
        <w:lastRenderedPageBreak/>
        <w:t>12. Maintaining ALARP</w:t>
      </w:r>
      <w:bookmarkEnd w:id="22"/>
    </w:p>
    <w:p w14:paraId="51A413A3" w14:textId="77777777"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ALARP must be reviewed rather than treated as a one-time decision. Review is required after changes to ammunition, weapon configuration, range design, number of rounds, protection equipment or reported hearing symptoms. Improved electronic protection, fit-testing and personal exposure monitoring should be reconsidered as the evidence, cost and technical approval change.</w:t>
      </w:r>
    </w:p>
    <w:p w14:paraId="1E923A7F" w14:textId="47238493" w:rsidR="007A171C" w:rsidRPr="001E4F9D" w:rsidRDefault="00000000">
      <w:pPr>
        <w:spacing w:after="60" w:line="245" w:lineRule="auto"/>
        <w:rPr>
          <w:rFonts w:ascii="Calibri" w:hAnsi="Calibri" w:cs="Calibri"/>
          <w:color w:val="000000" w:themeColor="text1"/>
          <w:lang w:val="en-GB"/>
        </w:rPr>
      </w:pPr>
      <w:r w:rsidRPr="001E4F9D">
        <w:rPr>
          <w:rFonts w:ascii="Calibri" w:hAnsi="Calibri" w:cs="Calibri"/>
          <w:color w:val="000000" w:themeColor="text1"/>
          <w:lang w:val="en-GB"/>
        </w:rPr>
        <w:t>Th</w:t>
      </w:r>
      <w:r w:rsidR="0048467F" w:rsidRPr="001E4F9D">
        <w:rPr>
          <w:rFonts w:ascii="Calibri" w:hAnsi="Calibri" w:cs="Calibri"/>
          <w:color w:val="000000" w:themeColor="text1"/>
          <w:lang w:val="en-GB"/>
        </w:rPr>
        <w:t xml:space="preserve">ere </w:t>
      </w:r>
      <w:r w:rsidRPr="001E4F9D">
        <w:rPr>
          <w:rFonts w:ascii="Calibri" w:hAnsi="Calibri" w:cs="Calibri"/>
          <w:color w:val="000000" w:themeColor="text1"/>
          <w:lang w:val="en-GB"/>
        </w:rPr>
        <w:t>should</w:t>
      </w:r>
      <w:r w:rsidR="0048467F" w:rsidRPr="001E4F9D">
        <w:rPr>
          <w:rFonts w:ascii="Calibri" w:hAnsi="Calibri" w:cs="Calibri"/>
          <w:color w:val="000000" w:themeColor="text1"/>
          <w:lang w:val="en-GB"/>
        </w:rPr>
        <w:t xml:space="preserve"> be someone who</w:t>
      </w:r>
      <w:r w:rsidRPr="001E4F9D">
        <w:rPr>
          <w:rFonts w:ascii="Calibri" w:hAnsi="Calibri" w:cs="Calibri"/>
          <w:color w:val="000000" w:themeColor="text1"/>
          <w:lang w:val="en-GB"/>
        </w:rPr>
        <w:t xml:space="preserve"> own</w:t>
      </w:r>
      <w:r w:rsidR="0048467F" w:rsidRPr="001E4F9D">
        <w:rPr>
          <w:rFonts w:ascii="Calibri" w:hAnsi="Calibri" w:cs="Calibri"/>
          <w:color w:val="000000" w:themeColor="text1"/>
          <w:lang w:val="en-GB"/>
        </w:rPr>
        <w:t>s</w:t>
      </w:r>
      <w:r w:rsidRPr="001E4F9D">
        <w:rPr>
          <w:rFonts w:ascii="Calibri" w:hAnsi="Calibri" w:cs="Calibri"/>
          <w:color w:val="000000" w:themeColor="text1"/>
          <w:lang w:val="en-GB"/>
        </w:rPr>
        <w:t xml:space="preserve"> the operational controls, supported by a competent noise assessor and occupational-health staff. Users and supervisors must wear protection correctly, report defects and report hearing symptoms. On the available evidence, the selected controls reduce the likelihood to an improbable level while allowing necessary live-fire activity. The remaining Class C risk is therefore considered tolerable and ALARP, provided the controls are verified, monitored and reviewed.</w:t>
      </w:r>
    </w:p>
    <w:p w14:paraId="6A282E03" w14:textId="36EF47E6" w:rsidR="007A171C" w:rsidRPr="001E4F9D" w:rsidRDefault="00000000">
      <w:pPr>
        <w:pStyle w:val="Heading1"/>
        <w:rPr>
          <w:rFonts w:ascii="Calibri" w:hAnsi="Calibri" w:cs="Calibri"/>
          <w:color w:val="000000" w:themeColor="text1"/>
          <w:lang w:val="en-GB"/>
        </w:rPr>
      </w:pPr>
      <w:bookmarkStart w:id="23" w:name="_Toc235173345"/>
      <w:r w:rsidRPr="001E4F9D">
        <w:rPr>
          <w:rFonts w:ascii="Calibri" w:hAnsi="Calibri" w:cs="Calibri"/>
          <w:color w:val="000000" w:themeColor="text1"/>
          <w:lang w:val="en-GB"/>
        </w:rPr>
        <w:t>References</w:t>
      </w:r>
      <w:bookmarkEnd w:id="23"/>
    </w:p>
    <w:p w14:paraId="227A0FF8" w14:textId="77777777" w:rsidR="007A171C" w:rsidRPr="001E4F9D" w:rsidRDefault="00000000">
      <w:pPr>
        <w:spacing w:after="40" w:line="245" w:lineRule="auto"/>
        <w:ind w:left="360" w:hanging="360"/>
        <w:rPr>
          <w:rFonts w:ascii="Calibri" w:hAnsi="Calibri" w:cs="Calibri"/>
          <w:color w:val="000000" w:themeColor="text1"/>
          <w:lang w:val="en-GB"/>
        </w:rPr>
      </w:pPr>
      <w:r w:rsidRPr="001E4F9D">
        <w:rPr>
          <w:rFonts w:ascii="Calibri" w:hAnsi="Calibri" w:cs="Calibri"/>
          <w:color w:val="000000" w:themeColor="text1"/>
          <w:lang w:val="en-GB"/>
        </w:rPr>
        <w:t xml:space="preserve">[1] D. K. Meinke, “Prevention of noise-induced hearing loss from recreational firearms,” Seminars in Hearing, vol. 38, no. 4, pp. 267-281, 2017, </w:t>
      </w:r>
      <w:proofErr w:type="spellStart"/>
      <w:r w:rsidRPr="001E4F9D">
        <w:rPr>
          <w:rFonts w:ascii="Calibri" w:hAnsi="Calibri" w:cs="Calibri"/>
          <w:color w:val="000000" w:themeColor="text1"/>
          <w:lang w:val="en-GB"/>
        </w:rPr>
        <w:t>doi</w:t>
      </w:r>
      <w:proofErr w:type="spellEnd"/>
      <w:r w:rsidRPr="001E4F9D">
        <w:rPr>
          <w:rFonts w:ascii="Calibri" w:hAnsi="Calibri" w:cs="Calibri"/>
          <w:color w:val="000000" w:themeColor="text1"/>
          <w:lang w:val="en-GB"/>
        </w:rPr>
        <w:t>: 10.1055/s-0037-1606323. Open full text: https://pmc.ncbi.nlm.nih.gov/articles/PMC5634813/</w:t>
      </w:r>
    </w:p>
    <w:p w14:paraId="3FC35FA1" w14:textId="77777777" w:rsidR="007A171C" w:rsidRPr="001E4F9D" w:rsidRDefault="00000000">
      <w:pPr>
        <w:spacing w:after="40" w:line="245" w:lineRule="auto"/>
        <w:ind w:left="360" w:hanging="360"/>
        <w:rPr>
          <w:rFonts w:ascii="Calibri" w:hAnsi="Calibri" w:cs="Calibri"/>
          <w:color w:val="000000" w:themeColor="text1"/>
          <w:lang w:val="en-GB"/>
        </w:rPr>
      </w:pPr>
      <w:r w:rsidRPr="001E4F9D">
        <w:rPr>
          <w:rFonts w:ascii="Calibri" w:hAnsi="Calibri" w:cs="Calibri"/>
          <w:color w:val="000000" w:themeColor="text1"/>
          <w:lang w:val="en-GB"/>
        </w:rPr>
        <w:t>[2] The Control of Noise at Work Regulations 2005, SI 2005/1643, United Kingdom. Public text: https://www.legislation.gov.uk/uksi/2005/1643/contents</w:t>
      </w:r>
    </w:p>
    <w:p w14:paraId="453888B7" w14:textId="77777777" w:rsidR="007A171C" w:rsidRPr="001E4F9D" w:rsidRDefault="00000000">
      <w:pPr>
        <w:spacing w:after="40" w:line="245" w:lineRule="auto"/>
        <w:ind w:left="360" w:hanging="360"/>
        <w:rPr>
          <w:rFonts w:ascii="Calibri" w:hAnsi="Calibri" w:cs="Calibri"/>
          <w:color w:val="000000" w:themeColor="text1"/>
          <w:lang w:val="en-GB"/>
        </w:rPr>
      </w:pPr>
      <w:r w:rsidRPr="001E4F9D">
        <w:rPr>
          <w:rFonts w:ascii="Calibri" w:hAnsi="Calibri" w:cs="Calibri"/>
          <w:color w:val="000000" w:themeColor="text1"/>
          <w:lang w:val="en-GB"/>
        </w:rPr>
        <w:t>[3] Health and Safety Executive, “Employers’ responsibilities - legal duties,” Noise at work. Public guidance: https://www.hse.gov.uk/noise/employers.htm</w:t>
      </w:r>
    </w:p>
    <w:p w14:paraId="24E1BD88" w14:textId="77777777" w:rsidR="007A171C" w:rsidRPr="001E4F9D" w:rsidRDefault="00000000">
      <w:pPr>
        <w:spacing w:after="40" w:line="245" w:lineRule="auto"/>
        <w:ind w:left="360" w:hanging="360"/>
        <w:rPr>
          <w:rFonts w:ascii="Calibri" w:hAnsi="Calibri" w:cs="Calibri"/>
          <w:color w:val="000000" w:themeColor="text1"/>
          <w:lang w:val="en-GB"/>
        </w:rPr>
      </w:pPr>
      <w:r w:rsidRPr="001E4F9D">
        <w:rPr>
          <w:rFonts w:ascii="Calibri" w:hAnsi="Calibri" w:cs="Calibri"/>
          <w:color w:val="000000" w:themeColor="text1"/>
          <w:lang w:val="en-GB"/>
        </w:rPr>
        <w:t>[4] Health and Safety Executive, “Hearing protection,” Noise at work. Public guidance: https://www.hse.gov.uk/noise/hearingprotection.htm</w:t>
      </w:r>
    </w:p>
    <w:p w14:paraId="0330D736" w14:textId="77777777" w:rsidR="007A171C" w:rsidRPr="001E4F9D" w:rsidRDefault="00000000">
      <w:pPr>
        <w:spacing w:after="40" w:line="245" w:lineRule="auto"/>
        <w:ind w:left="360" w:hanging="360"/>
        <w:rPr>
          <w:rFonts w:ascii="Calibri" w:hAnsi="Calibri" w:cs="Calibri"/>
          <w:color w:val="000000" w:themeColor="text1"/>
          <w:lang w:val="en-GB"/>
        </w:rPr>
      </w:pPr>
      <w:r w:rsidRPr="001E4F9D">
        <w:rPr>
          <w:rFonts w:ascii="Calibri" w:hAnsi="Calibri" w:cs="Calibri"/>
          <w:color w:val="000000" w:themeColor="text1"/>
          <w:lang w:val="en-GB"/>
        </w:rPr>
        <w:t xml:space="preserve">[5] M. A. S. Laidlaw, G. Filippelli, H. Mielke, B. Gulson and A. S. Ball, “Lead exposure at firing ranges-a review,” Environmental Health, vol. 16, art. 34, 2017, </w:t>
      </w:r>
      <w:proofErr w:type="spellStart"/>
      <w:r w:rsidRPr="001E4F9D">
        <w:rPr>
          <w:rFonts w:ascii="Calibri" w:hAnsi="Calibri" w:cs="Calibri"/>
          <w:color w:val="000000" w:themeColor="text1"/>
          <w:lang w:val="en-GB"/>
        </w:rPr>
        <w:t>doi</w:t>
      </w:r>
      <w:proofErr w:type="spellEnd"/>
      <w:r w:rsidRPr="001E4F9D">
        <w:rPr>
          <w:rFonts w:ascii="Calibri" w:hAnsi="Calibri" w:cs="Calibri"/>
          <w:color w:val="000000" w:themeColor="text1"/>
          <w:lang w:val="en-GB"/>
        </w:rPr>
        <w:t>: 10.1186/s12940-017-0246-0. Open full text: https://ehjournal.biomedcentral.com/articles/10.1186/s12940-017-0246-0</w:t>
      </w:r>
    </w:p>
    <w:p w14:paraId="03BCED11" w14:textId="77777777" w:rsidR="007A171C" w:rsidRPr="001E4F9D" w:rsidRDefault="00000000">
      <w:pPr>
        <w:spacing w:after="40" w:line="245" w:lineRule="auto"/>
        <w:ind w:left="360" w:hanging="360"/>
        <w:rPr>
          <w:rFonts w:ascii="Calibri" w:hAnsi="Calibri" w:cs="Calibri"/>
          <w:color w:val="000000" w:themeColor="text1"/>
          <w:lang w:val="en-GB"/>
        </w:rPr>
      </w:pPr>
      <w:r w:rsidRPr="001E4F9D">
        <w:rPr>
          <w:rFonts w:ascii="Calibri" w:hAnsi="Calibri" w:cs="Calibri"/>
          <w:color w:val="000000" w:themeColor="text1"/>
          <w:lang w:val="en-GB"/>
        </w:rPr>
        <w:t xml:space="preserve">[6] C. </w:t>
      </w:r>
      <w:proofErr w:type="spellStart"/>
      <w:r w:rsidRPr="001E4F9D">
        <w:rPr>
          <w:rFonts w:ascii="Calibri" w:hAnsi="Calibri" w:cs="Calibri"/>
          <w:color w:val="000000" w:themeColor="text1"/>
          <w:lang w:val="en-GB"/>
        </w:rPr>
        <w:t>Beaucham</w:t>
      </w:r>
      <w:proofErr w:type="spellEnd"/>
      <w:r w:rsidRPr="001E4F9D">
        <w:rPr>
          <w:rFonts w:ascii="Calibri" w:hAnsi="Calibri" w:cs="Calibri"/>
          <w:color w:val="000000" w:themeColor="text1"/>
          <w:lang w:val="en-GB"/>
        </w:rPr>
        <w:t>, E. Page, W. A. Alarcon, G. M. Calvert and M. Methner, “Indoor firing ranges and elevated blood lead levels-United States, 2002-2013,” MMWR Morbidity and Mortality Weekly Report, vol. 63, no. 16, pp. 347-351, 2014. Public full text: https://www.cdc.gov/mmwr/preview/mmwrhtml/mm6316a3.htm</w:t>
      </w:r>
    </w:p>
    <w:p w14:paraId="01DF4C5F" w14:textId="77777777" w:rsidR="007A171C" w:rsidRPr="001E4F9D" w:rsidRDefault="00000000">
      <w:pPr>
        <w:spacing w:after="40" w:line="245" w:lineRule="auto"/>
        <w:ind w:left="360" w:hanging="360"/>
        <w:rPr>
          <w:rFonts w:ascii="Calibri" w:hAnsi="Calibri" w:cs="Calibri"/>
          <w:color w:val="000000" w:themeColor="text1"/>
          <w:lang w:val="en-GB"/>
        </w:rPr>
      </w:pPr>
      <w:r w:rsidRPr="001E4F9D">
        <w:rPr>
          <w:rFonts w:ascii="Calibri" w:hAnsi="Calibri" w:cs="Calibri"/>
          <w:color w:val="000000" w:themeColor="text1"/>
          <w:lang w:val="en-GB"/>
        </w:rPr>
        <w:t>[7] National Institute for Occupational Safety and Health, Preventing Occupational Exposures to Lead and Noise at Indoor Firing Ranges, DHHS (NIOSH) Publication No. 2009-136, 2009. Public report: https://www.cdc.gov/niosh/docs/2009-136/</w:t>
      </w:r>
    </w:p>
    <w:p w14:paraId="6E817C8C" w14:textId="77777777" w:rsidR="007A171C" w:rsidRPr="001E4F9D" w:rsidRDefault="00000000">
      <w:pPr>
        <w:spacing w:after="40" w:line="245" w:lineRule="auto"/>
        <w:ind w:left="360" w:hanging="360"/>
        <w:rPr>
          <w:rFonts w:ascii="Calibri" w:hAnsi="Calibri" w:cs="Calibri"/>
          <w:color w:val="000000" w:themeColor="text1"/>
          <w:lang w:val="en-GB"/>
        </w:rPr>
      </w:pPr>
      <w:r w:rsidRPr="001E4F9D">
        <w:rPr>
          <w:rFonts w:ascii="Calibri" w:hAnsi="Calibri" w:cs="Calibri"/>
          <w:color w:val="000000" w:themeColor="text1"/>
          <w:lang w:val="en-GB"/>
        </w:rPr>
        <w:t>[8] National Institute for Occupational Safety and Health, Reducing Exposure to Lead and Noise at Outdoor Firing Ranges, DHHS (NIOSH) Publication No. 2013-104, 2013. Public report: https://www.cdc.gov/niosh/docs/2013-104/</w:t>
      </w:r>
    </w:p>
    <w:p w14:paraId="7893E73B" w14:textId="77777777" w:rsidR="007A171C" w:rsidRPr="001E4F9D" w:rsidRDefault="00000000">
      <w:pPr>
        <w:spacing w:after="40" w:line="245" w:lineRule="auto"/>
        <w:ind w:left="360" w:hanging="360"/>
        <w:rPr>
          <w:rFonts w:ascii="Calibri" w:hAnsi="Calibri" w:cs="Calibri"/>
          <w:color w:val="000000" w:themeColor="text1"/>
          <w:lang w:val="en-GB"/>
        </w:rPr>
      </w:pPr>
      <w:r w:rsidRPr="001E4F9D">
        <w:rPr>
          <w:rFonts w:ascii="Calibri" w:hAnsi="Calibri" w:cs="Calibri"/>
          <w:color w:val="000000" w:themeColor="text1"/>
          <w:lang w:val="en-GB"/>
        </w:rPr>
        <w:t xml:space="preserve">[9] S. E. Brueck, C. A. </w:t>
      </w:r>
      <w:proofErr w:type="spellStart"/>
      <w:r w:rsidRPr="001E4F9D">
        <w:rPr>
          <w:rFonts w:ascii="Calibri" w:hAnsi="Calibri" w:cs="Calibri"/>
          <w:color w:val="000000" w:themeColor="text1"/>
          <w:lang w:val="en-GB"/>
        </w:rPr>
        <w:t>Kardous</w:t>
      </w:r>
      <w:proofErr w:type="spellEnd"/>
      <w:r w:rsidRPr="001E4F9D">
        <w:rPr>
          <w:rFonts w:ascii="Calibri" w:hAnsi="Calibri" w:cs="Calibri"/>
          <w:color w:val="000000" w:themeColor="text1"/>
          <w:lang w:val="en-GB"/>
        </w:rPr>
        <w:t>, A. Oza and W. J. Murphy, Measurement of Exposure to Impulsive Noise at Indoor and Outdoor Firing Ranges during Tactical Training Exercises, NIOSH Health Hazard Evaluation Report No. 2013-0124-3208, 2014. Public report: https://www.cdc.gov/niosh/hhe/reports/pdfs/2013-0124-3208.pdf</w:t>
      </w:r>
    </w:p>
    <w:p w14:paraId="5D1ABA64" w14:textId="77777777" w:rsidR="007A171C" w:rsidRPr="001E4F9D" w:rsidRDefault="00000000">
      <w:pPr>
        <w:spacing w:after="40" w:line="245" w:lineRule="auto"/>
        <w:ind w:left="360" w:hanging="360"/>
        <w:rPr>
          <w:rFonts w:ascii="Calibri" w:hAnsi="Calibri" w:cs="Calibri"/>
          <w:color w:val="000000" w:themeColor="text1"/>
          <w:lang w:val="en-GB"/>
        </w:rPr>
      </w:pPr>
      <w:r w:rsidRPr="001E4F9D">
        <w:rPr>
          <w:rFonts w:ascii="Calibri" w:hAnsi="Calibri" w:cs="Calibri"/>
          <w:color w:val="000000" w:themeColor="text1"/>
          <w:lang w:val="en-GB"/>
        </w:rPr>
        <w:t>[10] Health and Safety Executive, “Control of substances hazardous to health (COSHH),” Public guidance: https://www.hse.gov.uk/coshh/</w:t>
      </w:r>
    </w:p>
    <w:p w14:paraId="69BF2C27" w14:textId="1DA81239" w:rsidR="007A171C" w:rsidRPr="0083724B" w:rsidRDefault="007A171C" w:rsidP="00C72C7B">
      <w:pPr>
        <w:pStyle w:val="ListBullet"/>
        <w:numPr>
          <w:ilvl w:val="0"/>
          <w:numId w:val="0"/>
        </w:numPr>
        <w:rPr>
          <w:rFonts w:ascii="Calibri" w:hAnsi="Calibri" w:cs="Calibri"/>
          <w:color w:val="000000" w:themeColor="text1"/>
        </w:rPr>
      </w:pPr>
    </w:p>
    <w:sectPr w:rsidR="007A171C" w:rsidRPr="0083724B" w:rsidSect="00034616">
      <w:footerReference w:type="default" r:id="rId11"/>
      <w:pgSz w:w="11909" w:h="16834"/>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80713" w14:textId="77777777" w:rsidR="00AF59E1" w:rsidRDefault="00AF59E1">
      <w:pPr>
        <w:spacing w:after="0" w:line="240" w:lineRule="auto"/>
      </w:pPr>
      <w:r>
        <w:separator/>
      </w:r>
    </w:p>
  </w:endnote>
  <w:endnote w:type="continuationSeparator" w:id="0">
    <w:p w14:paraId="5E9A7AE1" w14:textId="77777777" w:rsidR="00AF59E1" w:rsidRDefault="00AF5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3B4DA" w14:textId="77777777" w:rsidR="007A171C" w:rsidRDefault="00000000">
    <w:pPr>
      <w:pStyle w:val="Footer"/>
      <w:jc w:val="center"/>
    </w:pPr>
    <w:r>
      <w:rPr>
        <w:sz w:val="16"/>
      </w:rPr>
      <w:t xml:space="preserve">Page </w:t>
    </w:r>
    <w:r>
      <w:rPr>
        <w:sz w:val="16"/>
      </w:rPr>
      <w:fldChar w:fldCharType="begin"/>
    </w:r>
    <w:r>
      <w:rPr>
        <w:sz w:val="16"/>
      </w:rPr>
      <w:instrText>PAGE</w:instrText>
    </w:r>
    <w:r>
      <w:rPr>
        <w:sz w:val="16"/>
      </w:rPr>
      <w:fldChar w:fldCharType="separate"/>
    </w:r>
    <w:r w:rsidR="00C10D54">
      <w:rPr>
        <w:noProof/>
        <w:sz w:val="16"/>
      </w:rPr>
      <w:t>1</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096DE" w14:textId="77777777" w:rsidR="007A171C" w:rsidRDefault="00000000">
    <w:pPr>
      <w:pStyle w:val="Footer"/>
      <w:jc w:val="center"/>
    </w:pPr>
    <w:r>
      <w:rPr>
        <w:sz w:val="16"/>
      </w:rPr>
      <w:t xml:space="preserve">Page </w:t>
    </w:r>
    <w:r>
      <w:rPr>
        <w:sz w:val="16"/>
      </w:rPr>
      <w:fldChar w:fldCharType="begin"/>
    </w:r>
    <w:r>
      <w:rPr>
        <w:sz w:val="16"/>
      </w:rPr>
      <w:instrText>PAGE</w:instrText>
    </w:r>
    <w:r>
      <w:rPr>
        <w:sz w:val="16"/>
      </w:rPr>
      <w:fldChar w:fldCharType="separate"/>
    </w:r>
    <w:r w:rsidR="00C10D54">
      <w:rPr>
        <w:noProof/>
        <w:sz w:val="16"/>
      </w:rPr>
      <w:t>2</w:t>
    </w:r>
    <w:r>
      <w:rPr>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563B0" w14:textId="77777777" w:rsidR="007A171C" w:rsidRDefault="00000000">
    <w:pPr>
      <w:pStyle w:val="Footer"/>
      <w:jc w:val="center"/>
    </w:pPr>
    <w:r>
      <w:rPr>
        <w:sz w:val="16"/>
      </w:rPr>
      <w:t xml:space="preserve">Page </w:t>
    </w:r>
    <w:r>
      <w:rPr>
        <w:sz w:val="16"/>
      </w:rPr>
      <w:fldChar w:fldCharType="begin"/>
    </w:r>
    <w:r>
      <w:rPr>
        <w:sz w:val="16"/>
      </w:rPr>
      <w:instrText>PAGE</w:instrText>
    </w:r>
    <w:r>
      <w:rPr>
        <w:sz w:val="16"/>
      </w:rPr>
      <w:fldChar w:fldCharType="separate"/>
    </w:r>
    <w:r w:rsidR="00C10D54">
      <w:rPr>
        <w:noProof/>
        <w:sz w:val="16"/>
      </w:rPr>
      <w:t>6</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0E6A9" w14:textId="77777777" w:rsidR="00AF59E1" w:rsidRDefault="00AF59E1">
      <w:pPr>
        <w:spacing w:after="0" w:line="240" w:lineRule="auto"/>
      </w:pPr>
      <w:r>
        <w:separator/>
      </w:r>
    </w:p>
  </w:footnote>
  <w:footnote w:type="continuationSeparator" w:id="0">
    <w:p w14:paraId="48DBFDC0" w14:textId="77777777" w:rsidR="00AF59E1" w:rsidRDefault="00AF59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41379416">
    <w:abstractNumId w:val="8"/>
  </w:num>
  <w:num w:numId="2" w16cid:durableId="1160577670">
    <w:abstractNumId w:val="6"/>
  </w:num>
  <w:num w:numId="3" w16cid:durableId="1503079968">
    <w:abstractNumId w:val="5"/>
  </w:num>
  <w:num w:numId="4" w16cid:durableId="441194248">
    <w:abstractNumId w:val="4"/>
  </w:num>
  <w:num w:numId="5" w16cid:durableId="1221750201">
    <w:abstractNumId w:val="7"/>
  </w:num>
  <w:num w:numId="6" w16cid:durableId="93400333">
    <w:abstractNumId w:val="3"/>
  </w:num>
  <w:num w:numId="7" w16cid:durableId="270361883">
    <w:abstractNumId w:val="2"/>
  </w:num>
  <w:num w:numId="8" w16cid:durableId="1948274167">
    <w:abstractNumId w:val="1"/>
  </w:num>
  <w:num w:numId="9" w16cid:durableId="1071463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E4F9D"/>
    <w:rsid w:val="0029639D"/>
    <w:rsid w:val="00326F90"/>
    <w:rsid w:val="0035036C"/>
    <w:rsid w:val="003511D2"/>
    <w:rsid w:val="004443EF"/>
    <w:rsid w:val="0045461B"/>
    <w:rsid w:val="0048467F"/>
    <w:rsid w:val="007A171C"/>
    <w:rsid w:val="0083724B"/>
    <w:rsid w:val="0084069E"/>
    <w:rsid w:val="008F00D3"/>
    <w:rsid w:val="009C783D"/>
    <w:rsid w:val="00AA1D8D"/>
    <w:rsid w:val="00AB37A9"/>
    <w:rsid w:val="00AF59E1"/>
    <w:rsid w:val="00B100AB"/>
    <w:rsid w:val="00B47730"/>
    <w:rsid w:val="00BE60AD"/>
    <w:rsid w:val="00C10D54"/>
    <w:rsid w:val="00C72C7B"/>
    <w:rsid w:val="00CB0664"/>
    <w:rsid w:val="00F2715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B6DA92"/>
  <w14:defaultImageDpi w14:val="300"/>
  <w15:docId w15:val="{FBEEF201-DBD0-0149-9885-382930E3C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2" w:lineRule="auto"/>
    </w:pPr>
    <w:rPr>
      <w:rFonts w:ascii="Arial" w:hAnsi="Arial"/>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Arial" w:hAnsi="Arial"/>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Arial" w:hAnsi="Arial"/>
    </w:rPr>
  </w:style>
  <w:style w:type="paragraph" w:styleId="NoSpacing">
    <w:name w:val="No Spacing"/>
    <w:uiPriority w:val="1"/>
    <w:qFormat/>
    <w:rsid w:val="00FC693F"/>
    <w:pPr>
      <w:spacing w:after="0" w:line="240" w:lineRule="auto"/>
    </w:pPr>
    <w:rPr>
      <w:rFonts w:ascii="Arial" w:hAnsi="Arial"/>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rPr>
      <w:rFonts w:ascii="Arial" w:hAnsi="Arial"/>
    </w:rPr>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rPr>
      <w:rFonts w:ascii="Arial" w:hAnsi="Arial"/>
    </w:rPr>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rFonts w:ascii="Arial" w:hAnsi="Arial"/>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hAnsi="Arial"/>
      <w:sz w:val="20"/>
      <w:szCs w:val="20"/>
    </w:rPr>
  </w:style>
  <w:style w:type="character" w:customStyle="1" w:styleId="MacroTextChar">
    <w:name w:val="Macro Text Char"/>
    <w:basedOn w:val="DefaultParagraphFont"/>
    <w:link w:val="MacroText"/>
    <w:uiPriority w:val="99"/>
    <w:rsid w:val="0029639D"/>
    <w:rPr>
      <w:rFonts w:ascii="Arial" w:hAnsi="Arial"/>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rFonts w:ascii="Arial" w:hAnsi="Arial"/>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rFonts w:ascii="Arial" w:hAnsi="Arial"/>
      <w:b/>
      <w:bCs/>
    </w:rPr>
  </w:style>
  <w:style w:type="character" w:styleId="Emphasis">
    <w:name w:val="Emphasis"/>
    <w:basedOn w:val="DefaultParagraphFont"/>
    <w:uiPriority w:val="20"/>
    <w:qFormat/>
    <w:rsid w:val="00FC693F"/>
    <w:rPr>
      <w:rFonts w:ascii="Arial" w:hAnsi="Arial"/>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Arial" w:hAnsi="Arial"/>
      <w:b/>
      <w:bCs/>
      <w:i/>
      <w:iCs/>
      <w:color w:val="4F81BD" w:themeColor="accent1"/>
    </w:rPr>
  </w:style>
  <w:style w:type="character" w:styleId="SubtleEmphasis">
    <w:name w:val="Subtle Emphasis"/>
    <w:basedOn w:val="DefaultParagraphFont"/>
    <w:uiPriority w:val="19"/>
    <w:qFormat/>
    <w:rsid w:val="00FC693F"/>
    <w:rPr>
      <w:rFonts w:ascii="Arial" w:hAnsi="Arial"/>
      <w:i/>
      <w:iCs/>
      <w:color w:val="808080" w:themeColor="text1" w:themeTint="7F"/>
    </w:rPr>
  </w:style>
  <w:style w:type="character" w:styleId="IntenseEmphasis">
    <w:name w:val="Intense Emphasis"/>
    <w:basedOn w:val="DefaultParagraphFont"/>
    <w:uiPriority w:val="21"/>
    <w:qFormat/>
    <w:rsid w:val="00FC693F"/>
    <w:rPr>
      <w:rFonts w:ascii="Arial" w:hAnsi="Arial"/>
      <w:b/>
      <w:bCs/>
      <w:i/>
      <w:iCs/>
      <w:color w:val="4F81BD" w:themeColor="accent1"/>
    </w:rPr>
  </w:style>
  <w:style w:type="character" w:styleId="SubtleReference">
    <w:name w:val="Subtle Reference"/>
    <w:basedOn w:val="DefaultParagraphFont"/>
    <w:uiPriority w:val="31"/>
    <w:qFormat/>
    <w:rsid w:val="00FC693F"/>
    <w:rPr>
      <w:rFonts w:ascii="Arial" w:hAnsi="Arial"/>
      <w:smallCaps/>
      <w:color w:val="C0504D" w:themeColor="accent2"/>
      <w:u w:val="single"/>
    </w:rPr>
  </w:style>
  <w:style w:type="character" w:styleId="IntenseReference">
    <w:name w:val="Intense Reference"/>
    <w:basedOn w:val="DefaultParagraphFont"/>
    <w:uiPriority w:val="32"/>
    <w:qFormat/>
    <w:rsid w:val="00FC693F"/>
    <w:rPr>
      <w:rFonts w:ascii="Arial" w:hAnsi="Arial"/>
      <w:b/>
      <w:bCs/>
      <w:smallCaps/>
      <w:color w:val="C0504D" w:themeColor="accent2"/>
      <w:spacing w:val="5"/>
      <w:u w:val="single"/>
    </w:rPr>
  </w:style>
  <w:style w:type="character" w:styleId="BookTitle">
    <w:name w:val="Book Title"/>
    <w:basedOn w:val="DefaultParagraphFont"/>
    <w:uiPriority w:val="33"/>
    <w:qFormat/>
    <w:rsid w:val="00FC693F"/>
    <w:rPr>
      <w:rFonts w:ascii="Arial" w:hAnsi="Arial"/>
      <w:b/>
      <w:bCs/>
      <w:smallCaps/>
      <w:spacing w:val="5"/>
    </w:rPr>
  </w:style>
  <w:style w:type="paragraph" w:styleId="TOCHeading">
    <w:name w:val="TOC Heading"/>
    <w:basedOn w:val="Heading1"/>
    <w:next w:val="Normal"/>
    <w:uiPriority w:val="39"/>
    <w:unhideWhenUsed/>
    <w:qFormat/>
    <w:rsid w:val="00FC693F"/>
    <w:pPr>
      <w:outlineLvl w:val="9"/>
    </w:pPr>
    <w:rPr>
      <w:rFonts w:ascii="Arial" w:hAnsi="Arial"/>
    </w:rPr>
  </w:style>
  <w:style w:type="table" w:styleId="TableGrid">
    <w:name w:val="Table Grid"/>
    <w:basedOn w:val="TableNormal"/>
    <w:uiPriority w:val="59"/>
    <w:rsid w:val="00FC693F"/>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rFonts w:ascii="Arial" w:hAnsi="Arial"/>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Arial" w:hAnsi="Arial"/>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Arial" w:hAnsi="Arial"/>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Arial" w:hAnsi="Arial"/>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Arial" w:hAnsi="Arial"/>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Arial" w:hAnsi="Arial"/>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Arial" w:hAnsi="Arial"/>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Arial" w:hAnsi="Ari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Arial" w:hAnsi="Ari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Arial" w:hAnsi="Ari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Arial" w:hAnsi="Ari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Arial" w:hAnsi="Ari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Arial" w:hAnsi="Ari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Arial" w:hAnsi="Ari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Arial" w:hAnsi="Ari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Arial" w:hAnsi="Ari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Arial" w:hAnsi="Ari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Arial" w:hAnsi="Ari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Arial" w:hAnsi="Ari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Arial" w:hAnsi="Ari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Arial" w:hAnsi="Ari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Arial" w:hAnsi="Ari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Arial" w:hAnsi="Ari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Arial" w:hAnsi="Ari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Arial" w:hAnsi="Ari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Arial" w:hAnsi="Ari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Arial" w:hAnsi="Ari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Arial" w:hAnsi="Ari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Arial" w:hAnsi="Arial"/>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Arial" w:hAnsi="Arial"/>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Arial" w:hAnsi="Arial"/>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Arial" w:hAnsi="Arial"/>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Arial" w:hAnsi="Arial"/>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Arial" w:hAnsi="Arial"/>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Arial" w:hAnsi="Arial"/>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Arial" w:hAnsi="Ari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Arial" w:hAnsi="Ari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Arial" w:hAnsi="Ari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Arial" w:hAnsi="Ari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Arial" w:hAnsi="Ari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Arial" w:hAnsi="Ari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Arial" w:hAnsi="Ari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Arial" w:hAnsi="Arial"/>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Arial" w:hAnsi="Arial"/>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Arial" w:hAnsi="Arial"/>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Arial" w:hAnsi="Arial"/>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Arial" w:hAnsi="Arial"/>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Arial" w:hAnsi="Arial"/>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Arial" w:hAnsi="Arial"/>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rFonts w:ascii="Arial" w:hAnsi="Arial"/>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rFonts w:ascii="Arial" w:hAnsi="Arial"/>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rFonts w:ascii="Arial" w:hAnsi="Arial"/>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rFonts w:ascii="Arial" w:hAnsi="Arial"/>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rFonts w:ascii="Arial" w:hAnsi="Arial"/>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rFonts w:ascii="Arial" w:hAnsi="Arial"/>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rFonts w:ascii="Arial" w:hAnsi="Arial"/>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rFonts w:ascii="Arial" w:hAnsi="Arial"/>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rFonts w:ascii="Arial" w:hAnsi="Arial"/>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rFonts w:ascii="Arial" w:hAnsi="Arial"/>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rFonts w:ascii="Arial" w:hAnsi="Arial"/>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rFonts w:ascii="Arial" w:hAnsi="Arial"/>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rFonts w:ascii="Arial" w:hAnsi="Arial"/>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rFonts w:ascii="Arial" w:hAnsi="Arial"/>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rFonts w:ascii="Arial" w:hAnsi="Arial"/>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rFonts w:ascii="Arial" w:hAnsi="Arial"/>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rFonts w:ascii="Arial" w:hAnsi="Arial"/>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rFonts w:ascii="Arial" w:hAnsi="Arial"/>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rFonts w:ascii="Arial" w:hAnsi="Arial"/>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rFonts w:ascii="Arial" w:hAnsi="Arial"/>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rFonts w:ascii="Arial" w:hAnsi="Arial"/>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48467F"/>
    <w:pPr>
      <w:spacing w:before="120" w:after="0"/>
    </w:pPr>
    <w:rPr>
      <w:rFonts w:asciiTheme="minorHAnsi" w:hAnsiTheme="minorHAnsi"/>
      <w:b/>
      <w:bCs/>
      <w:i/>
      <w:iCs/>
      <w:sz w:val="24"/>
      <w:szCs w:val="24"/>
    </w:rPr>
  </w:style>
  <w:style w:type="paragraph" w:styleId="TOC2">
    <w:name w:val="toc 2"/>
    <w:basedOn w:val="Normal"/>
    <w:next w:val="Normal"/>
    <w:autoRedefine/>
    <w:uiPriority w:val="39"/>
    <w:unhideWhenUsed/>
    <w:rsid w:val="0048467F"/>
    <w:pPr>
      <w:spacing w:before="120" w:after="0"/>
      <w:ind w:left="190"/>
    </w:pPr>
    <w:rPr>
      <w:rFonts w:asciiTheme="minorHAnsi" w:hAnsiTheme="minorHAnsi"/>
      <w:b/>
      <w:bCs/>
      <w:sz w:val="22"/>
    </w:rPr>
  </w:style>
  <w:style w:type="paragraph" w:styleId="TOC3">
    <w:name w:val="toc 3"/>
    <w:basedOn w:val="Normal"/>
    <w:next w:val="Normal"/>
    <w:autoRedefine/>
    <w:uiPriority w:val="39"/>
    <w:unhideWhenUsed/>
    <w:rsid w:val="0048467F"/>
    <w:pPr>
      <w:spacing w:after="0"/>
      <w:ind w:left="380"/>
    </w:pPr>
    <w:rPr>
      <w:rFonts w:asciiTheme="minorHAnsi" w:hAnsiTheme="minorHAnsi"/>
      <w:sz w:val="20"/>
      <w:szCs w:val="20"/>
    </w:rPr>
  </w:style>
  <w:style w:type="character" w:styleId="Hyperlink">
    <w:name w:val="Hyperlink"/>
    <w:basedOn w:val="DefaultParagraphFont"/>
    <w:uiPriority w:val="99"/>
    <w:unhideWhenUsed/>
    <w:rsid w:val="0048467F"/>
    <w:rPr>
      <w:color w:val="0000FF" w:themeColor="hyperlink"/>
      <w:u w:val="single"/>
    </w:rPr>
  </w:style>
  <w:style w:type="paragraph" w:styleId="TOC4">
    <w:name w:val="toc 4"/>
    <w:basedOn w:val="Normal"/>
    <w:next w:val="Normal"/>
    <w:autoRedefine/>
    <w:uiPriority w:val="39"/>
    <w:semiHidden/>
    <w:unhideWhenUsed/>
    <w:rsid w:val="0048467F"/>
    <w:pPr>
      <w:spacing w:after="0"/>
      <w:ind w:left="570"/>
    </w:pPr>
    <w:rPr>
      <w:rFonts w:asciiTheme="minorHAnsi" w:hAnsiTheme="minorHAnsi"/>
      <w:sz w:val="20"/>
      <w:szCs w:val="20"/>
    </w:rPr>
  </w:style>
  <w:style w:type="paragraph" w:styleId="TOC5">
    <w:name w:val="toc 5"/>
    <w:basedOn w:val="Normal"/>
    <w:next w:val="Normal"/>
    <w:autoRedefine/>
    <w:uiPriority w:val="39"/>
    <w:semiHidden/>
    <w:unhideWhenUsed/>
    <w:rsid w:val="0048467F"/>
    <w:pPr>
      <w:spacing w:after="0"/>
      <w:ind w:left="760"/>
    </w:pPr>
    <w:rPr>
      <w:rFonts w:asciiTheme="minorHAnsi" w:hAnsiTheme="minorHAnsi"/>
      <w:sz w:val="20"/>
      <w:szCs w:val="20"/>
    </w:rPr>
  </w:style>
  <w:style w:type="paragraph" w:styleId="TOC6">
    <w:name w:val="toc 6"/>
    <w:basedOn w:val="Normal"/>
    <w:next w:val="Normal"/>
    <w:autoRedefine/>
    <w:uiPriority w:val="39"/>
    <w:semiHidden/>
    <w:unhideWhenUsed/>
    <w:rsid w:val="0048467F"/>
    <w:pPr>
      <w:spacing w:after="0"/>
      <w:ind w:left="950"/>
    </w:pPr>
    <w:rPr>
      <w:rFonts w:asciiTheme="minorHAnsi" w:hAnsiTheme="minorHAnsi"/>
      <w:sz w:val="20"/>
      <w:szCs w:val="20"/>
    </w:rPr>
  </w:style>
  <w:style w:type="paragraph" w:styleId="TOC7">
    <w:name w:val="toc 7"/>
    <w:basedOn w:val="Normal"/>
    <w:next w:val="Normal"/>
    <w:autoRedefine/>
    <w:uiPriority w:val="39"/>
    <w:semiHidden/>
    <w:unhideWhenUsed/>
    <w:rsid w:val="0048467F"/>
    <w:pPr>
      <w:spacing w:after="0"/>
      <w:ind w:left="1140"/>
    </w:pPr>
    <w:rPr>
      <w:rFonts w:asciiTheme="minorHAnsi" w:hAnsiTheme="minorHAnsi"/>
      <w:sz w:val="20"/>
      <w:szCs w:val="20"/>
    </w:rPr>
  </w:style>
  <w:style w:type="paragraph" w:styleId="TOC8">
    <w:name w:val="toc 8"/>
    <w:basedOn w:val="Normal"/>
    <w:next w:val="Normal"/>
    <w:autoRedefine/>
    <w:uiPriority w:val="39"/>
    <w:semiHidden/>
    <w:unhideWhenUsed/>
    <w:rsid w:val="0048467F"/>
    <w:pPr>
      <w:spacing w:after="0"/>
      <w:ind w:left="1330"/>
    </w:pPr>
    <w:rPr>
      <w:rFonts w:asciiTheme="minorHAnsi" w:hAnsiTheme="minorHAnsi"/>
      <w:sz w:val="20"/>
      <w:szCs w:val="20"/>
    </w:rPr>
  </w:style>
  <w:style w:type="paragraph" w:styleId="TOC9">
    <w:name w:val="toc 9"/>
    <w:basedOn w:val="Normal"/>
    <w:next w:val="Normal"/>
    <w:autoRedefine/>
    <w:uiPriority w:val="39"/>
    <w:semiHidden/>
    <w:unhideWhenUsed/>
    <w:rsid w:val="0048467F"/>
    <w:pPr>
      <w:spacing w:after="0"/>
      <w:ind w:left="15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Pages>
  <Words>4328</Words>
  <Characters>24671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28942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Idora Musa (2427103)</cp:lastModifiedBy>
  <cp:revision>13</cp:revision>
  <dcterms:created xsi:type="dcterms:W3CDTF">2026-07-17T08:16:00Z</dcterms:created>
  <dcterms:modified xsi:type="dcterms:W3CDTF">2026-07-17T08:45:00Z</dcterms:modified>
  <cp:category/>
</cp:coreProperties>
</file>