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928BD" w14:textId="77777777" w:rsidR="001C59D5" w:rsidRDefault="001C59D5" w:rsidP="001C59D5">
      <w:pPr>
        <w:pStyle w:val="Title"/>
        <w:jc w:val="center"/>
        <w:rPr>
          <w:sz w:val="32"/>
          <w:szCs w:val="32"/>
        </w:rPr>
      </w:pPr>
    </w:p>
    <w:p w14:paraId="174EC493" w14:textId="063500C3" w:rsidR="001C59D5" w:rsidRPr="001C59D5" w:rsidRDefault="001C59D5" w:rsidP="001C59D5">
      <w:pPr>
        <w:pStyle w:val="Title"/>
        <w:jc w:val="center"/>
        <w:rPr>
          <w:sz w:val="32"/>
          <w:szCs w:val="32"/>
        </w:rPr>
      </w:pPr>
      <w:r w:rsidRPr="001C59D5">
        <w:rPr>
          <w:sz w:val="32"/>
          <w:szCs w:val="32"/>
        </w:rPr>
        <w:t xml:space="preserve">Module: Banking Financial Management and Financial Markets </w:t>
      </w:r>
    </w:p>
    <w:p w14:paraId="43D7F027" w14:textId="77777777" w:rsidR="001C59D5" w:rsidRPr="001C59D5" w:rsidRDefault="001C59D5" w:rsidP="001C59D5">
      <w:pPr>
        <w:pStyle w:val="Title"/>
        <w:jc w:val="center"/>
        <w:rPr>
          <w:sz w:val="32"/>
          <w:szCs w:val="32"/>
        </w:rPr>
      </w:pPr>
      <w:r w:rsidRPr="001C59D5">
        <w:rPr>
          <w:sz w:val="32"/>
          <w:szCs w:val="32"/>
        </w:rPr>
        <w:t xml:space="preserve">Module code: LCMB7012 </w:t>
      </w:r>
    </w:p>
    <w:p w14:paraId="4E24DD36" w14:textId="77777777" w:rsidR="001C59D5" w:rsidRPr="001C59D5" w:rsidRDefault="001C59D5" w:rsidP="001C59D5">
      <w:pPr>
        <w:pStyle w:val="Title"/>
        <w:jc w:val="center"/>
        <w:rPr>
          <w:sz w:val="32"/>
          <w:szCs w:val="32"/>
        </w:rPr>
      </w:pPr>
      <w:r w:rsidRPr="001C59D5">
        <w:rPr>
          <w:sz w:val="32"/>
          <w:szCs w:val="32"/>
        </w:rPr>
        <w:t xml:space="preserve">Name of student: Lirta Kollcinaku </w:t>
      </w:r>
    </w:p>
    <w:p w14:paraId="013EEFBA" w14:textId="774740AC" w:rsidR="00F9133C" w:rsidRPr="00176D81" w:rsidRDefault="001C59D5" w:rsidP="001C59D5">
      <w:pPr>
        <w:pStyle w:val="Title"/>
        <w:jc w:val="center"/>
        <w:rPr>
          <w:u w:val="single"/>
        </w:rPr>
      </w:pPr>
      <w:r w:rsidRPr="001C59D5">
        <w:rPr>
          <w:sz w:val="32"/>
          <w:szCs w:val="32"/>
        </w:rPr>
        <w:t>Student ID:1919597</w:t>
      </w:r>
      <w:r w:rsidRPr="001C59D5">
        <w:rPr>
          <w:u w:val="single"/>
        </w:rPr>
        <w:t xml:space="preserve"> </w:t>
      </w:r>
      <w:r w:rsidR="004339E0" w:rsidRPr="00176D81">
        <w:rPr>
          <w:u w:val="single"/>
        </w:rPr>
        <w:br w:type="page"/>
      </w:r>
    </w:p>
    <w:sdt>
      <w:sdtPr>
        <w:rPr>
          <w:rFonts w:ascii="Times New Roman" w:eastAsia="Times New Roman" w:hAnsi="Times New Roman" w:cs="Times New Roman"/>
          <w:b w:val="0"/>
          <w:bCs w:val="0"/>
          <w:color w:val="auto"/>
          <w:sz w:val="24"/>
          <w:szCs w:val="24"/>
        </w:rPr>
        <w:id w:val="30407377"/>
        <w:docPartObj>
          <w:docPartGallery w:val="Table of Contents"/>
          <w:docPartUnique/>
        </w:docPartObj>
      </w:sdtPr>
      <w:sdtEndPr/>
      <w:sdtContent>
        <w:p w14:paraId="667F5CAE" w14:textId="77777777" w:rsidR="00241348" w:rsidRPr="00241348" w:rsidRDefault="00241348" w:rsidP="00241348">
          <w:pPr>
            <w:pStyle w:val="TOCHeading"/>
            <w:jc w:val="center"/>
            <w:rPr>
              <w:rFonts w:ascii="Times New Roman" w:hAnsi="Times New Roman" w:cs="Times New Roman"/>
              <w:color w:val="auto"/>
            </w:rPr>
          </w:pPr>
          <w:r w:rsidRPr="00241348">
            <w:rPr>
              <w:rFonts w:ascii="Times New Roman" w:hAnsi="Times New Roman" w:cs="Times New Roman"/>
              <w:color w:val="auto"/>
            </w:rPr>
            <w:t>Table of Contents</w:t>
          </w:r>
        </w:p>
        <w:p w14:paraId="3F135C33" w14:textId="77777777" w:rsidR="00241348" w:rsidRDefault="00304EFE">
          <w:pPr>
            <w:pStyle w:val="TOC1"/>
            <w:tabs>
              <w:tab w:val="right" w:leader="dot" w:pos="9350"/>
            </w:tabs>
            <w:rPr>
              <w:noProof/>
            </w:rPr>
          </w:pPr>
          <w:r>
            <w:fldChar w:fldCharType="begin"/>
          </w:r>
          <w:r w:rsidR="00241348">
            <w:instrText xml:space="preserve"> TOC \o "1-3" \h \z \u </w:instrText>
          </w:r>
          <w:r>
            <w:fldChar w:fldCharType="separate"/>
          </w:r>
          <w:hyperlink w:anchor="_Toc101546431" w:history="1">
            <w:r w:rsidR="00241348" w:rsidRPr="00831CF8">
              <w:rPr>
                <w:rStyle w:val="Hyperlink"/>
                <w:noProof/>
              </w:rPr>
              <w:t>Introduction</w:t>
            </w:r>
            <w:r w:rsidR="00241348">
              <w:rPr>
                <w:noProof/>
                <w:webHidden/>
              </w:rPr>
              <w:tab/>
            </w:r>
            <w:r>
              <w:rPr>
                <w:noProof/>
                <w:webHidden/>
              </w:rPr>
              <w:fldChar w:fldCharType="begin"/>
            </w:r>
            <w:r w:rsidR="00241348">
              <w:rPr>
                <w:noProof/>
                <w:webHidden/>
              </w:rPr>
              <w:instrText xml:space="preserve"> PAGEREF _Toc101546431 \h </w:instrText>
            </w:r>
            <w:r>
              <w:rPr>
                <w:noProof/>
                <w:webHidden/>
              </w:rPr>
            </w:r>
            <w:r>
              <w:rPr>
                <w:noProof/>
                <w:webHidden/>
              </w:rPr>
              <w:fldChar w:fldCharType="separate"/>
            </w:r>
            <w:r w:rsidR="00241348">
              <w:rPr>
                <w:noProof/>
                <w:webHidden/>
              </w:rPr>
              <w:t>3</w:t>
            </w:r>
            <w:r>
              <w:rPr>
                <w:noProof/>
                <w:webHidden/>
              </w:rPr>
              <w:fldChar w:fldCharType="end"/>
            </w:r>
          </w:hyperlink>
        </w:p>
        <w:p w14:paraId="64C4DF6D" w14:textId="77777777" w:rsidR="00241348" w:rsidRDefault="008E6226">
          <w:pPr>
            <w:pStyle w:val="TOC1"/>
            <w:tabs>
              <w:tab w:val="right" w:leader="dot" w:pos="9350"/>
            </w:tabs>
            <w:rPr>
              <w:noProof/>
            </w:rPr>
          </w:pPr>
          <w:hyperlink w:anchor="_Toc101546432" w:history="1">
            <w:r w:rsidR="00241348" w:rsidRPr="00831CF8">
              <w:rPr>
                <w:rStyle w:val="Hyperlink"/>
                <w:noProof/>
              </w:rPr>
              <w:t>Identification of the important law, regulations and contracts that are enforced post 2008 financial crisis by the government of the UK, US or EU</w:t>
            </w:r>
            <w:r w:rsidR="00241348">
              <w:rPr>
                <w:noProof/>
                <w:webHidden/>
              </w:rPr>
              <w:tab/>
            </w:r>
            <w:r w:rsidR="00304EFE">
              <w:rPr>
                <w:noProof/>
                <w:webHidden/>
              </w:rPr>
              <w:fldChar w:fldCharType="begin"/>
            </w:r>
            <w:r w:rsidR="00241348">
              <w:rPr>
                <w:noProof/>
                <w:webHidden/>
              </w:rPr>
              <w:instrText xml:space="preserve"> PAGEREF _Toc101546432 \h </w:instrText>
            </w:r>
            <w:r w:rsidR="00304EFE">
              <w:rPr>
                <w:noProof/>
                <w:webHidden/>
              </w:rPr>
            </w:r>
            <w:r w:rsidR="00304EFE">
              <w:rPr>
                <w:noProof/>
                <w:webHidden/>
              </w:rPr>
              <w:fldChar w:fldCharType="separate"/>
            </w:r>
            <w:r w:rsidR="00241348">
              <w:rPr>
                <w:noProof/>
                <w:webHidden/>
              </w:rPr>
              <w:t>4</w:t>
            </w:r>
            <w:r w:rsidR="00304EFE">
              <w:rPr>
                <w:noProof/>
                <w:webHidden/>
              </w:rPr>
              <w:fldChar w:fldCharType="end"/>
            </w:r>
          </w:hyperlink>
        </w:p>
        <w:p w14:paraId="6FBC3CB3" w14:textId="77777777" w:rsidR="00241348" w:rsidRDefault="008E6226">
          <w:pPr>
            <w:pStyle w:val="TOC2"/>
            <w:tabs>
              <w:tab w:val="right" w:leader="dot" w:pos="9350"/>
            </w:tabs>
            <w:rPr>
              <w:noProof/>
            </w:rPr>
          </w:pPr>
          <w:hyperlink w:anchor="_Toc101546433" w:history="1">
            <w:r w:rsidR="00241348" w:rsidRPr="00831CF8">
              <w:rPr>
                <w:rStyle w:val="Hyperlink"/>
                <w:noProof/>
              </w:rPr>
              <w:t>Financial crisis 2007-2008</w:t>
            </w:r>
            <w:r w:rsidR="00241348">
              <w:rPr>
                <w:noProof/>
                <w:webHidden/>
              </w:rPr>
              <w:tab/>
            </w:r>
            <w:r w:rsidR="00304EFE">
              <w:rPr>
                <w:noProof/>
                <w:webHidden/>
              </w:rPr>
              <w:fldChar w:fldCharType="begin"/>
            </w:r>
            <w:r w:rsidR="00241348">
              <w:rPr>
                <w:noProof/>
                <w:webHidden/>
              </w:rPr>
              <w:instrText xml:space="preserve"> PAGEREF _Toc101546433 \h </w:instrText>
            </w:r>
            <w:r w:rsidR="00304EFE">
              <w:rPr>
                <w:noProof/>
                <w:webHidden/>
              </w:rPr>
            </w:r>
            <w:r w:rsidR="00304EFE">
              <w:rPr>
                <w:noProof/>
                <w:webHidden/>
              </w:rPr>
              <w:fldChar w:fldCharType="separate"/>
            </w:r>
            <w:r w:rsidR="00241348">
              <w:rPr>
                <w:noProof/>
                <w:webHidden/>
              </w:rPr>
              <w:t>4</w:t>
            </w:r>
            <w:r w:rsidR="00304EFE">
              <w:rPr>
                <w:noProof/>
                <w:webHidden/>
              </w:rPr>
              <w:fldChar w:fldCharType="end"/>
            </w:r>
          </w:hyperlink>
        </w:p>
        <w:p w14:paraId="237192A5" w14:textId="77777777" w:rsidR="00241348" w:rsidRDefault="008E6226">
          <w:pPr>
            <w:pStyle w:val="TOC2"/>
            <w:tabs>
              <w:tab w:val="right" w:leader="dot" w:pos="9350"/>
            </w:tabs>
            <w:rPr>
              <w:noProof/>
            </w:rPr>
          </w:pPr>
          <w:hyperlink w:anchor="_Toc101546434" w:history="1">
            <w:r w:rsidR="00241348" w:rsidRPr="00831CF8">
              <w:rPr>
                <w:rStyle w:val="Hyperlink"/>
                <w:noProof/>
              </w:rPr>
              <w:t>The financial service Act 2012</w:t>
            </w:r>
            <w:r w:rsidR="00241348">
              <w:rPr>
                <w:noProof/>
                <w:webHidden/>
              </w:rPr>
              <w:tab/>
            </w:r>
            <w:r w:rsidR="00304EFE">
              <w:rPr>
                <w:noProof/>
                <w:webHidden/>
              </w:rPr>
              <w:fldChar w:fldCharType="begin"/>
            </w:r>
            <w:r w:rsidR="00241348">
              <w:rPr>
                <w:noProof/>
                <w:webHidden/>
              </w:rPr>
              <w:instrText xml:space="preserve"> PAGEREF _Toc101546434 \h </w:instrText>
            </w:r>
            <w:r w:rsidR="00304EFE">
              <w:rPr>
                <w:noProof/>
                <w:webHidden/>
              </w:rPr>
            </w:r>
            <w:r w:rsidR="00304EFE">
              <w:rPr>
                <w:noProof/>
                <w:webHidden/>
              </w:rPr>
              <w:fldChar w:fldCharType="separate"/>
            </w:r>
            <w:r w:rsidR="00241348">
              <w:rPr>
                <w:noProof/>
                <w:webHidden/>
              </w:rPr>
              <w:t>6</w:t>
            </w:r>
            <w:r w:rsidR="00304EFE">
              <w:rPr>
                <w:noProof/>
                <w:webHidden/>
              </w:rPr>
              <w:fldChar w:fldCharType="end"/>
            </w:r>
          </w:hyperlink>
        </w:p>
        <w:p w14:paraId="571381E8" w14:textId="77777777" w:rsidR="00241348" w:rsidRDefault="008E6226">
          <w:pPr>
            <w:pStyle w:val="TOC2"/>
            <w:tabs>
              <w:tab w:val="right" w:leader="dot" w:pos="9350"/>
            </w:tabs>
            <w:rPr>
              <w:noProof/>
            </w:rPr>
          </w:pPr>
          <w:hyperlink w:anchor="_Toc101546435" w:history="1">
            <w:r w:rsidR="00241348" w:rsidRPr="00831CF8">
              <w:rPr>
                <w:rStyle w:val="Hyperlink"/>
                <w:noProof/>
              </w:rPr>
              <w:t>Critical Review of the contribution of the reforms in stabilising the financial system</w:t>
            </w:r>
            <w:r w:rsidR="00241348">
              <w:rPr>
                <w:noProof/>
                <w:webHidden/>
              </w:rPr>
              <w:tab/>
            </w:r>
            <w:r w:rsidR="00304EFE">
              <w:rPr>
                <w:noProof/>
                <w:webHidden/>
              </w:rPr>
              <w:fldChar w:fldCharType="begin"/>
            </w:r>
            <w:r w:rsidR="00241348">
              <w:rPr>
                <w:noProof/>
                <w:webHidden/>
              </w:rPr>
              <w:instrText xml:space="preserve"> PAGEREF _Toc101546435 \h </w:instrText>
            </w:r>
            <w:r w:rsidR="00304EFE">
              <w:rPr>
                <w:noProof/>
                <w:webHidden/>
              </w:rPr>
            </w:r>
            <w:r w:rsidR="00304EFE">
              <w:rPr>
                <w:noProof/>
                <w:webHidden/>
              </w:rPr>
              <w:fldChar w:fldCharType="separate"/>
            </w:r>
            <w:r w:rsidR="00241348">
              <w:rPr>
                <w:noProof/>
                <w:webHidden/>
              </w:rPr>
              <w:t>9</w:t>
            </w:r>
            <w:r w:rsidR="00304EFE">
              <w:rPr>
                <w:noProof/>
                <w:webHidden/>
              </w:rPr>
              <w:fldChar w:fldCharType="end"/>
            </w:r>
          </w:hyperlink>
        </w:p>
        <w:p w14:paraId="226B8370" w14:textId="77777777" w:rsidR="00241348" w:rsidRDefault="008E6226">
          <w:pPr>
            <w:pStyle w:val="TOC2"/>
            <w:tabs>
              <w:tab w:val="right" w:leader="dot" w:pos="9350"/>
            </w:tabs>
            <w:rPr>
              <w:noProof/>
            </w:rPr>
          </w:pPr>
          <w:hyperlink w:anchor="_Toc101546436" w:history="1">
            <w:r w:rsidR="00241348" w:rsidRPr="00831CF8">
              <w:rPr>
                <w:rStyle w:val="Hyperlink"/>
                <w:noProof/>
              </w:rPr>
              <w:t>The Financial Service Act 2012</w:t>
            </w:r>
            <w:r w:rsidR="00241348">
              <w:rPr>
                <w:noProof/>
                <w:webHidden/>
              </w:rPr>
              <w:tab/>
            </w:r>
            <w:r w:rsidR="00304EFE">
              <w:rPr>
                <w:noProof/>
                <w:webHidden/>
              </w:rPr>
              <w:fldChar w:fldCharType="begin"/>
            </w:r>
            <w:r w:rsidR="00241348">
              <w:rPr>
                <w:noProof/>
                <w:webHidden/>
              </w:rPr>
              <w:instrText xml:space="preserve"> PAGEREF _Toc101546436 \h </w:instrText>
            </w:r>
            <w:r w:rsidR="00304EFE">
              <w:rPr>
                <w:noProof/>
                <w:webHidden/>
              </w:rPr>
            </w:r>
            <w:r w:rsidR="00304EFE">
              <w:rPr>
                <w:noProof/>
                <w:webHidden/>
              </w:rPr>
              <w:fldChar w:fldCharType="separate"/>
            </w:r>
            <w:r w:rsidR="00241348">
              <w:rPr>
                <w:noProof/>
                <w:webHidden/>
              </w:rPr>
              <w:t>9</w:t>
            </w:r>
            <w:r w:rsidR="00304EFE">
              <w:rPr>
                <w:noProof/>
                <w:webHidden/>
              </w:rPr>
              <w:fldChar w:fldCharType="end"/>
            </w:r>
          </w:hyperlink>
        </w:p>
        <w:p w14:paraId="119E3795" w14:textId="77777777" w:rsidR="00241348" w:rsidRDefault="008E6226">
          <w:pPr>
            <w:pStyle w:val="TOC2"/>
            <w:tabs>
              <w:tab w:val="right" w:leader="dot" w:pos="9350"/>
            </w:tabs>
            <w:rPr>
              <w:noProof/>
            </w:rPr>
          </w:pPr>
          <w:hyperlink w:anchor="_Toc101546437" w:history="1">
            <w:r w:rsidR="00241348" w:rsidRPr="00831CF8">
              <w:rPr>
                <w:rStyle w:val="Hyperlink"/>
                <w:noProof/>
              </w:rPr>
              <w:t>The effective utilisation of capital and other relative assets</w:t>
            </w:r>
            <w:r w:rsidR="00241348">
              <w:rPr>
                <w:noProof/>
                <w:webHidden/>
              </w:rPr>
              <w:tab/>
            </w:r>
            <w:r w:rsidR="00304EFE">
              <w:rPr>
                <w:noProof/>
                <w:webHidden/>
              </w:rPr>
              <w:fldChar w:fldCharType="begin"/>
            </w:r>
            <w:r w:rsidR="00241348">
              <w:rPr>
                <w:noProof/>
                <w:webHidden/>
              </w:rPr>
              <w:instrText xml:space="preserve"> PAGEREF _Toc101546437 \h </w:instrText>
            </w:r>
            <w:r w:rsidR="00304EFE">
              <w:rPr>
                <w:noProof/>
                <w:webHidden/>
              </w:rPr>
            </w:r>
            <w:r w:rsidR="00304EFE">
              <w:rPr>
                <w:noProof/>
                <w:webHidden/>
              </w:rPr>
              <w:fldChar w:fldCharType="separate"/>
            </w:r>
            <w:r w:rsidR="00241348">
              <w:rPr>
                <w:noProof/>
                <w:webHidden/>
              </w:rPr>
              <w:t>10</w:t>
            </w:r>
            <w:r w:rsidR="00304EFE">
              <w:rPr>
                <w:noProof/>
                <w:webHidden/>
              </w:rPr>
              <w:fldChar w:fldCharType="end"/>
            </w:r>
          </w:hyperlink>
        </w:p>
        <w:p w14:paraId="7DC70513" w14:textId="77777777" w:rsidR="00241348" w:rsidRDefault="008E6226">
          <w:pPr>
            <w:pStyle w:val="TOC2"/>
            <w:tabs>
              <w:tab w:val="right" w:leader="dot" w:pos="9350"/>
            </w:tabs>
            <w:rPr>
              <w:noProof/>
            </w:rPr>
          </w:pPr>
          <w:hyperlink w:anchor="_Toc101546438" w:history="1">
            <w:r w:rsidR="00241348" w:rsidRPr="00831CF8">
              <w:rPr>
                <w:rStyle w:val="Hyperlink"/>
                <w:noProof/>
              </w:rPr>
              <w:t>The relative assessment of the security of the financial services</w:t>
            </w:r>
            <w:r w:rsidR="00241348">
              <w:rPr>
                <w:noProof/>
                <w:webHidden/>
              </w:rPr>
              <w:tab/>
            </w:r>
            <w:r w:rsidR="00304EFE">
              <w:rPr>
                <w:noProof/>
                <w:webHidden/>
              </w:rPr>
              <w:fldChar w:fldCharType="begin"/>
            </w:r>
            <w:r w:rsidR="00241348">
              <w:rPr>
                <w:noProof/>
                <w:webHidden/>
              </w:rPr>
              <w:instrText xml:space="preserve"> PAGEREF _Toc101546438 \h </w:instrText>
            </w:r>
            <w:r w:rsidR="00304EFE">
              <w:rPr>
                <w:noProof/>
                <w:webHidden/>
              </w:rPr>
            </w:r>
            <w:r w:rsidR="00304EFE">
              <w:rPr>
                <w:noProof/>
                <w:webHidden/>
              </w:rPr>
              <w:fldChar w:fldCharType="separate"/>
            </w:r>
            <w:r w:rsidR="00241348">
              <w:rPr>
                <w:noProof/>
                <w:webHidden/>
              </w:rPr>
              <w:t>11</w:t>
            </w:r>
            <w:r w:rsidR="00304EFE">
              <w:rPr>
                <w:noProof/>
                <w:webHidden/>
              </w:rPr>
              <w:fldChar w:fldCharType="end"/>
            </w:r>
          </w:hyperlink>
        </w:p>
        <w:p w14:paraId="571AA1B6" w14:textId="77777777" w:rsidR="00241348" w:rsidRDefault="008E6226">
          <w:pPr>
            <w:pStyle w:val="TOC2"/>
            <w:tabs>
              <w:tab w:val="right" w:leader="dot" w:pos="9350"/>
            </w:tabs>
            <w:rPr>
              <w:noProof/>
            </w:rPr>
          </w:pPr>
          <w:hyperlink w:anchor="_Toc101546439" w:history="1">
            <w:r w:rsidR="00241348" w:rsidRPr="00831CF8">
              <w:rPr>
                <w:rStyle w:val="Hyperlink"/>
                <w:noProof/>
              </w:rPr>
              <w:t>Impact of Reforms on Barclays Bank</w:t>
            </w:r>
            <w:r w:rsidR="00241348">
              <w:rPr>
                <w:noProof/>
                <w:webHidden/>
              </w:rPr>
              <w:tab/>
            </w:r>
            <w:r w:rsidR="00304EFE">
              <w:rPr>
                <w:noProof/>
                <w:webHidden/>
              </w:rPr>
              <w:fldChar w:fldCharType="begin"/>
            </w:r>
            <w:r w:rsidR="00241348">
              <w:rPr>
                <w:noProof/>
                <w:webHidden/>
              </w:rPr>
              <w:instrText xml:space="preserve"> PAGEREF _Toc101546439 \h </w:instrText>
            </w:r>
            <w:r w:rsidR="00304EFE">
              <w:rPr>
                <w:noProof/>
                <w:webHidden/>
              </w:rPr>
            </w:r>
            <w:r w:rsidR="00304EFE">
              <w:rPr>
                <w:noProof/>
                <w:webHidden/>
              </w:rPr>
              <w:fldChar w:fldCharType="separate"/>
            </w:r>
            <w:r w:rsidR="00241348">
              <w:rPr>
                <w:noProof/>
                <w:webHidden/>
              </w:rPr>
              <w:t>14</w:t>
            </w:r>
            <w:r w:rsidR="00304EFE">
              <w:rPr>
                <w:noProof/>
                <w:webHidden/>
              </w:rPr>
              <w:fldChar w:fldCharType="end"/>
            </w:r>
          </w:hyperlink>
        </w:p>
        <w:p w14:paraId="33BAAE0A" w14:textId="77777777" w:rsidR="00241348" w:rsidRDefault="008E6226">
          <w:pPr>
            <w:pStyle w:val="TOC2"/>
            <w:tabs>
              <w:tab w:val="right" w:leader="dot" w:pos="9350"/>
            </w:tabs>
            <w:rPr>
              <w:noProof/>
            </w:rPr>
          </w:pPr>
          <w:hyperlink w:anchor="_Toc101546440" w:history="1">
            <w:r w:rsidR="00241348" w:rsidRPr="00831CF8">
              <w:rPr>
                <w:rStyle w:val="Hyperlink"/>
                <w:noProof/>
              </w:rPr>
              <w:t>Overview of the Barclays Bank</w:t>
            </w:r>
            <w:r w:rsidR="00241348">
              <w:rPr>
                <w:noProof/>
                <w:webHidden/>
              </w:rPr>
              <w:tab/>
            </w:r>
            <w:r w:rsidR="00304EFE">
              <w:rPr>
                <w:noProof/>
                <w:webHidden/>
              </w:rPr>
              <w:fldChar w:fldCharType="begin"/>
            </w:r>
            <w:r w:rsidR="00241348">
              <w:rPr>
                <w:noProof/>
                <w:webHidden/>
              </w:rPr>
              <w:instrText xml:space="preserve"> PAGEREF _Toc101546440 \h </w:instrText>
            </w:r>
            <w:r w:rsidR="00304EFE">
              <w:rPr>
                <w:noProof/>
                <w:webHidden/>
              </w:rPr>
            </w:r>
            <w:r w:rsidR="00304EFE">
              <w:rPr>
                <w:noProof/>
                <w:webHidden/>
              </w:rPr>
              <w:fldChar w:fldCharType="separate"/>
            </w:r>
            <w:r w:rsidR="00241348">
              <w:rPr>
                <w:noProof/>
                <w:webHidden/>
              </w:rPr>
              <w:t>14</w:t>
            </w:r>
            <w:r w:rsidR="00304EFE">
              <w:rPr>
                <w:noProof/>
                <w:webHidden/>
              </w:rPr>
              <w:fldChar w:fldCharType="end"/>
            </w:r>
          </w:hyperlink>
        </w:p>
        <w:p w14:paraId="1BB39731" w14:textId="77777777" w:rsidR="00241348" w:rsidRDefault="008E6226">
          <w:pPr>
            <w:pStyle w:val="TOC2"/>
            <w:tabs>
              <w:tab w:val="right" w:leader="dot" w:pos="9350"/>
            </w:tabs>
            <w:rPr>
              <w:noProof/>
            </w:rPr>
          </w:pPr>
          <w:hyperlink w:anchor="_Toc101546441" w:history="1">
            <w:r w:rsidR="00241348" w:rsidRPr="00831CF8">
              <w:rPr>
                <w:rStyle w:val="Hyperlink"/>
                <w:noProof/>
              </w:rPr>
              <w:t>Impact of reform on company’s business model</w:t>
            </w:r>
            <w:r w:rsidR="00241348">
              <w:rPr>
                <w:noProof/>
                <w:webHidden/>
              </w:rPr>
              <w:tab/>
            </w:r>
            <w:r w:rsidR="00304EFE">
              <w:rPr>
                <w:noProof/>
                <w:webHidden/>
              </w:rPr>
              <w:fldChar w:fldCharType="begin"/>
            </w:r>
            <w:r w:rsidR="00241348">
              <w:rPr>
                <w:noProof/>
                <w:webHidden/>
              </w:rPr>
              <w:instrText xml:space="preserve"> PAGEREF _Toc101546441 \h </w:instrText>
            </w:r>
            <w:r w:rsidR="00304EFE">
              <w:rPr>
                <w:noProof/>
                <w:webHidden/>
              </w:rPr>
            </w:r>
            <w:r w:rsidR="00304EFE">
              <w:rPr>
                <w:noProof/>
                <w:webHidden/>
              </w:rPr>
              <w:fldChar w:fldCharType="separate"/>
            </w:r>
            <w:r w:rsidR="00241348">
              <w:rPr>
                <w:noProof/>
                <w:webHidden/>
              </w:rPr>
              <w:t>15</w:t>
            </w:r>
            <w:r w:rsidR="00304EFE">
              <w:rPr>
                <w:noProof/>
                <w:webHidden/>
              </w:rPr>
              <w:fldChar w:fldCharType="end"/>
            </w:r>
          </w:hyperlink>
        </w:p>
        <w:p w14:paraId="53BBF94F" w14:textId="77777777" w:rsidR="00241348" w:rsidRDefault="008E6226">
          <w:pPr>
            <w:pStyle w:val="TOC2"/>
            <w:tabs>
              <w:tab w:val="right" w:leader="dot" w:pos="9350"/>
            </w:tabs>
            <w:rPr>
              <w:noProof/>
            </w:rPr>
          </w:pPr>
          <w:hyperlink w:anchor="_Toc101546442" w:history="1">
            <w:r w:rsidR="00241348" w:rsidRPr="00831CF8">
              <w:rPr>
                <w:rStyle w:val="Hyperlink"/>
                <w:noProof/>
              </w:rPr>
              <w:t>Level of compliance/non-compliance</w:t>
            </w:r>
            <w:r w:rsidR="00241348">
              <w:rPr>
                <w:noProof/>
                <w:webHidden/>
              </w:rPr>
              <w:tab/>
            </w:r>
            <w:r w:rsidR="00304EFE">
              <w:rPr>
                <w:noProof/>
                <w:webHidden/>
              </w:rPr>
              <w:fldChar w:fldCharType="begin"/>
            </w:r>
            <w:r w:rsidR="00241348">
              <w:rPr>
                <w:noProof/>
                <w:webHidden/>
              </w:rPr>
              <w:instrText xml:space="preserve"> PAGEREF _Toc101546442 \h </w:instrText>
            </w:r>
            <w:r w:rsidR="00304EFE">
              <w:rPr>
                <w:noProof/>
                <w:webHidden/>
              </w:rPr>
            </w:r>
            <w:r w:rsidR="00304EFE">
              <w:rPr>
                <w:noProof/>
                <w:webHidden/>
              </w:rPr>
              <w:fldChar w:fldCharType="separate"/>
            </w:r>
            <w:r w:rsidR="00241348">
              <w:rPr>
                <w:noProof/>
                <w:webHidden/>
              </w:rPr>
              <w:t>15</w:t>
            </w:r>
            <w:r w:rsidR="00304EFE">
              <w:rPr>
                <w:noProof/>
                <w:webHidden/>
              </w:rPr>
              <w:fldChar w:fldCharType="end"/>
            </w:r>
          </w:hyperlink>
        </w:p>
        <w:p w14:paraId="6D58229D" w14:textId="77777777" w:rsidR="00241348" w:rsidRDefault="008E6226">
          <w:pPr>
            <w:pStyle w:val="TOC1"/>
            <w:tabs>
              <w:tab w:val="right" w:leader="dot" w:pos="9350"/>
            </w:tabs>
            <w:rPr>
              <w:noProof/>
            </w:rPr>
          </w:pPr>
          <w:hyperlink w:anchor="_Toc101546443" w:history="1">
            <w:r w:rsidR="00241348" w:rsidRPr="00831CF8">
              <w:rPr>
                <w:rStyle w:val="Hyperlink"/>
                <w:noProof/>
              </w:rPr>
              <w:t>Conclusion</w:t>
            </w:r>
            <w:r w:rsidR="00241348">
              <w:rPr>
                <w:noProof/>
                <w:webHidden/>
              </w:rPr>
              <w:tab/>
            </w:r>
            <w:r w:rsidR="00304EFE">
              <w:rPr>
                <w:noProof/>
                <w:webHidden/>
              </w:rPr>
              <w:fldChar w:fldCharType="begin"/>
            </w:r>
            <w:r w:rsidR="00241348">
              <w:rPr>
                <w:noProof/>
                <w:webHidden/>
              </w:rPr>
              <w:instrText xml:space="preserve"> PAGEREF _Toc101546443 \h </w:instrText>
            </w:r>
            <w:r w:rsidR="00304EFE">
              <w:rPr>
                <w:noProof/>
                <w:webHidden/>
              </w:rPr>
            </w:r>
            <w:r w:rsidR="00304EFE">
              <w:rPr>
                <w:noProof/>
                <w:webHidden/>
              </w:rPr>
              <w:fldChar w:fldCharType="separate"/>
            </w:r>
            <w:r w:rsidR="00241348">
              <w:rPr>
                <w:noProof/>
                <w:webHidden/>
              </w:rPr>
              <w:t>17</w:t>
            </w:r>
            <w:r w:rsidR="00304EFE">
              <w:rPr>
                <w:noProof/>
                <w:webHidden/>
              </w:rPr>
              <w:fldChar w:fldCharType="end"/>
            </w:r>
          </w:hyperlink>
        </w:p>
        <w:p w14:paraId="6934D5D9" w14:textId="77777777" w:rsidR="00241348" w:rsidRDefault="008E6226">
          <w:pPr>
            <w:pStyle w:val="TOC1"/>
            <w:tabs>
              <w:tab w:val="right" w:leader="dot" w:pos="9350"/>
            </w:tabs>
            <w:rPr>
              <w:noProof/>
            </w:rPr>
          </w:pPr>
          <w:hyperlink w:anchor="_Toc101546444" w:history="1">
            <w:r w:rsidR="00241348" w:rsidRPr="00831CF8">
              <w:rPr>
                <w:rStyle w:val="Hyperlink"/>
                <w:noProof/>
              </w:rPr>
              <w:t>References</w:t>
            </w:r>
            <w:r w:rsidR="00241348">
              <w:rPr>
                <w:noProof/>
                <w:webHidden/>
              </w:rPr>
              <w:tab/>
            </w:r>
            <w:r w:rsidR="00304EFE">
              <w:rPr>
                <w:noProof/>
                <w:webHidden/>
              </w:rPr>
              <w:fldChar w:fldCharType="begin"/>
            </w:r>
            <w:r w:rsidR="00241348">
              <w:rPr>
                <w:noProof/>
                <w:webHidden/>
              </w:rPr>
              <w:instrText xml:space="preserve"> PAGEREF _Toc101546444 \h </w:instrText>
            </w:r>
            <w:r w:rsidR="00304EFE">
              <w:rPr>
                <w:noProof/>
                <w:webHidden/>
              </w:rPr>
            </w:r>
            <w:r w:rsidR="00304EFE">
              <w:rPr>
                <w:noProof/>
                <w:webHidden/>
              </w:rPr>
              <w:fldChar w:fldCharType="separate"/>
            </w:r>
            <w:r w:rsidR="00241348">
              <w:rPr>
                <w:noProof/>
                <w:webHidden/>
              </w:rPr>
              <w:t>18</w:t>
            </w:r>
            <w:r w:rsidR="00304EFE">
              <w:rPr>
                <w:noProof/>
                <w:webHidden/>
              </w:rPr>
              <w:fldChar w:fldCharType="end"/>
            </w:r>
          </w:hyperlink>
        </w:p>
        <w:p w14:paraId="2AFCC691" w14:textId="77777777" w:rsidR="00241348" w:rsidRDefault="00304EFE">
          <w:r>
            <w:fldChar w:fldCharType="end"/>
          </w:r>
        </w:p>
      </w:sdtContent>
    </w:sdt>
    <w:p w14:paraId="3E5A6F42" w14:textId="77777777" w:rsidR="00F9133C" w:rsidRDefault="004339E0">
      <w:pPr>
        <w:pStyle w:val="Normal1"/>
      </w:pPr>
      <w:r>
        <w:br w:type="page"/>
      </w:r>
    </w:p>
    <w:p w14:paraId="2E6B14DD" w14:textId="77777777" w:rsidR="00F9133C" w:rsidRDefault="004339E0">
      <w:pPr>
        <w:pStyle w:val="Heading1"/>
      </w:pPr>
      <w:bookmarkStart w:id="0" w:name="_c5iy69ml54y3" w:colFirst="0" w:colLast="0"/>
      <w:bookmarkStart w:id="1" w:name="_Toc101546431"/>
      <w:bookmarkEnd w:id="0"/>
      <w:r>
        <w:lastRenderedPageBreak/>
        <w:t>Introduction</w:t>
      </w:r>
      <w:bookmarkEnd w:id="1"/>
    </w:p>
    <w:p w14:paraId="5D0C2C9D" w14:textId="77777777" w:rsidR="00F9133C" w:rsidRDefault="004339E0">
      <w:pPr>
        <w:pStyle w:val="Normal1"/>
      </w:pPr>
      <w:r>
        <w:t>Financial crisis of 2008 has significantly affected the overall operations of the companies and business entities operating within the globe. The effective analysis of the overall operations of the business and understanding of the relative operations of the business entities effectively reflected that the financial crisis has severely impacted the operations of the banking and financial services of the business (Schoen, 2017). The report will provide a relative understanding of the overall operations of the business and effectively enumerates the operational measures that are taken in order to strengthen the global financial position. The report will also provide an effective understanding of the differential reforms that are to be effectively considered by the governments of the UK, US and EU to effectively curb the damage caused by the financial  crisis of 2008. The report will also provide effective discussion on the measures that effectively helped in controlling the relative impact of the financial crisis. The report will also point out the critical point of contribution that the reforms have contributed towards stabilising the overall banking and financial services. Along with this the report also provides effective understanding of the impact of reforms in Barclays Bank and how the bank is following such reforms.</w:t>
      </w:r>
    </w:p>
    <w:p w14:paraId="37186411" w14:textId="77777777" w:rsidR="00F9133C" w:rsidRDefault="004339E0">
      <w:pPr>
        <w:pStyle w:val="Normal1"/>
      </w:pPr>
      <w:r>
        <w:br w:type="page"/>
      </w:r>
    </w:p>
    <w:p w14:paraId="3DC3C2A2" w14:textId="77777777" w:rsidR="00F9133C" w:rsidRDefault="004339E0">
      <w:pPr>
        <w:pStyle w:val="Heading1"/>
      </w:pPr>
      <w:bookmarkStart w:id="2" w:name="_t0tbmj2q8hll" w:colFirst="0" w:colLast="0"/>
      <w:bookmarkStart w:id="3" w:name="_Toc101546432"/>
      <w:bookmarkEnd w:id="2"/>
      <w:r>
        <w:lastRenderedPageBreak/>
        <w:t>Identification of the important law, regulations and contracts that are enforced post 2008 financial crisis by the government of the UK, US or EU</w:t>
      </w:r>
      <w:bookmarkEnd w:id="3"/>
    </w:p>
    <w:p w14:paraId="1A0E8E41" w14:textId="77777777" w:rsidR="00F9133C" w:rsidRDefault="004339E0">
      <w:pPr>
        <w:pStyle w:val="Heading2"/>
      </w:pPr>
      <w:bookmarkStart w:id="4" w:name="_qu5uwlydnr7" w:colFirst="0" w:colLast="0"/>
      <w:bookmarkStart w:id="5" w:name="_Toc101546433"/>
      <w:bookmarkEnd w:id="4"/>
      <w:r>
        <w:t>Financial crisis 2007-2008</w:t>
      </w:r>
      <w:bookmarkEnd w:id="5"/>
    </w:p>
    <w:p w14:paraId="3B741F71" w14:textId="77777777" w:rsidR="00F9133C" w:rsidRDefault="004339E0">
      <w:pPr>
        <w:pStyle w:val="Normal1"/>
      </w:pPr>
      <w:r>
        <w:t xml:space="preserve">The financial crisis of 2007- 2008 is also effectively regarded as a global financial crisis, and is effectively considered as one of the major global economic dropdowns that relatively affected global economies all over the world. The financial crisis of 2008 is one of the greatest economic downfalls the world has seen after the relative period of great depression. The effective analysis of the overall scenario has also reflected that there are several individual factors that relatively caused the economic crisis of 2008. The banking and other relative financial institutions are effectively considered as the major parties that relatively magnified the impact of the financial crisis of 2008. The primary cause of the 2008 financial crisis is higher unsecured credit and effective placement of differential risky credits without the relative presence of any collateral. The effective analysis of the US market can also be reflected that they are the major parties that provided MBS or mortgage loans to the relative number of consumers without securing the significant number of collaterals. Such relative factors directly affected the economy by creating a relative bubble in the housing estates and cumulatively building the pressure of economic downfall. The relative housing bubble also included MBS derivatives that are also purchased and sold with a relatively high margin creating a significant loop that further caused the relative development of the financial breakdown (Beltran </w:t>
      </w:r>
      <w:r>
        <w:rPr>
          <w:i/>
        </w:rPr>
        <w:t>et al</w:t>
      </w:r>
      <w:r>
        <w:t>., 2021).</w:t>
      </w:r>
    </w:p>
    <w:p w14:paraId="70E704FE" w14:textId="77777777" w:rsidR="00F9133C" w:rsidRDefault="004339E0">
      <w:pPr>
        <w:pStyle w:val="Normal1"/>
      </w:pPr>
      <w:r>
        <w:t xml:space="preserve">The financial crisis and its point of starting cannot be considered or apprehended effectively however the relative fundamental issues that caused the global economic crisis can be reflected. In the relative scenario of the building of financial crisis it can also be effectively apprehended that the crisis started once the US have started to show relative signs of mismanagement of funds and other relative sources of funding. In the perpetual understanding of several individual factors the starting of the crisis effectively caused a domino effect in the relative parts of the world. This was because the individual government of the US takes a relative number of trading activities with major companies and economies across the globe. Due to the relative operational incapability and decline of the relative power of the government to control the relative business scenario it can be stated that all the relative administrations all over the world were affected significantly. The relative global financial crisis effectively created a loop of financial debt all </w:t>
      </w:r>
      <w:r>
        <w:lastRenderedPageBreak/>
        <w:t xml:space="preserve">over the world and major business entities and other relative companies operating in the financial sector are required to be effectively bailed out of the relative situation. In the progressive development of the financial crisis the GDP of the US has dropped down by 73% causing a relative damage of 10.5 trillion us dollars. Such a big gap in the overall structure of the US economy significantly impacted the relative operations of other major corresponding economies. Due to the lowering of the relative GDP and other income in the factorial part of the world incomes and overall expenditure of the individual have been  affected significantly (Gangopadhyay </w:t>
      </w:r>
      <w:r>
        <w:rPr>
          <w:i/>
        </w:rPr>
        <w:t>et al</w:t>
      </w:r>
      <w:r>
        <w:t xml:space="preserve">., 2019). </w:t>
      </w:r>
    </w:p>
    <w:p w14:paraId="69B78765" w14:textId="77777777" w:rsidR="00F9133C" w:rsidRDefault="004339E0">
      <w:pPr>
        <w:pStyle w:val="Normal1"/>
      </w:pPr>
      <w:r>
        <w:t>The EU trade report of 2011 suggested that the US is considered as one of the major importer and technological exporter and with the relative crisis happening all over the world the number of services provided and retained has been relatively affected. There are several individual parts of the business that significantly help in growing the effect as several individual businesses have failed their operations, financial and banking services were lagging behind with the debt of 11 trillion dollars. However, as the economy has seen a free fall the overall operations of the company or the business entity have been shut, the overall impact can be effectively minimised by the federal reserves of the US economy. The Federal reserve is also seen as the last resort of the business and other relative financial institutions operating in the soil of the US. The EU and the UK is also affected by such decline as the majority of the UK and EU trades happen with the effective incorporation of several differential economies and 45% of them are done with the US.</w:t>
      </w:r>
    </w:p>
    <w:p w14:paraId="40D22919" w14:textId="77777777" w:rsidR="00F9133C" w:rsidRDefault="004339E0">
      <w:pPr>
        <w:pStyle w:val="Normal1"/>
      </w:pPr>
      <w:r>
        <w:t xml:space="preserve">Reforms and regulation in the post financial crisis imposed by the UK, US or EU to curb the damage (Cecchetti and Schoenholtz, 2017). </w:t>
      </w:r>
    </w:p>
    <w:p w14:paraId="597F8424" w14:textId="77777777" w:rsidR="00F9133C" w:rsidRDefault="004339E0">
      <w:pPr>
        <w:pStyle w:val="Normal1"/>
      </w:pPr>
      <w:r>
        <w:t xml:space="preserve">Due to the relative financial crisis of 2008, several major economies all over the world have taken a major hit and all the relative activities of the business are not performing effectively. In the relative response to minimise the relative impact and curb the economic crisis the administration of the United Kingdom, United States and the relative countries in the European Union have imposed several individual reforms and regulations (Jensen </w:t>
      </w:r>
      <w:r>
        <w:rPr>
          <w:i/>
        </w:rPr>
        <w:t>et al</w:t>
      </w:r>
      <w:r>
        <w:t>., 2017).</w:t>
      </w:r>
    </w:p>
    <w:p w14:paraId="0BFD2DAD" w14:textId="77777777" w:rsidR="00F9133C" w:rsidRDefault="004339E0">
      <w:pPr>
        <w:pStyle w:val="Normal1"/>
      </w:pPr>
      <w:r>
        <w:t xml:space="preserve">The relative assessment of the several differential structures of the business operating in the region have effectively reflected that there are several differential structures of the business that relatively affect the overall operations of the company much more effectively. Some of the regulatory measures that are carried out in the eventual ceremonial manner does effectively reflect that differential aspects of the crisis are effectively managed. The primary focus of the </w:t>
      </w:r>
      <w:r>
        <w:lastRenderedPageBreak/>
        <w:t>government of the UK is to stabilise the functions of the banking and financial institutions as they are effectively considered as the backbone of the economy (</w:t>
      </w:r>
      <w:r>
        <w:rPr>
          <w:highlight w:val="white"/>
        </w:rPr>
        <w:t>Scholarship.law.unc.edu, 2022</w:t>
      </w:r>
      <w:r>
        <w:t>). And with the relative development of the business and attainment of differential services it can be effectively commemorated that individual assessment of several differential norms are very much essential to curb the impact of financial crisis. The regulations that are brought forward post financial crisis are-</w:t>
      </w:r>
    </w:p>
    <w:p w14:paraId="0ACDFC19" w14:textId="77777777" w:rsidR="00F9133C" w:rsidRDefault="004339E0">
      <w:pPr>
        <w:pStyle w:val="Heading2"/>
      </w:pPr>
      <w:bookmarkStart w:id="6" w:name="_kv9z3wj7ta0h" w:colFirst="0" w:colLast="0"/>
      <w:bookmarkStart w:id="7" w:name="_Toc101546434"/>
      <w:bookmarkEnd w:id="6"/>
      <w:r>
        <w:t>The financial service Act 2012</w:t>
      </w:r>
      <w:bookmarkEnd w:id="7"/>
    </w:p>
    <w:p w14:paraId="1B4D120B" w14:textId="77777777" w:rsidR="00F9133C" w:rsidRDefault="004339E0">
      <w:pPr>
        <w:pStyle w:val="Normal1"/>
      </w:pPr>
      <w:r>
        <w:t>The relative act was brought by the UK government in the year 2013, due to the relative incorporation of this act into the operational structure of the economy the differential aspects of financial operations are effectively managed. The inclusion of the financial service Act 2012 requires creation of a dedicated FSA or Fiscal service authority within the operational framework of the country.  Along with this the PRA and FCA or prudential regulation authority and financial conduct authority are also constructed to aggressively look for any kind of anomaly within the economy and other relative economies all over the world. With the relative incorporation of such regulatory committees, it has been a critical aspect to have a minimum equity capital of 730k euros to form an investment firm (</w:t>
      </w:r>
      <w:r>
        <w:rPr>
          <w:highlight w:val="white"/>
        </w:rPr>
        <w:t>parliament.uk, 2022</w:t>
      </w:r>
      <w:r>
        <w:t>). The regulatory authority has considered utilisation of such financial regulatory authorities in order to replace the regulatory framework of “Twin Peaks”.  The “Twin Peaks'' regulations effectively focused upon the development of the business and the relative market in the modern financial aspect. However, the present natural gap and fiscal deficiencies within the operational structure of the economy is not taken into consideration.</w:t>
      </w:r>
    </w:p>
    <w:p w14:paraId="76B9E3FE" w14:textId="77777777" w:rsidR="00F9133C" w:rsidRDefault="004339E0">
      <w:pPr>
        <w:pStyle w:val="Normal1"/>
        <w:rPr>
          <w:b/>
        </w:rPr>
      </w:pPr>
      <w:r>
        <w:rPr>
          <w:b/>
        </w:rPr>
        <w:t>The CRD IV</w:t>
      </w:r>
    </w:p>
    <w:p w14:paraId="546C89B9" w14:textId="77777777" w:rsidR="00F9133C" w:rsidRDefault="004339E0">
      <w:pPr>
        <w:pStyle w:val="Normal1"/>
      </w:pPr>
      <w:r>
        <w:t xml:space="preserve">The CRD IV Is relatively concerned with regulating the capital requirements for a company to effectively start its business. In the relative period financial crisis it has been noted that majority of the companies and business operating in the financial sector are not disclosing the equity structure and are havig large liquid credit holding. This type of operational structure is effectively utilised by 43% of the global banks to enhance their profitability. The incorporation of CRD IV within the EU countries further helps in reconfiguring the overall fiscal laws, regulation and supervisory measures much more effectively. CRD IV regulation also helps in </w:t>
      </w:r>
      <w:r>
        <w:lastRenderedPageBreak/>
        <w:t>effectively managing the financial operations of the companies and organisations operating within the relative EU countries and govern them much more effectively ().</w:t>
      </w:r>
    </w:p>
    <w:p w14:paraId="62EC612F" w14:textId="77777777" w:rsidR="00F9133C" w:rsidRDefault="004339E0">
      <w:pPr>
        <w:pStyle w:val="Normal1"/>
        <w:rPr>
          <w:b/>
        </w:rPr>
      </w:pPr>
      <w:r>
        <w:rPr>
          <w:b/>
        </w:rPr>
        <w:t>CRR</w:t>
      </w:r>
    </w:p>
    <w:p w14:paraId="21594641" w14:textId="77777777" w:rsidR="00F9133C" w:rsidRDefault="004339E0">
      <w:pPr>
        <w:pStyle w:val="Normal1"/>
      </w:pPr>
      <w:r>
        <w:t xml:space="preserve">The capital requirements regulation are effectively imposed by the EU and other relative economies to further stabilise the financial operations of the countries operating within the county and help in developing the economy. This law or reform further helps in effectively managing the overall operations of the companies operating within the region and secure the financial stability of the business. </w:t>
      </w:r>
    </w:p>
    <w:p w14:paraId="78E900F4" w14:textId="77777777" w:rsidR="00F9133C" w:rsidRDefault="004339E0">
      <w:pPr>
        <w:pStyle w:val="Normal1"/>
        <w:rPr>
          <w:b/>
        </w:rPr>
      </w:pPr>
      <w:r>
        <w:rPr>
          <w:b/>
        </w:rPr>
        <w:t>The AIFMD</w:t>
      </w:r>
    </w:p>
    <w:p w14:paraId="1DD68C93" w14:textId="77777777" w:rsidR="00F9133C" w:rsidRDefault="004339E0">
      <w:pPr>
        <w:pStyle w:val="Normal1"/>
      </w:pPr>
      <w:r>
        <w:t>The alternative investment fund managers directive of AIFMD was introduced in the year 2013 to effectively manage the relative short selling activities happening in the commodities segment of the UK. The relative short selling propagation hinders the effective development of the business operating in the region and assimilates differential propositions for the business. There are differential norms within the operation of the business and it directly hinders the proposition of the business and its financial activities much more effectively (Allayannis, 2017).</w:t>
      </w:r>
    </w:p>
    <w:p w14:paraId="4ADBA7A9" w14:textId="77777777" w:rsidR="00F9133C" w:rsidRDefault="004339E0">
      <w:pPr>
        <w:pStyle w:val="Normal1"/>
        <w:rPr>
          <w:b/>
        </w:rPr>
      </w:pPr>
      <w:r>
        <w:rPr>
          <w:b/>
        </w:rPr>
        <w:t>Bank resolution regime</w:t>
      </w:r>
    </w:p>
    <w:p w14:paraId="67BBEA70" w14:textId="77777777" w:rsidR="00F9133C" w:rsidRDefault="004339E0">
      <w:pPr>
        <w:pStyle w:val="Normal1"/>
      </w:pPr>
      <w:r>
        <w:t xml:space="preserve">The analysis of the overall operations of the financial and banking services it can be effectively analysed that several individual companies operating in the financial sector of the economy have failed their operation due to the financial crisis. In the relative accordance to ensure the shareholders the relative security of their money and propel the overall growth of the business the relative Bail in process of the shareholders are effectively introduced by the bank of England. In the year 2013 the banks operating within the UK have reported that they issue a significant number of debt reallocation bonds and commodities under this reform to further stabilise the operations of the companies. </w:t>
      </w:r>
    </w:p>
    <w:p w14:paraId="2F1DC80B" w14:textId="77777777" w:rsidR="00F9133C" w:rsidRDefault="004339E0">
      <w:pPr>
        <w:pStyle w:val="Normal1"/>
        <w:rPr>
          <w:b/>
        </w:rPr>
      </w:pPr>
      <w:r>
        <w:rPr>
          <w:b/>
        </w:rPr>
        <w:t>The banking reform 2013</w:t>
      </w:r>
    </w:p>
    <w:p w14:paraId="2490236B" w14:textId="77777777" w:rsidR="00F9133C" w:rsidRDefault="004339E0">
      <w:pPr>
        <w:pStyle w:val="Normal1"/>
      </w:pPr>
      <w:r>
        <w:t xml:space="preserve">The effective analysis of the regulation and operations of several individual companies operating within the UK can be effectively assessed that various individual activities have effectively downgraded. And with the relative apprehension of the impact of the crisis and the relative reason it can be effectively enumerated that all the relative propositions of the business are significantly impacted by the operations of the commercial business. The overall functions of the banking are very much subjective and therefore the reform requires the banking and financial </w:t>
      </w:r>
      <w:r>
        <w:lastRenderedPageBreak/>
        <w:t>institutions to relatively separate the overall functions of retail banking from the operations of investment banking. By doing this the reform allows individual business entities operating in the fiscal sector to provide resolutions separately and ensure the relative services are delivered eloquently.</w:t>
      </w:r>
    </w:p>
    <w:p w14:paraId="48AB760B" w14:textId="77777777" w:rsidR="00F9133C" w:rsidRDefault="00F9133C">
      <w:pPr>
        <w:pStyle w:val="Normal1"/>
      </w:pPr>
    </w:p>
    <w:p w14:paraId="74DC6A58" w14:textId="77777777" w:rsidR="00F9133C" w:rsidRDefault="00F9133C">
      <w:pPr>
        <w:pStyle w:val="Normal1"/>
      </w:pPr>
    </w:p>
    <w:p w14:paraId="46E8B6D1" w14:textId="77777777" w:rsidR="00F9133C" w:rsidRDefault="004339E0">
      <w:pPr>
        <w:pStyle w:val="Normal1"/>
      </w:pPr>
      <w:r>
        <w:br w:type="page"/>
      </w:r>
    </w:p>
    <w:p w14:paraId="68BA4BB6" w14:textId="77777777" w:rsidR="00F9133C" w:rsidRDefault="004339E0">
      <w:pPr>
        <w:pStyle w:val="Heading2"/>
      </w:pPr>
      <w:bookmarkStart w:id="8" w:name="_k1p2wkvclmri" w:colFirst="0" w:colLast="0"/>
      <w:bookmarkStart w:id="9" w:name="_Toc101546435"/>
      <w:bookmarkEnd w:id="8"/>
      <w:r>
        <w:lastRenderedPageBreak/>
        <w:t>Critical Review of the contribution of the reforms in stabilising the financial system</w:t>
      </w:r>
      <w:bookmarkEnd w:id="9"/>
    </w:p>
    <w:p w14:paraId="4DF77283" w14:textId="77777777" w:rsidR="00F9133C" w:rsidRDefault="004339E0">
      <w:pPr>
        <w:pStyle w:val="Normal1"/>
      </w:pPr>
      <w:r>
        <w:t>The incorporation of differential reforms and other relative aspects of development into the operational structure of the economy is to effectively mitigate the risks and avoid some conditional financial anomalies. In the financial crisis the global banking structure has seen relatively large difficulties in their operations and due to the observation of differential managerial problems the overall activities of the business the banks are relatively considered as one of the relative aspects of adjudication. Financial reforms and several other regulations are effectively put into action to effectively minimise the differential impacts the financial crisis have presented. The global baking structure has been hit very badly and with the relative understanding of the impact and the issues due to which it has grown aggressively. The relative reforms and regulation that are stated in the relative manner are effectively taken into consideration with the help of the business and take necessary measures in order to ensure financial activities are controlled much more effectively (TEKİN, 2020).</w:t>
      </w:r>
    </w:p>
    <w:p w14:paraId="28F0ECEC" w14:textId="77777777" w:rsidR="00F9133C" w:rsidRDefault="004339E0">
      <w:pPr>
        <w:pStyle w:val="Normal1"/>
      </w:pPr>
      <w:r>
        <w:t>The involvement of differential norms or regulation into the operations of the economy can be effectively enumerated as helping in controlling the fiscal activities and enhancing the overall operations of the business or the companies operating within the financial  sectors. In the relative context of the regulations, reforms and other structural changes in the overall activities of the business further helps in controlling the relative activities of the business much more effectively. The post financial crisis situation is relatively considered as the lesson that all the relative administrations must consider in order to ensure such activities do not occur in the future course of operation. In the relative consideration of the business there are several individual factors that all the effective business entities must consider in order to outgrow and develop themselves.</w:t>
      </w:r>
    </w:p>
    <w:p w14:paraId="3DBDF1B3" w14:textId="77777777" w:rsidR="00F9133C" w:rsidRDefault="004339E0">
      <w:pPr>
        <w:pStyle w:val="Normal1"/>
      </w:pPr>
      <w:r>
        <w:t>Relative contribution made by the reforms for stabilising the fiscal system post financial crisis</w:t>
      </w:r>
    </w:p>
    <w:p w14:paraId="3AEE434F" w14:textId="77777777" w:rsidR="00F9133C" w:rsidRDefault="004339E0">
      <w:pPr>
        <w:pStyle w:val="Heading2"/>
      </w:pPr>
      <w:bookmarkStart w:id="10" w:name="_xozicrale7h4" w:colFirst="0" w:colLast="0"/>
      <w:bookmarkStart w:id="11" w:name="_Toc101546436"/>
      <w:bookmarkEnd w:id="10"/>
      <w:r>
        <w:t>The Financial Service Act 2012</w:t>
      </w:r>
      <w:bookmarkEnd w:id="11"/>
    </w:p>
    <w:p w14:paraId="6198FB06" w14:textId="77777777" w:rsidR="00F9133C" w:rsidRDefault="004339E0">
      <w:pPr>
        <w:pStyle w:val="Normal1"/>
      </w:pPr>
      <w:r>
        <w:t xml:space="preserve">The introduction of the financial service act 2012 was relatively introduced by the government of the United Kingdom to effectively curb the damages caused by the financial crisis of 2008. The regulation of the Financial service act effectively stated that all the businesses that are operating within the jurisdiction of the United Kingdom are required to provide a minimum of base capital in order to start the services of financial services or investment banking services (Varga, 2017). With the relative introduction of the act the 90% of the business and other relative organisations </w:t>
      </w:r>
      <w:r>
        <w:lastRenderedPageBreak/>
        <w:t>operating in the sector are following such regulations in order to effectively control the relative operations of the business. In the relative perspective of the individual investment banking firms before the financial crisis of 2008 they are not required to provide any kind of capital in order to mitigate the risks. However, with the incorporation of such regulation into the business environment they are effectively required to follow the norms and keep the required capital of 730k in order to provide such services. The incorporation of financial services act 2012 the effective formation of relative governmental authorities in order to provide the services much more effectively and enhance the overall operations of the business operating in the sector. The regulation also helped in collecting a subjective amount of funds from the relative banking institution in order to effectively manage any kind of financial deficit and the liquid credit assets available in the firm (Chanias, 2017).</w:t>
      </w:r>
    </w:p>
    <w:p w14:paraId="44E30067" w14:textId="77777777" w:rsidR="00F9133C" w:rsidRDefault="004339E0">
      <w:pPr>
        <w:pStyle w:val="Heading2"/>
      </w:pPr>
      <w:bookmarkStart w:id="12" w:name="_5dbexhk62vu6" w:colFirst="0" w:colLast="0"/>
      <w:bookmarkStart w:id="13" w:name="_Toc101546437"/>
      <w:bookmarkEnd w:id="12"/>
      <w:r>
        <w:t>The effective utilisation of capital and other relative assets</w:t>
      </w:r>
      <w:bookmarkEnd w:id="13"/>
    </w:p>
    <w:p w14:paraId="5393467C" w14:textId="77777777" w:rsidR="00F9133C" w:rsidRDefault="004339E0">
      <w:pPr>
        <w:pStyle w:val="Normal1"/>
      </w:pPr>
      <w:r>
        <w:t>The post financial crisis is considered as a downgrading event for the economies all over the world, and with the involvement of some eventual factors the overall operations of the financial services are effectively declined. With the development of such relative operations of the economy the downgrading event caused severe concerns. With the effective incorporation of CRD IV and CRR the data presented by the Bank of England effectively suggested that all the relative aspects of development of the business and effective enumeration of the differential services are effectively enhanced. In the relative aspect of attainment of reserve funding the differential aspect of the financial and banking institution can be effectively managed without the relative concern of falling. The utilisation of funding and attainment of CRR, 1.5 trillion dollars of reserve funding have been  attained, such a relative capital further helps in managing the financial crisis in the relative future course of the business. The effective imposition of such reforms helps in disciplining the relative operations of the banks and other relative financial institutions and further helps in safeguarding the relative organisations operating in the sector from potential threats. In the eventual scenario of relative measures the banks and other financial institutions are taking risks of credit much carefully and this relatively enhances the functions of the business.</w:t>
      </w:r>
    </w:p>
    <w:p w14:paraId="5403DF6F" w14:textId="77777777" w:rsidR="00F9133C" w:rsidRDefault="004339E0">
      <w:pPr>
        <w:pStyle w:val="Normal1"/>
      </w:pPr>
      <w:r>
        <w:t xml:space="preserve">The relative regulation in the maintenance of several individual aspects of the banking services further helped the banks operating in the UK attain an absorbing capital of 130b pounds. This </w:t>
      </w:r>
      <w:r>
        <w:lastRenderedPageBreak/>
        <w:t>effectively improved the average weighted ratio by a margin of 9.8% from 4.5 to 14.3%. Such a high ratio of capital reserve further helps the companies and business entities to ensure all the fundings and securities of the company are effectively managed in a much more significant manner. There are several individual aspects of development that the business must consider in order to enhance the overall operations of the business much more effectively. The imposition of the regulatory measures effectively provided back support to the overall business entities operating in the region of the United Kingdom and further stabilised the equatorial position of the companies or the business entities much more effectively (Farquhar and Meidan, 2017).</w:t>
      </w:r>
    </w:p>
    <w:p w14:paraId="339F7DBE" w14:textId="77777777" w:rsidR="00F9133C" w:rsidRDefault="004339E0">
      <w:pPr>
        <w:pStyle w:val="Normal1"/>
      </w:pPr>
      <w:r>
        <w:t xml:space="preserve">The CRR and CDR IV also helped the banking and financial business entities to research a comprehensive capital for uncertain losses and prepare the overall system to ensure all its relative propositions are managed much more effectively. There are several individual aspects of the business that must be considered in order to ensure higher operational services, however with the proactive measures the business must consider effective development of the internal structure of operations such that their relative needs are met accordingly. The interbanking credit attainment facilities helps in ensuring much more effective services and helps in declining the overall operations of the business effectively. The report established by the bank of england effectively reflected that there is a 20% decline in the Interbank lending activities in the year 2013. The relative maintenance of CDR IV and CRR within the banking and financial structure further helps in obtaining relative resources much more effectively and ensure all the relative activities of the business are managed much more effectively. The introduction of such relative measures further helped the businesses to attain funding much more effectively and the relative banks and financial institutions are taking 40% less short term business loans. </w:t>
      </w:r>
    </w:p>
    <w:p w14:paraId="08A7A264" w14:textId="77777777" w:rsidR="00F9133C" w:rsidRDefault="004339E0">
      <w:pPr>
        <w:pStyle w:val="Heading2"/>
      </w:pPr>
      <w:bookmarkStart w:id="14" w:name="_yatt6bllsp6i" w:colFirst="0" w:colLast="0"/>
      <w:bookmarkStart w:id="15" w:name="_Toc101546438"/>
      <w:bookmarkEnd w:id="14"/>
      <w:r>
        <w:t>The relative assessment of the security of the financial services</w:t>
      </w:r>
      <w:bookmarkEnd w:id="15"/>
    </w:p>
    <w:p w14:paraId="220D8AEE" w14:textId="77777777" w:rsidR="00F9133C" w:rsidRDefault="004339E0">
      <w:pPr>
        <w:pStyle w:val="Normal1"/>
      </w:pPr>
      <w:r>
        <w:t xml:space="preserve">With the global event of the 2008 financial crisis several individual businesses and consumers have lost a significant amount of money. The relative administrations operating in the region are effectively directed to implement the relative regulations and reforms to protect the interest of the consumers and ensure the services are offered in a secure manner. There are several individual aspects of the banking and financial services that must be taken into consideration in order to safeguard the relative operations and functions of the banking and financial institutions. The relative trust of the individual consumers have relatively declined with the relative cause of the financial crisis, and with the relative introduction of several individual regulations the overall results can be effectively mitigated (Zachosova, 2019). The FSB is created by the administrative authority of the UK in order to manage the overall financial activities within the country and help the relative consumers in addressing their problems. This regulatory committee also helps in forming a relative relation with the international business entities and collaborate with them for effectively addressing the relative problem. </w:t>
      </w:r>
    </w:p>
    <w:p w14:paraId="7C979391" w14:textId="77777777" w:rsidR="00F9133C" w:rsidRDefault="004339E0">
      <w:pPr>
        <w:pStyle w:val="Normal1"/>
      </w:pPr>
      <w:r>
        <w:t xml:space="preserve">The FSB or the financial stability board is introduced in order to effectively address the overall fiscal operations carried out within the country and relieve the dependency of the banks and other financial institutions on the overall operations of the fiscal activities. In the relative manner of assertment there are several individual factors that help in ensuring the financial stability within the country. In the relative aspect of customary development of the business and assessment of differential services it can be effectively stated that all the effective shadow banking services are effectively tracked and monitored. This further helps in effectively apprehending the funding mismatches happening within the financial structure of the business. The effective introduction of such services into the operational measures of the company or the business entity further helps in relatively discussing the overall measures that have been taken into the subjective nature of the business. Due to the relevant introduction of FSB into the banking structure the financial stability into the economy can be effectively established and risk has been minimised by 40% (Jha, 2019). </w:t>
      </w:r>
    </w:p>
    <w:p w14:paraId="5E0509F9" w14:textId="77777777" w:rsidR="00F9133C" w:rsidRDefault="004339E0">
      <w:pPr>
        <w:pStyle w:val="Normal1"/>
      </w:pPr>
      <w:r>
        <w:t>The CRR and CDR IV also helps the relative business entity and organisation operating in the financial and banking sector effectively diversify the source of funding in order to provide relative strength to the economy and ensure higher level of growth is maintained within the country. Along with this such an effective regulation also helps in delivering the financial objectives of the company much more effectively and ensure the level of operations of the company are not falling behind. In the effective scenario of development the relative method of financing by bond can be effectively availed. Such level of bond financing helps in effectively growing the credit facticity and strengthens the relative measure of the business working in the UK, US and the EU countries. Due to the relative decline in the credit providing services by the major banks by 90b pounds the non-banks provided lending support of 130b pounds (</w:t>
      </w:r>
      <w:r>
        <w:rPr>
          <w:highlight w:val="white"/>
        </w:rPr>
        <w:t>Office for Budget Responsibility, 2022</w:t>
      </w:r>
      <w:r>
        <w:t>). This further helped in strengthening the overall operations of the economy much more effectively. The effective incorporation of AIFMD 2013 into the banking and financial structure of the economy further helped in decreasing the complexities into the operations of the economy much more effectively and ensure all the relative prospects are managed much more effectively. There are several individual aspects such as derivatives trading of commodities and relative decline of the overall short selling of the commodities have declined much more effectively by a margin of 60%. The effective utilisation of the AIFMD 2013 regulation increased the collateral amount required for trading the derivative by a margin of 70% and this further helped in accumulating a capital surplus of 1.7 trillion pounds. Such a huge amount of funding can be effectively utilised by the banking and financial services in order to enhance the economic position of the UK and report the 90% of the counter trading activities undertaken within the economy to the administrative authorities (</w:t>
      </w:r>
      <w:r>
        <w:rPr>
          <w:highlight w:val="white"/>
        </w:rPr>
        <w:t>Forbes.com, 2022</w:t>
      </w:r>
      <w:r>
        <w:t xml:space="preserve">). </w:t>
      </w:r>
    </w:p>
    <w:p w14:paraId="025C8FAB" w14:textId="77777777" w:rsidR="00F9133C" w:rsidRDefault="004339E0">
      <w:pPr>
        <w:pStyle w:val="Normal1"/>
      </w:pPr>
      <w:r>
        <w:br w:type="page"/>
      </w:r>
    </w:p>
    <w:p w14:paraId="3400506A" w14:textId="77777777" w:rsidR="00F9133C" w:rsidRDefault="004339E0">
      <w:pPr>
        <w:pStyle w:val="Heading2"/>
      </w:pPr>
      <w:bookmarkStart w:id="16" w:name="_df1ira66gmti" w:colFirst="0" w:colLast="0"/>
      <w:bookmarkStart w:id="17" w:name="_Toc101546439"/>
      <w:bookmarkEnd w:id="16"/>
      <w:r>
        <w:t>Impact of Reforms on Barclays Bank</w:t>
      </w:r>
      <w:bookmarkEnd w:id="17"/>
    </w:p>
    <w:p w14:paraId="0B19BC51" w14:textId="77777777" w:rsidR="00F9133C" w:rsidRDefault="004339E0">
      <w:pPr>
        <w:pStyle w:val="Heading2"/>
      </w:pPr>
      <w:bookmarkStart w:id="18" w:name="_vuwtyxc6cpru" w:colFirst="0" w:colLast="0"/>
      <w:bookmarkStart w:id="19" w:name="_Toc101546440"/>
      <w:bookmarkEnd w:id="18"/>
      <w:r>
        <w:t>Overview of the Barclays Bank</w:t>
      </w:r>
      <w:bookmarkEnd w:id="19"/>
    </w:p>
    <w:p w14:paraId="755A36AE" w14:textId="77777777" w:rsidR="00F9133C" w:rsidRDefault="004339E0">
      <w:pPr>
        <w:pStyle w:val="Normal1"/>
      </w:pPr>
      <w:r>
        <w:t>One of the UK’s oldest serving banks is the Barclays Bank, the bank was operated previously in the name of Goldsmith Bank in the year 1690. The company used to offer locker and saving services only to the goldsmiths present in the London gold market. The relative banking services has been offered by the bank from the year 1690 the time when it was taken over by James Barclay as a partner and the adjoining owner. The bank in the present scenario does provide relative financial services to the relative individual consumers and other business entities (</w:t>
      </w:r>
      <w:r>
        <w:rPr>
          <w:highlight w:val="white"/>
        </w:rPr>
        <w:t>Vizologi | rethinking business model design, 2022</w:t>
      </w:r>
      <w:r>
        <w:t>). Barclays bank does have its relative operations of retail banking services and investment banking services. The tertiary level of services offered by the bank helps in effectively massing a large number of customers, and ensures the relative profitability of the company is managed and maintained much more effectively. In the relative prospect of development of the business there are several individual aspects of development that the business have undergone in order to ensure effective delivery of services to the consumers. In the relative aspect of development of the business the bank is currently operating in several international countries and has over 4000 branches spread all over the world. The current operations of the business are very much effective in order to subjectively develop the concurrent position of the business much more effectively. The bank is considerably one of the largest banking services provided in all over the UK and has effectively generated a revenue of 200m, 332m, 345m, and 400m revenue in the year 2013, 2014, 2015 and 2016 respectively (</w:t>
      </w:r>
      <w:r>
        <w:rPr>
          <w:highlight w:val="white"/>
        </w:rPr>
        <w:t>Home.barclays, 2022</w:t>
      </w:r>
      <w:r>
        <w:t xml:space="preserve">).  </w:t>
      </w:r>
    </w:p>
    <w:p w14:paraId="20F0A773" w14:textId="77777777" w:rsidR="00F9133C" w:rsidRDefault="004339E0">
      <w:pPr>
        <w:pStyle w:val="Normal1"/>
      </w:pPr>
      <w:r>
        <w:t>Barclays is one of the most effective businesses that is currently operating in the UK, the company is considered as one of the successful companies that relatively operates with the mix model combination of B2B and B2C. The effective analysis of the business also helps in shedding some light on the care the business takes in order to assess the relative aspect of the business much more effectively. The relative apprehension of the services also provided the view that all the relative products and services of the company can be effectively attained by every individual entity considering they are meeting the stated requirements.</w:t>
      </w:r>
    </w:p>
    <w:p w14:paraId="4B54B288" w14:textId="77777777" w:rsidR="00F9133C" w:rsidRDefault="004339E0">
      <w:pPr>
        <w:pStyle w:val="Heading2"/>
      </w:pPr>
      <w:bookmarkStart w:id="20" w:name="_65f21c4uxjwv" w:colFirst="0" w:colLast="0"/>
      <w:bookmarkStart w:id="21" w:name="_Toc101546441"/>
      <w:bookmarkEnd w:id="20"/>
      <w:r>
        <w:t>Impact of reform on company’s business model</w:t>
      </w:r>
      <w:bookmarkEnd w:id="21"/>
      <w:r>
        <w:t xml:space="preserve"> </w:t>
      </w:r>
    </w:p>
    <w:p w14:paraId="0B51D763" w14:textId="77777777" w:rsidR="00F9133C" w:rsidRDefault="004339E0">
      <w:pPr>
        <w:pStyle w:val="Normal1"/>
      </w:pPr>
      <w:r>
        <w:t>The relative impact of differential reforms placed by the UK administration have relatively impacted the operations of every business entity operating within the region of the UK. The effective analysis of the differential functions of the company and the relative implication of the reforms have effectively enumerated the overall operations of the business much more effectively. There are several individual reforms such as CRR and CRD IV, and Barclays bank is effectively required to incorporate business precautions much more effectively. With the relative introduction of such reforms the overall operations of the company have been put under some restriction and thereby the investment banking services cannot be relatively offered into the business (</w:t>
      </w:r>
      <w:r>
        <w:rPr>
          <w:highlight w:val="white"/>
        </w:rPr>
        <w:t>Home.barclays, 2022</w:t>
      </w:r>
      <w:r>
        <w:t>). The effective analysis of the overall operations of the business further helps in ascertaining the relative operations of the business very much effectively and ensure all the relative segmented growth of the company are retained much more effectively. The bank has a high number of individual users and the lending process of the company is very much active however, with the introduction of Financial service act 2012 the bank is required to maintain a substantial amount of liquid assets in order to contain the contingencies and ensure higher relative growth of the business. Along with this the company also required to attain some sort of collateral from the individual entities availing credit facilities and further derailing the level of interest of the consumers.</w:t>
      </w:r>
    </w:p>
    <w:p w14:paraId="5DC0AB7B" w14:textId="77777777" w:rsidR="00F9133C" w:rsidRDefault="004339E0">
      <w:pPr>
        <w:pStyle w:val="Heading2"/>
      </w:pPr>
      <w:bookmarkStart w:id="22" w:name="_9c2w2291h4yh" w:colFirst="0" w:colLast="0"/>
      <w:bookmarkStart w:id="23" w:name="_Toc101546442"/>
      <w:bookmarkEnd w:id="22"/>
      <w:r>
        <w:t>Level of compliance/non-compliance</w:t>
      </w:r>
      <w:bookmarkEnd w:id="23"/>
    </w:p>
    <w:p w14:paraId="437F8891" w14:textId="77777777" w:rsidR="00F9133C" w:rsidRDefault="004339E0">
      <w:pPr>
        <w:pStyle w:val="Normal1"/>
      </w:pPr>
      <w:r>
        <w:t xml:space="preserve">All the relative companies and business entities of the financial sector are effectively required to consider the relative reforms incorporated by the government of the United Kingdom. The effective apprehension of the subjective development of the business much more effectively. In the relative aspect of the business the overall companies are effectively required to follow the relative norms in order to ascertain effective development of the business. Barclays is effectively following the subjective regulations much more effectively and this further helps in effectively developing the overall operations of the business much more effectively (Moreno-Brid </w:t>
      </w:r>
      <w:r>
        <w:rPr>
          <w:i/>
        </w:rPr>
        <w:t>et al</w:t>
      </w:r>
      <w:r>
        <w:t>., 2020).</w:t>
      </w:r>
    </w:p>
    <w:p w14:paraId="0EA6F852" w14:textId="77777777" w:rsidR="00F9133C" w:rsidRDefault="004339E0">
      <w:pPr>
        <w:pStyle w:val="Normal1"/>
      </w:pPr>
      <w:r>
        <w:t>The post financial crisis is considered as a downgrading event for the economies all over the world, and with the involvement of some eventual factors the overall operations of the financial services are effectively declined. With the development of such relative operations of the economy the downgrading event caused severe concerns. With the effective incorporation of CRD IV and CRR the data presented by the Bank of England effectively suggested that all the relative aspects of development of the business and effective enumeration of the differential services are effectively enhanced. In the relative aspect of attainment of reserve funding the differential aspect of the financial and banking institution can be effectively managed without the relative concern of falling. The utilisation of funding and attainment of CRR, 1.5 trillion dollars of reserve funding have been  attained, such a relative capital further helps in managing the financial crisis in the relative future course of the business. The effective imposition of such reforms helps in disciplining the relative operations of the banks and other relative financial institutions and further helps in safeguarding the relative organisations operating in the sector from potential threats. In the eventual scenario of relative measures the banks and other financial institutions are taking risks of credit much carefully and this relatively enhances the functions of the business.</w:t>
      </w:r>
      <w:r>
        <w:br w:type="page"/>
      </w:r>
    </w:p>
    <w:p w14:paraId="36912CDE" w14:textId="77777777" w:rsidR="00F9133C" w:rsidRDefault="004339E0">
      <w:pPr>
        <w:pStyle w:val="Heading1"/>
      </w:pPr>
      <w:bookmarkStart w:id="24" w:name="_3uo569y9xvfh" w:colFirst="0" w:colLast="0"/>
      <w:bookmarkStart w:id="25" w:name="_Toc101546443"/>
      <w:bookmarkEnd w:id="24"/>
      <w:r>
        <w:t>Conclusion</w:t>
      </w:r>
      <w:bookmarkEnd w:id="25"/>
    </w:p>
    <w:p w14:paraId="7A731AA2" w14:textId="77777777" w:rsidR="00F9133C" w:rsidRDefault="004339E0">
      <w:pPr>
        <w:pStyle w:val="Normal1"/>
      </w:pPr>
      <w:r>
        <w:t>Financial crisis of 2008 has significantly affected the overall operations of the companies and business entities operating within the globe. The effective analysis of the overall operations of the business and understanding of the relative operations of the business entities effectively reflected that the financial crisis has severely impacted the operations of the banking and financial services of the business. The report provides a relative understanding of the overall operations of the business and effectively enumerates the operational measures that are taken in order to strengthen the global financial position. The report also provides an effective understanding of the differential reforms that are to be effectively considered by the governments of the UK, US and EU to effectively curb the damage caused by the financial  crisis of 2008. The report also provides effective discussion on the measures that effectively helped in controlling the relative impact of the financial crisis. The report also points out the critical point of contribution that the reforms have contributed towards stabilising the overall banking and financial services. Along with this the report also provides effective understanding of the impact of reforms in Barclays Bank and how the bank is following such reforms.</w:t>
      </w:r>
      <w:r>
        <w:br w:type="page"/>
      </w:r>
    </w:p>
    <w:p w14:paraId="2CD1BED3" w14:textId="77777777" w:rsidR="00F9133C" w:rsidRDefault="004339E0">
      <w:pPr>
        <w:pStyle w:val="Heading1"/>
      </w:pPr>
      <w:bookmarkStart w:id="26" w:name="_bkl4spnm0xyb" w:colFirst="0" w:colLast="0"/>
      <w:bookmarkStart w:id="27" w:name="_Toc101546444"/>
      <w:bookmarkEnd w:id="26"/>
      <w:r>
        <w:t>References</w:t>
      </w:r>
      <w:bookmarkEnd w:id="27"/>
    </w:p>
    <w:p w14:paraId="059275CE" w14:textId="77777777" w:rsidR="00824E9A" w:rsidRDefault="00824E9A" w:rsidP="00824E9A">
      <w:pPr>
        <w:pStyle w:val="NormalWeb"/>
        <w:spacing w:before="0" w:beforeAutospacing="0" w:after="0" w:afterAutospacing="0" w:line="360" w:lineRule="auto"/>
        <w:jc w:val="both"/>
      </w:pPr>
      <w:r>
        <w:rPr>
          <w:color w:val="000000"/>
        </w:rPr>
        <w:t xml:space="preserve"> Allayannis, G.Y., 2017. The Financial Crisis of 2007–2009: The Road to Systemic Risk. </w:t>
      </w:r>
      <w:r>
        <w:rPr>
          <w:i/>
          <w:iCs/>
          <w:color w:val="000000"/>
        </w:rPr>
        <w:t>Darden Business Publishing Cases</w:t>
      </w:r>
      <w:r>
        <w:rPr>
          <w:color w:val="000000"/>
        </w:rPr>
        <w:t>.</w:t>
      </w:r>
    </w:p>
    <w:p w14:paraId="5EBE0872" w14:textId="77777777" w:rsidR="00824E9A" w:rsidRDefault="00824E9A" w:rsidP="00824E9A">
      <w:pPr>
        <w:pStyle w:val="NormalWeb"/>
        <w:spacing w:before="240" w:beforeAutospacing="0" w:after="0" w:afterAutospacing="0" w:line="360" w:lineRule="auto"/>
        <w:jc w:val="both"/>
      </w:pPr>
      <w:r>
        <w:rPr>
          <w:color w:val="000000"/>
        </w:rPr>
        <w:t xml:space="preserve">Beltran, D.O., Bolotnyy, V. and Klee, E., 2021. The federal funds network and monetary policy transmission: Evidence from the 2007–2009 financial crisis. </w:t>
      </w:r>
      <w:r>
        <w:rPr>
          <w:i/>
          <w:iCs/>
          <w:color w:val="000000"/>
        </w:rPr>
        <w:t>Journal of Monetary Economics</w:t>
      </w:r>
      <w:r>
        <w:rPr>
          <w:color w:val="000000"/>
        </w:rPr>
        <w:t xml:space="preserve">, </w:t>
      </w:r>
      <w:r>
        <w:rPr>
          <w:i/>
          <w:iCs/>
          <w:color w:val="000000"/>
        </w:rPr>
        <w:t>117</w:t>
      </w:r>
      <w:r>
        <w:rPr>
          <w:color w:val="000000"/>
        </w:rPr>
        <w:t>, pp.187-202.</w:t>
      </w:r>
    </w:p>
    <w:p w14:paraId="3B56E87D" w14:textId="77777777" w:rsidR="00824E9A" w:rsidRDefault="00824E9A" w:rsidP="00824E9A">
      <w:pPr>
        <w:pStyle w:val="NormalWeb"/>
        <w:spacing w:before="240" w:beforeAutospacing="0" w:after="0" w:afterAutospacing="0" w:line="360" w:lineRule="auto"/>
        <w:jc w:val="both"/>
      </w:pPr>
      <w:r>
        <w:rPr>
          <w:color w:val="000000"/>
        </w:rPr>
        <w:t xml:space="preserve">Boikos, S., Panagiotidis, T. and Voucharas, G., 2022. Financial development, reforms and growth. </w:t>
      </w:r>
      <w:r>
        <w:rPr>
          <w:i/>
          <w:iCs/>
          <w:color w:val="000000"/>
        </w:rPr>
        <w:t>Economic Modelling</w:t>
      </w:r>
      <w:r>
        <w:rPr>
          <w:color w:val="000000"/>
        </w:rPr>
        <w:t xml:space="preserve">, </w:t>
      </w:r>
      <w:r>
        <w:rPr>
          <w:i/>
          <w:iCs/>
          <w:color w:val="000000"/>
        </w:rPr>
        <w:t>108</w:t>
      </w:r>
      <w:r>
        <w:rPr>
          <w:color w:val="000000"/>
        </w:rPr>
        <w:t>, p.105734.</w:t>
      </w:r>
    </w:p>
    <w:p w14:paraId="1021CC8B" w14:textId="77777777" w:rsidR="00824E9A" w:rsidRDefault="00824E9A" w:rsidP="00824E9A">
      <w:pPr>
        <w:pStyle w:val="NormalWeb"/>
        <w:spacing w:before="240" w:beforeAutospacing="0" w:after="0" w:afterAutospacing="0" w:line="360" w:lineRule="auto"/>
        <w:jc w:val="both"/>
      </w:pPr>
      <w:r>
        <w:rPr>
          <w:color w:val="000000"/>
        </w:rPr>
        <w:t xml:space="preserve">Cecchetti, S. and Schoenholtz, K., 2017. The financial crisis, ten years on. </w:t>
      </w:r>
      <w:r>
        <w:rPr>
          <w:i/>
          <w:iCs/>
          <w:color w:val="000000"/>
        </w:rPr>
        <w:t>Vox, CEPR Policy Portal (29 August). https://voxeu. org/article/financial-crisis-ten-years</w:t>
      </w:r>
      <w:r>
        <w:rPr>
          <w:color w:val="000000"/>
        </w:rPr>
        <w:t>.</w:t>
      </w:r>
    </w:p>
    <w:p w14:paraId="7BB0AEC2" w14:textId="77777777" w:rsidR="00824E9A" w:rsidRDefault="00824E9A" w:rsidP="00824E9A">
      <w:pPr>
        <w:pStyle w:val="NormalWeb"/>
        <w:spacing w:before="240" w:beforeAutospacing="0" w:after="0" w:afterAutospacing="0" w:line="360" w:lineRule="auto"/>
        <w:jc w:val="both"/>
      </w:pPr>
      <w:r>
        <w:rPr>
          <w:color w:val="000000"/>
        </w:rPr>
        <w:t>Chanias, S., 2017. Mastering digital transformation: the path of a financial services provider towards a digital transformation strategy.</w:t>
      </w:r>
    </w:p>
    <w:p w14:paraId="442D4682" w14:textId="77777777" w:rsidR="00824E9A" w:rsidRDefault="00824E9A" w:rsidP="00824E9A">
      <w:pPr>
        <w:pStyle w:val="NormalWeb"/>
        <w:spacing w:before="240" w:beforeAutospacing="0" w:after="0" w:afterAutospacing="0" w:line="360" w:lineRule="auto"/>
        <w:jc w:val="both"/>
      </w:pPr>
      <w:r>
        <w:rPr>
          <w:color w:val="000000"/>
        </w:rPr>
        <w:t xml:space="preserve">Farquhar, J. and Meidan, A., 2017. </w:t>
      </w:r>
      <w:r>
        <w:rPr>
          <w:i/>
          <w:iCs/>
          <w:color w:val="000000"/>
        </w:rPr>
        <w:t>Marketing financial services</w:t>
      </w:r>
      <w:r>
        <w:rPr>
          <w:color w:val="000000"/>
        </w:rPr>
        <w:t>. Red Globe Press.</w:t>
      </w:r>
    </w:p>
    <w:p w14:paraId="17F6B0C9" w14:textId="77777777" w:rsidR="00824E9A" w:rsidRDefault="00824E9A" w:rsidP="00824E9A">
      <w:pPr>
        <w:pStyle w:val="NormalWeb"/>
        <w:spacing w:before="240" w:beforeAutospacing="0" w:after="0" w:afterAutospacing="0" w:line="360" w:lineRule="auto"/>
        <w:jc w:val="both"/>
      </w:pPr>
      <w:r>
        <w:rPr>
          <w:color w:val="000000"/>
          <w:shd w:val="clear" w:color="auto" w:fill="FFFFFF"/>
        </w:rPr>
        <w:t>Forbes.com. 2022. [online] Available at: &lt;https://www.forbes.com/advisor/investing/dodd-frank-act/#:~:text=The%20Dodd%2DFrank%20Act%20was%20a%20law%20passed%20in%202010,by%20insurance%20companies%20and%20banks&gt; [Accessed 22 April 2022].</w:t>
      </w:r>
    </w:p>
    <w:p w14:paraId="6DE8D467" w14:textId="77777777" w:rsidR="00824E9A" w:rsidRDefault="00824E9A" w:rsidP="00824E9A">
      <w:pPr>
        <w:pStyle w:val="NormalWeb"/>
        <w:spacing w:before="240" w:beforeAutospacing="0" w:after="0" w:afterAutospacing="0" w:line="360" w:lineRule="auto"/>
        <w:jc w:val="both"/>
      </w:pPr>
      <w:r>
        <w:rPr>
          <w:color w:val="000000"/>
        </w:rPr>
        <w:t xml:space="preserve">Gadsby, E.W., Peckham, S., Coleman, A., Bramwell, D., Perkins, N. and Jenkins, L.M., 2017. Commissioning for health improvement following the 2012 health and social care reforms in England: what has changed?. </w:t>
      </w:r>
      <w:r>
        <w:rPr>
          <w:i/>
          <w:iCs/>
          <w:color w:val="000000"/>
        </w:rPr>
        <w:t>BMC public health</w:t>
      </w:r>
      <w:r>
        <w:rPr>
          <w:color w:val="000000"/>
        </w:rPr>
        <w:t xml:space="preserve">, </w:t>
      </w:r>
      <w:r>
        <w:rPr>
          <w:i/>
          <w:iCs/>
          <w:color w:val="000000"/>
        </w:rPr>
        <w:t>17</w:t>
      </w:r>
      <w:r>
        <w:rPr>
          <w:color w:val="000000"/>
        </w:rPr>
        <w:t>(1), pp.1-11.</w:t>
      </w:r>
    </w:p>
    <w:p w14:paraId="182954E7" w14:textId="77777777" w:rsidR="00824E9A" w:rsidRDefault="00824E9A" w:rsidP="00824E9A">
      <w:pPr>
        <w:pStyle w:val="NormalWeb"/>
        <w:spacing w:before="240" w:beforeAutospacing="0" w:after="0" w:afterAutospacing="0" w:line="360" w:lineRule="auto"/>
        <w:jc w:val="both"/>
      </w:pPr>
      <w:r>
        <w:rPr>
          <w:color w:val="000000"/>
        </w:rPr>
        <w:t xml:space="preserve">Gangopadhyay, P., Yook, K.C. and Haley, J.D., 2019. Bank bailouts and corporate insider trading during the financial crisis of 2007–2009. </w:t>
      </w:r>
      <w:r>
        <w:rPr>
          <w:i/>
          <w:iCs/>
          <w:color w:val="000000"/>
        </w:rPr>
        <w:t>Review of Quantitative Finance and Accounting</w:t>
      </w:r>
      <w:r>
        <w:rPr>
          <w:color w:val="000000"/>
        </w:rPr>
        <w:t xml:space="preserve">, </w:t>
      </w:r>
      <w:r>
        <w:rPr>
          <w:i/>
          <w:iCs/>
          <w:color w:val="000000"/>
        </w:rPr>
        <w:t>52</w:t>
      </w:r>
      <w:r>
        <w:rPr>
          <w:color w:val="000000"/>
        </w:rPr>
        <w:t>(1), pp.35-83.</w:t>
      </w:r>
    </w:p>
    <w:p w14:paraId="04AAE189" w14:textId="77777777" w:rsidR="00824E9A" w:rsidRDefault="00824E9A" w:rsidP="00824E9A">
      <w:pPr>
        <w:pStyle w:val="NormalWeb"/>
        <w:spacing w:before="240" w:beforeAutospacing="0" w:after="0" w:afterAutospacing="0" w:line="360" w:lineRule="auto"/>
        <w:jc w:val="both"/>
      </w:pPr>
      <w:r>
        <w:rPr>
          <w:color w:val="000000"/>
          <w:shd w:val="clear" w:color="auto" w:fill="FFFFFF"/>
        </w:rPr>
        <w:t xml:space="preserve">Home.barclays. 2022. </w:t>
      </w:r>
      <w:r>
        <w:rPr>
          <w:i/>
          <w:iCs/>
          <w:color w:val="000000"/>
        </w:rPr>
        <w:t>About Barclays - Who we are | Barclays</w:t>
      </w:r>
      <w:r>
        <w:rPr>
          <w:color w:val="000000"/>
        </w:rPr>
        <w:t>. [online] Available at: &lt;https://home.barclays/who-we-are/&gt; [Accessed 22 April 2022].</w:t>
      </w:r>
    </w:p>
    <w:p w14:paraId="2A9B006A" w14:textId="77777777" w:rsidR="00824E9A" w:rsidRDefault="00824E9A" w:rsidP="00824E9A">
      <w:pPr>
        <w:pStyle w:val="NormalWeb"/>
        <w:spacing w:before="240" w:beforeAutospacing="0" w:after="0" w:afterAutospacing="0" w:line="360" w:lineRule="auto"/>
        <w:jc w:val="both"/>
      </w:pPr>
      <w:r>
        <w:rPr>
          <w:color w:val="000000"/>
        </w:rPr>
        <w:t xml:space="preserve">Jensen, T.L. and Johannesen, N., 2017. The consumption effects of the 2007–2008 financial crisis: Evidence from households in Denmark. </w:t>
      </w:r>
      <w:r>
        <w:rPr>
          <w:i/>
          <w:iCs/>
          <w:color w:val="000000"/>
        </w:rPr>
        <w:t>American Economic Review</w:t>
      </w:r>
      <w:r>
        <w:rPr>
          <w:color w:val="000000"/>
        </w:rPr>
        <w:t xml:space="preserve">, </w:t>
      </w:r>
      <w:r>
        <w:rPr>
          <w:i/>
          <w:iCs/>
          <w:color w:val="000000"/>
        </w:rPr>
        <w:t>107</w:t>
      </w:r>
      <w:r>
        <w:rPr>
          <w:color w:val="000000"/>
        </w:rPr>
        <w:t>(11), pp.3386-3414.</w:t>
      </w:r>
    </w:p>
    <w:p w14:paraId="176BAC77" w14:textId="77777777" w:rsidR="00824E9A" w:rsidRDefault="00824E9A" w:rsidP="00824E9A">
      <w:pPr>
        <w:pStyle w:val="NormalWeb"/>
        <w:spacing w:before="240" w:beforeAutospacing="0" w:after="0" w:afterAutospacing="0" w:line="360" w:lineRule="auto"/>
        <w:jc w:val="both"/>
      </w:pPr>
      <w:r>
        <w:rPr>
          <w:color w:val="000000"/>
        </w:rPr>
        <w:t xml:space="preserve">Jha, C.K. and Bhuyan, R., 2020. Do financial reforms promote entrepreneurship?. </w:t>
      </w:r>
      <w:r>
        <w:rPr>
          <w:i/>
          <w:iCs/>
          <w:color w:val="000000"/>
        </w:rPr>
        <w:t>Finance Research Letters</w:t>
      </w:r>
      <w:r>
        <w:rPr>
          <w:color w:val="000000"/>
        </w:rPr>
        <w:t xml:space="preserve">, </w:t>
      </w:r>
      <w:r>
        <w:rPr>
          <w:i/>
          <w:iCs/>
          <w:color w:val="000000"/>
        </w:rPr>
        <w:t>34</w:t>
      </w:r>
      <w:r>
        <w:rPr>
          <w:color w:val="000000"/>
        </w:rPr>
        <w:t>, p.101272.</w:t>
      </w:r>
    </w:p>
    <w:p w14:paraId="18C40F6C" w14:textId="77777777" w:rsidR="00824E9A" w:rsidRDefault="00824E9A" w:rsidP="00824E9A">
      <w:pPr>
        <w:pStyle w:val="NormalWeb"/>
        <w:spacing w:before="240" w:beforeAutospacing="0" w:after="0" w:afterAutospacing="0" w:line="360" w:lineRule="auto"/>
        <w:jc w:val="both"/>
      </w:pPr>
      <w:r>
        <w:rPr>
          <w:color w:val="000000"/>
        </w:rPr>
        <w:t xml:space="preserve">Jha, C.K., 2019. Financial reforms and corruption: Evidence using GMM estimation. </w:t>
      </w:r>
      <w:r>
        <w:rPr>
          <w:i/>
          <w:iCs/>
          <w:color w:val="000000"/>
        </w:rPr>
        <w:t>International Review of Economics &amp; Finance</w:t>
      </w:r>
      <w:r>
        <w:rPr>
          <w:color w:val="000000"/>
        </w:rPr>
        <w:t xml:space="preserve">, </w:t>
      </w:r>
      <w:r>
        <w:rPr>
          <w:i/>
          <w:iCs/>
          <w:color w:val="000000"/>
        </w:rPr>
        <w:t>62</w:t>
      </w:r>
      <w:r>
        <w:rPr>
          <w:color w:val="000000"/>
        </w:rPr>
        <w:t>, pp.66-78.</w:t>
      </w:r>
    </w:p>
    <w:p w14:paraId="349072EF" w14:textId="77777777" w:rsidR="00824E9A" w:rsidRDefault="00824E9A" w:rsidP="00824E9A">
      <w:pPr>
        <w:pStyle w:val="NormalWeb"/>
        <w:spacing w:before="240" w:beforeAutospacing="0" w:after="0" w:afterAutospacing="0" w:line="360" w:lineRule="auto"/>
        <w:jc w:val="both"/>
      </w:pPr>
      <w:r>
        <w:rPr>
          <w:color w:val="000000"/>
        </w:rPr>
        <w:t xml:space="preserve">Jha, C.K., 2020. Financial reforms and corruption: which dimensions matter?. </w:t>
      </w:r>
      <w:r>
        <w:rPr>
          <w:i/>
          <w:iCs/>
          <w:color w:val="000000"/>
        </w:rPr>
        <w:t>International Review of Finance</w:t>
      </w:r>
      <w:r>
        <w:rPr>
          <w:color w:val="000000"/>
        </w:rPr>
        <w:t xml:space="preserve">, </w:t>
      </w:r>
      <w:r>
        <w:rPr>
          <w:i/>
          <w:iCs/>
          <w:color w:val="000000"/>
        </w:rPr>
        <w:t>20</w:t>
      </w:r>
      <w:r>
        <w:rPr>
          <w:color w:val="000000"/>
        </w:rPr>
        <w:t>(2), pp.515-527.</w:t>
      </w:r>
    </w:p>
    <w:p w14:paraId="2496065B" w14:textId="77777777" w:rsidR="00824E9A" w:rsidRDefault="00824E9A" w:rsidP="00824E9A">
      <w:pPr>
        <w:pStyle w:val="NormalWeb"/>
        <w:spacing w:before="240" w:beforeAutospacing="0" w:after="0" w:afterAutospacing="0" w:line="360" w:lineRule="auto"/>
        <w:jc w:val="both"/>
      </w:pPr>
      <w:r>
        <w:rPr>
          <w:color w:val="000000"/>
        </w:rPr>
        <w:t xml:space="preserve">Moreno-Brid, J.C., Gómez, J.S. and Franco, L.Á.M.G., 2020. MEXICO'S LATEST-AND PROBABLY LAST-PACKAGE OF MARKET REFORMS (2012-18): THE REMAINS OF THE DAY. </w:t>
      </w:r>
      <w:r>
        <w:rPr>
          <w:i/>
          <w:iCs/>
          <w:color w:val="000000"/>
        </w:rPr>
        <w:t>Cuadernos de Economía</w:t>
      </w:r>
      <w:r>
        <w:rPr>
          <w:color w:val="000000"/>
        </w:rPr>
        <w:t xml:space="preserve">, </w:t>
      </w:r>
      <w:r>
        <w:rPr>
          <w:i/>
          <w:iCs/>
          <w:color w:val="000000"/>
        </w:rPr>
        <w:t>39</w:t>
      </w:r>
      <w:r>
        <w:rPr>
          <w:color w:val="000000"/>
        </w:rPr>
        <w:t>(SPE80), pp.425-443.</w:t>
      </w:r>
    </w:p>
    <w:p w14:paraId="2A7E8822" w14:textId="77777777" w:rsidR="00824E9A" w:rsidRDefault="00824E9A" w:rsidP="00824E9A">
      <w:pPr>
        <w:pStyle w:val="NormalWeb"/>
        <w:spacing w:before="240" w:beforeAutospacing="0" w:after="0" w:afterAutospacing="0" w:line="360" w:lineRule="auto"/>
        <w:jc w:val="both"/>
      </w:pPr>
      <w:r>
        <w:rPr>
          <w:color w:val="000000"/>
          <w:shd w:val="clear" w:color="auto" w:fill="FFFFFF"/>
        </w:rPr>
        <w:t xml:space="preserve">Office for Budget Responsibility. 2022. </w:t>
      </w:r>
      <w:r>
        <w:rPr>
          <w:i/>
          <w:iCs/>
          <w:color w:val="000000"/>
        </w:rPr>
        <w:t>The Government’s regulatory response to the financial crisis - Office for Budget Responsibility</w:t>
      </w:r>
      <w:r>
        <w:rPr>
          <w:color w:val="000000"/>
        </w:rPr>
        <w:t>. [online] Available at: &lt;https://obr.uk/box/the-governments-regulatory-response-to-the-financial-crisis/&gt; [Accessed 22 April 2022].</w:t>
      </w:r>
    </w:p>
    <w:p w14:paraId="5339473C" w14:textId="77777777" w:rsidR="00824E9A" w:rsidRDefault="00824E9A" w:rsidP="00824E9A">
      <w:pPr>
        <w:pStyle w:val="NormalWeb"/>
        <w:spacing w:before="240" w:beforeAutospacing="0" w:after="0" w:afterAutospacing="0" w:line="360" w:lineRule="auto"/>
        <w:jc w:val="both"/>
      </w:pPr>
      <w:r>
        <w:rPr>
          <w:color w:val="000000"/>
          <w:shd w:val="clear" w:color="auto" w:fill="FFFFFF"/>
        </w:rPr>
        <w:t xml:space="preserve">parliament.uk. 2022. </w:t>
      </w:r>
      <w:r>
        <w:rPr>
          <w:i/>
          <w:iCs/>
          <w:color w:val="000000"/>
        </w:rPr>
        <w:t>parliament.uk</w:t>
      </w:r>
      <w:r>
        <w:rPr>
          <w:color w:val="000000"/>
        </w:rPr>
        <w:t>. [online] Available at: &lt;https://publications.parliament.uk/pa/ld201415/ldselect/ldeucom/103/10305.htm&gt; [Accessed 22 April 2022].</w:t>
      </w:r>
    </w:p>
    <w:p w14:paraId="576E9C31" w14:textId="77777777" w:rsidR="00824E9A" w:rsidRDefault="00824E9A" w:rsidP="00824E9A">
      <w:pPr>
        <w:pStyle w:val="NormalWeb"/>
        <w:spacing w:before="240" w:beforeAutospacing="0" w:after="0" w:afterAutospacing="0" w:line="360" w:lineRule="auto"/>
        <w:jc w:val="both"/>
      </w:pPr>
      <w:r>
        <w:rPr>
          <w:color w:val="000000"/>
        </w:rPr>
        <w:t xml:space="preserve">Reid, L.C., Carcello, J.V., Li, C., Neal, T.L. and Francis, J.R., 2019. Impact of auditor report changes on financial reporting quality and audit costs: Evidence from the United Kingdom. </w:t>
      </w:r>
      <w:r>
        <w:rPr>
          <w:i/>
          <w:iCs/>
          <w:color w:val="000000"/>
        </w:rPr>
        <w:t>Contemporary Accounting Research</w:t>
      </w:r>
      <w:r>
        <w:rPr>
          <w:color w:val="000000"/>
        </w:rPr>
        <w:t xml:space="preserve">, </w:t>
      </w:r>
      <w:r>
        <w:rPr>
          <w:i/>
          <w:iCs/>
          <w:color w:val="000000"/>
        </w:rPr>
        <w:t>36</w:t>
      </w:r>
      <w:r>
        <w:rPr>
          <w:color w:val="000000"/>
        </w:rPr>
        <w:t>(3), pp.1501-1539.</w:t>
      </w:r>
    </w:p>
    <w:p w14:paraId="496AE402" w14:textId="77777777" w:rsidR="00824E9A" w:rsidRDefault="00824E9A" w:rsidP="00824E9A">
      <w:pPr>
        <w:pStyle w:val="NormalWeb"/>
        <w:spacing w:before="240" w:beforeAutospacing="0" w:after="0" w:afterAutospacing="0" w:line="360" w:lineRule="auto"/>
        <w:jc w:val="both"/>
      </w:pPr>
      <w:r>
        <w:rPr>
          <w:color w:val="000000"/>
        </w:rPr>
        <w:t xml:space="preserve">Rjoub, H., Aga, M., Abu Alrub, A. and Bein, M., 2017. Financial reforms and determinants of FDI: evidence from landlocked countries in Sub-Saharan Africa. </w:t>
      </w:r>
      <w:r>
        <w:rPr>
          <w:i/>
          <w:iCs/>
          <w:color w:val="000000"/>
        </w:rPr>
        <w:t>Economies</w:t>
      </w:r>
      <w:r>
        <w:rPr>
          <w:color w:val="000000"/>
        </w:rPr>
        <w:t xml:space="preserve">, </w:t>
      </w:r>
      <w:r>
        <w:rPr>
          <w:i/>
          <w:iCs/>
          <w:color w:val="000000"/>
        </w:rPr>
        <w:t>5</w:t>
      </w:r>
      <w:r>
        <w:rPr>
          <w:color w:val="000000"/>
        </w:rPr>
        <w:t>(1), p.1.</w:t>
      </w:r>
    </w:p>
    <w:p w14:paraId="24BA0342" w14:textId="77777777" w:rsidR="00824E9A" w:rsidRDefault="00824E9A" w:rsidP="00824E9A">
      <w:pPr>
        <w:pStyle w:val="NormalWeb"/>
        <w:spacing w:before="240" w:beforeAutospacing="0" w:after="0" w:afterAutospacing="0" w:line="360" w:lineRule="auto"/>
        <w:jc w:val="both"/>
      </w:pPr>
      <w:r>
        <w:rPr>
          <w:color w:val="000000"/>
        </w:rPr>
        <w:t xml:space="preserve">Schoen, E.J., 2017. The 2007–2009 financial crisis: An erosion of ethics: A case study. </w:t>
      </w:r>
      <w:r>
        <w:rPr>
          <w:i/>
          <w:iCs/>
          <w:color w:val="000000"/>
        </w:rPr>
        <w:t>Journal of Business Ethics</w:t>
      </w:r>
      <w:r>
        <w:rPr>
          <w:color w:val="000000"/>
        </w:rPr>
        <w:t xml:space="preserve">, </w:t>
      </w:r>
      <w:r>
        <w:rPr>
          <w:i/>
          <w:iCs/>
          <w:color w:val="000000"/>
        </w:rPr>
        <w:t>146</w:t>
      </w:r>
      <w:r>
        <w:rPr>
          <w:color w:val="000000"/>
        </w:rPr>
        <w:t>(4), pp.805-830.</w:t>
      </w:r>
    </w:p>
    <w:p w14:paraId="0F1BCF59" w14:textId="77777777" w:rsidR="00824E9A" w:rsidRDefault="00824E9A" w:rsidP="00824E9A">
      <w:pPr>
        <w:pStyle w:val="NormalWeb"/>
        <w:spacing w:before="240" w:beforeAutospacing="0" w:after="0" w:afterAutospacing="0" w:line="360" w:lineRule="auto"/>
        <w:jc w:val="both"/>
      </w:pPr>
      <w:r>
        <w:rPr>
          <w:color w:val="000000"/>
          <w:shd w:val="clear" w:color="auto" w:fill="FFFFFF"/>
        </w:rPr>
        <w:t xml:space="preserve">Scholarship.law.unc.edu. 2022. </w:t>
      </w:r>
      <w:r>
        <w:rPr>
          <w:i/>
          <w:iCs/>
          <w:color w:val="000000"/>
        </w:rPr>
        <w:t>North Carolina Banking Institute | University of North Carolina School of Law</w:t>
      </w:r>
      <w:r>
        <w:rPr>
          <w:color w:val="000000"/>
        </w:rPr>
        <w:t>. [online] Available at: &lt;https://scholarship.law.unc.edu/ncbi/?utm_source=scholarship.law.unc.edu%2Fncbi%2Fvol18%2Fiss1%2F19&amp;utm_medium=PDF&amp;utm_campaign=PDFCoverPages&gt; [Accessed 22 April 2022].</w:t>
      </w:r>
    </w:p>
    <w:p w14:paraId="38EE510A" w14:textId="77777777" w:rsidR="00824E9A" w:rsidRDefault="00824E9A" w:rsidP="00824E9A">
      <w:pPr>
        <w:pStyle w:val="NormalWeb"/>
        <w:spacing w:before="240" w:beforeAutospacing="0" w:after="0" w:afterAutospacing="0" w:line="360" w:lineRule="auto"/>
        <w:jc w:val="both"/>
      </w:pPr>
      <w:r>
        <w:rPr>
          <w:color w:val="000000"/>
        </w:rPr>
        <w:t xml:space="preserve">TEKİN, H., 2020. Firm size and dividend policy of European firms: evidence from financial crises. </w:t>
      </w:r>
      <w:r>
        <w:rPr>
          <w:i/>
          <w:iCs/>
          <w:color w:val="000000"/>
        </w:rPr>
        <w:t>Marmara Üniversitesi Avrupa Topluluğu Enstitüsü Avrupa Araştırmaları Dergisi</w:t>
      </w:r>
      <w:r>
        <w:rPr>
          <w:color w:val="000000"/>
        </w:rPr>
        <w:t xml:space="preserve">, </w:t>
      </w:r>
      <w:r>
        <w:rPr>
          <w:i/>
          <w:iCs/>
          <w:color w:val="000000"/>
        </w:rPr>
        <w:t>28</w:t>
      </w:r>
      <w:r>
        <w:rPr>
          <w:color w:val="000000"/>
        </w:rPr>
        <w:t>(1), pp.109-121.</w:t>
      </w:r>
    </w:p>
    <w:p w14:paraId="29A7BFF4" w14:textId="77777777" w:rsidR="00824E9A" w:rsidRDefault="00824E9A" w:rsidP="00824E9A">
      <w:pPr>
        <w:pStyle w:val="NormalWeb"/>
        <w:spacing w:before="240" w:beforeAutospacing="0" w:after="0" w:afterAutospacing="0" w:line="360" w:lineRule="auto"/>
        <w:jc w:val="both"/>
      </w:pPr>
      <w:r>
        <w:rPr>
          <w:color w:val="000000"/>
        </w:rPr>
        <w:t xml:space="preserve">Varga, D., 2017. Fintech, the new era of financial services. </w:t>
      </w:r>
      <w:r>
        <w:rPr>
          <w:i/>
          <w:iCs/>
          <w:color w:val="000000"/>
        </w:rPr>
        <w:t>Vezetéstudomány-Budapest Management Review</w:t>
      </w:r>
      <w:r>
        <w:rPr>
          <w:color w:val="000000"/>
        </w:rPr>
        <w:t xml:space="preserve">, </w:t>
      </w:r>
      <w:r>
        <w:rPr>
          <w:i/>
          <w:iCs/>
          <w:color w:val="000000"/>
        </w:rPr>
        <w:t>48</w:t>
      </w:r>
      <w:r>
        <w:rPr>
          <w:color w:val="000000"/>
        </w:rPr>
        <w:t>(11), pp.22-32.</w:t>
      </w:r>
    </w:p>
    <w:p w14:paraId="237BCCE2" w14:textId="77777777" w:rsidR="00824E9A" w:rsidRDefault="00824E9A" w:rsidP="00824E9A">
      <w:pPr>
        <w:pStyle w:val="NormalWeb"/>
        <w:spacing w:before="240" w:beforeAutospacing="0" w:after="0" w:afterAutospacing="0" w:line="360" w:lineRule="auto"/>
        <w:jc w:val="both"/>
      </w:pPr>
      <w:r>
        <w:rPr>
          <w:color w:val="000000"/>
          <w:shd w:val="clear" w:color="auto" w:fill="FFFFFF"/>
        </w:rPr>
        <w:t xml:space="preserve">Vizologi | rethinking business model design. 2022. </w:t>
      </w:r>
      <w:r>
        <w:rPr>
          <w:i/>
          <w:iCs/>
          <w:color w:val="000000"/>
        </w:rPr>
        <w:t>Barclays business model canvas</w:t>
      </w:r>
      <w:r>
        <w:rPr>
          <w:color w:val="000000"/>
        </w:rPr>
        <w:t>. [online] Available at: &lt;https://vizologi.com/business-strategy-canvas/barclays-business-model-canvas/&gt; [Accessed 22 April 2022].</w:t>
      </w:r>
    </w:p>
    <w:p w14:paraId="5F6FBA63" w14:textId="77777777" w:rsidR="00824E9A" w:rsidRDefault="00824E9A" w:rsidP="00824E9A">
      <w:pPr>
        <w:pStyle w:val="NormalWeb"/>
        <w:spacing w:before="240" w:beforeAutospacing="0" w:after="0" w:afterAutospacing="0" w:line="360" w:lineRule="auto"/>
        <w:jc w:val="both"/>
      </w:pPr>
      <w:r>
        <w:rPr>
          <w:color w:val="000000"/>
        </w:rPr>
        <w:t xml:space="preserve">Zachosova, N., 2019. Innovative approach in the estimatology of financial institutions economic security: possibilities of use in management and regulatory activity within the means of provision of the state financial security. </w:t>
      </w:r>
      <w:r>
        <w:rPr>
          <w:i/>
          <w:iCs/>
          <w:color w:val="000000"/>
        </w:rPr>
        <w:t>Baltic Journal of Economic Studies</w:t>
      </w:r>
      <w:r>
        <w:rPr>
          <w:color w:val="000000"/>
        </w:rPr>
        <w:t xml:space="preserve">, </w:t>
      </w:r>
      <w:r>
        <w:rPr>
          <w:i/>
          <w:iCs/>
          <w:color w:val="000000"/>
        </w:rPr>
        <w:t>5</w:t>
      </w:r>
      <w:r>
        <w:rPr>
          <w:color w:val="000000"/>
        </w:rPr>
        <w:t>(2), pp.45-56.</w:t>
      </w:r>
    </w:p>
    <w:p w14:paraId="5C4E6252" w14:textId="77777777" w:rsidR="00F9133C" w:rsidRDefault="00F9133C">
      <w:pPr>
        <w:pStyle w:val="Normal1"/>
      </w:pPr>
    </w:p>
    <w:sectPr w:rsidR="00F9133C" w:rsidSect="00F9133C">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C442C" w14:textId="77777777" w:rsidR="008E6226" w:rsidRDefault="008E6226" w:rsidP="00241348">
      <w:pPr>
        <w:spacing w:line="240" w:lineRule="auto"/>
      </w:pPr>
      <w:r>
        <w:separator/>
      </w:r>
    </w:p>
  </w:endnote>
  <w:endnote w:type="continuationSeparator" w:id="0">
    <w:p w14:paraId="157D1A49" w14:textId="77777777" w:rsidR="008E6226" w:rsidRDefault="008E6226" w:rsidP="002413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07380"/>
      <w:docPartObj>
        <w:docPartGallery w:val="Page Numbers (Bottom of Page)"/>
        <w:docPartUnique/>
      </w:docPartObj>
    </w:sdtPr>
    <w:sdtEndPr/>
    <w:sdtContent>
      <w:p w14:paraId="0E616C98" w14:textId="77777777" w:rsidR="000C67DF" w:rsidRDefault="00D11581">
        <w:pPr>
          <w:pStyle w:val="Footer"/>
          <w:jc w:val="right"/>
        </w:pPr>
        <w:r>
          <w:fldChar w:fldCharType="begin"/>
        </w:r>
        <w:r>
          <w:instrText xml:space="preserve"> PAGE   \* MERGEFORMAT </w:instrText>
        </w:r>
        <w:r>
          <w:fldChar w:fldCharType="separate"/>
        </w:r>
        <w:r w:rsidR="00176D81">
          <w:rPr>
            <w:noProof/>
          </w:rPr>
          <w:t>1</w:t>
        </w:r>
        <w:r>
          <w:rPr>
            <w:noProof/>
          </w:rPr>
          <w:fldChar w:fldCharType="end"/>
        </w:r>
      </w:p>
    </w:sdtContent>
  </w:sdt>
  <w:p w14:paraId="4A8FB6FE" w14:textId="77777777" w:rsidR="000C67DF" w:rsidRDefault="000C6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A1702" w14:textId="77777777" w:rsidR="008E6226" w:rsidRDefault="008E6226" w:rsidP="00241348">
      <w:pPr>
        <w:spacing w:line="240" w:lineRule="auto"/>
      </w:pPr>
      <w:r>
        <w:separator/>
      </w:r>
    </w:p>
  </w:footnote>
  <w:footnote w:type="continuationSeparator" w:id="0">
    <w:p w14:paraId="77E6C26F" w14:textId="77777777" w:rsidR="008E6226" w:rsidRDefault="008E6226" w:rsidP="0024134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133C"/>
    <w:rsid w:val="000C67DF"/>
    <w:rsid w:val="00176D81"/>
    <w:rsid w:val="001C59D5"/>
    <w:rsid w:val="00241348"/>
    <w:rsid w:val="00304EFE"/>
    <w:rsid w:val="00320D00"/>
    <w:rsid w:val="003352CF"/>
    <w:rsid w:val="004339E0"/>
    <w:rsid w:val="00824E9A"/>
    <w:rsid w:val="008E6226"/>
    <w:rsid w:val="00D11581"/>
    <w:rsid w:val="00F9133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D717E"/>
  <w15:docId w15:val="{B83290D4-C9C4-5042-85C9-8782CCD51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EFE"/>
  </w:style>
  <w:style w:type="paragraph" w:styleId="Heading1">
    <w:name w:val="heading 1"/>
    <w:basedOn w:val="Normal1"/>
    <w:next w:val="Normal1"/>
    <w:rsid w:val="00F9133C"/>
    <w:pPr>
      <w:keepNext/>
      <w:keepLines/>
      <w:spacing w:before="400" w:after="120"/>
      <w:outlineLvl w:val="0"/>
    </w:pPr>
    <w:rPr>
      <w:b/>
      <w:sz w:val="28"/>
      <w:szCs w:val="28"/>
    </w:rPr>
  </w:style>
  <w:style w:type="paragraph" w:styleId="Heading2">
    <w:name w:val="heading 2"/>
    <w:basedOn w:val="Normal1"/>
    <w:next w:val="Normal1"/>
    <w:rsid w:val="00F9133C"/>
    <w:pPr>
      <w:keepNext/>
      <w:keepLines/>
      <w:spacing w:before="360" w:after="120"/>
      <w:outlineLvl w:val="1"/>
    </w:pPr>
    <w:rPr>
      <w:b/>
    </w:rPr>
  </w:style>
  <w:style w:type="paragraph" w:styleId="Heading3">
    <w:name w:val="heading 3"/>
    <w:basedOn w:val="Normal1"/>
    <w:next w:val="Normal1"/>
    <w:rsid w:val="00F9133C"/>
    <w:pPr>
      <w:keepNext/>
      <w:keepLines/>
      <w:spacing w:before="320" w:after="80"/>
      <w:outlineLvl w:val="2"/>
    </w:pPr>
    <w:rPr>
      <w:color w:val="434343"/>
      <w:sz w:val="28"/>
      <w:szCs w:val="28"/>
    </w:rPr>
  </w:style>
  <w:style w:type="paragraph" w:styleId="Heading4">
    <w:name w:val="heading 4"/>
    <w:basedOn w:val="Normal1"/>
    <w:next w:val="Normal1"/>
    <w:rsid w:val="00F9133C"/>
    <w:pPr>
      <w:keepNext/>
      <w:keepLines/>
      <w:spacing w:before="280" w:after="80"/>
      <w:outlineLvl w:val="3"/>
    </w:pPr>
    <w:rPr>
      <w:color w:val="666666"/>
    </w:rPr>
  </w:style>
  <w:style w:type="paragraph" w:styleId="Heading5">
    <w:name w:val="heading 5"/>
    <w:basedOn w:val="Normal1"/>
    <w:next w:val="Normal1"/>
    <w:rsid w:val="00F9133C"/>
    <w:pPr>
      <w:keepNext/>
      <w:keepLines/>
      <w:spacing w:before="240" w:after="80"/>
      <w:outlineLvl w:val="4"/>
    </w:pPr>
    <w:rPr>
      <w:color w:val="666666"/>
      <w:sz w:val="22"/>
      <w:szCs w:val="22"/>
    </w:rPr>
  </w:style>
  <w:style w:type="paragraph" w:styleId="Heading6">
    <w:name w:val="heading 6"/>
    <w:basedOn w:val="Normal1"/>
    <w:next w:val="Normal1"/>
    <w:rsid w:val="00F9133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9133C"/>
  </w:style>
  <w:style w:type="paragraph" w:styleId="Title">
    <w:name w:val="Title"/>
    <w:basedOn w:val="Normal1"/>
    <w:next w:val="Normal1"/>
    <w:rsid w:val="00F9133C"/>
    <w:pPr>
      <w:keepNext/>
      <w:keepLines/>
      <w:spacing w:after="60"/>
    </w:pPr>
    <w:rPr>
      <w:sz w:val="52"/>
      <w:szCs w:val="52"/>
    </w:rPr>
  </w:style>
  <w:style w:type="paragraph" w:styleId="Subtitle">
    <w:name w:val="Subtitle"/>
    <w:basedOn w:val="Normal1"/>
    <w:next w:val="Normal1"/>
    <w:rsid w:val="00F9133C"/>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24134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41348"/>
  </w:style>
  <w:style w:type="paragraph" w:styleId="Footer">
    <w:name w:val="footer"/>
    <w:basedOn w:val="Normal"/>
    <w:link w:val="FooterChar"/>
    <w:uiPriority w:val="99"/>
    <w:unhideWhenUsed/>
    <w:rsid w:val="00241348"/>
    <w:pPr>
      <w:tabs>
        <w:tab w:val="center" w:pos="4680"/>
        <w:tab w:val="right" w:pos="9360"/>
      </w:tabs>
      <w:spacing w:line="240" w:lineRule="auto"/>
    </w:pPr>
  </w:style>
  <w:style w:type="character" w:customStyle="1" w:styleId="FooterChar">
    <w:name w:val="Footer Char"/>
    <w:basedOn w:val="DefaultParagraphFont"/>
    <w:link w:val="Footer"/>
    <w:uiPriority w:val="99"/>
    <w:rsid w:val="00241348"/>
  </w:style>
  <w:style w:type="paragraph" w:styleId="TOCHeading">
    <w:name w:val="TOC Heading"/>
    <w:basedOn w:val="Heading1"/>
    <w:next w:val="Normal"/>
    <w:uiPriority w:val="39"/>
    <w:semiHidden/>
    <w:unhideWhenUsed/>
    <w:qFormat/>
    <w:rsid w:val="00241348"/>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241348"/>
    <w:pPr>
      <w:spacing w:after="100"/>
    </w:pPr>
  </w:style>
  <w:style w:type="paragraph" w:styleId="TOC2">
    <w:name w:val="toc 2"/>
    <w:basedOn w:val="Normal"/>
    <w:next w:val="Normal"/>
    <w:autoRedefine/>
    <w:uiPriority w:val="39"/>
    <w:unhideWhenUsed/>
    <w:rsid w:val="00241348"/>
    <w:pPr>
      <w:spacing w:after="100"/>
      <w:ind w:left="240"/>
    </w:pPr>
  </w:style>
  <w:style w:type="character" w:styleId="Hyperlink">
    <w:name w:val="Hyperlink"/>
    <w:basedOn w:val="DefaultParagraphFont"/>
    <w:uiPriority w:val="99"/>
    <w:unhideWhenUsed/>
    <w:rsid w:val="00241348"/>
    <w:rPr>
      <w:color w:val="0000FF" w:themeColor="hyperlink"/>
      <w:u w:val="single"/>
    </w:rPr>
  </w:style>
  <w:style w:type="paragraph" w:styleId="BalloonText">
    <w:name w:val="Balloon Text"/>
    <w:basedOn w:val="Normal"/>
    <w:link w:val="BalloonTextChar"/>
    <w:uiPriority w:val="99"/>
    <w:semiHidden/>
    <w:unhideWhenUsed/>
    <w:rsid w:val="002413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1348"/>
    <w:rPr>
      <w:rFonts w:ascii="Tahoma" w:hAnsi="Tahoma" w:cs="Tahoma"/>
      <w:sz w:val="16"/>
      <w:szCs w:val="16"/>
    </w:rPr>
  </w:style>
  <w:style w:type="paragraph" w:styleId="NormalWeb">
    <w:name w:val="Normal (Web)"/>
    <w:basedOn w:val="Normal"/>
    <w:uiPriority w:val="99"/>
    <w:semiHidden/>
    <w:unhideWhenUsed/>
    <w:rsid w:val="00824E9A"/>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1798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16A95C-EBC2-46EC-88A4-055A35B87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5671</Words>
  <Characters>32388</Characters>
  <Application>Microsoft Office Word</Application>
  <DocSecurity>0</DocSecurity>
  <Lines>462</Lines>
  <Paragraphs>110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37949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4</cp:revision>
  <dcterms:created xsi:type="dcterms:W3CDTF">2022-04-22T13:35:00Z</dcterms:created>
  <dcterms:modified xsi:type="dcterms:W3CDTF">2022-04-29T09:16:00Z</dcterms:modified>
  <cp:category/>
</cp:coreProperties>
</file>