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AAAB7" w14:textId="5815A0EA" w:rsidR="002760D6" w:rsidRPr="00361848" w:rsidRDefault="544A0A26" w:rsidP="5E76CA97">
      <w:pPr>
        <w:rPr>
          <w:rFonts w:asciiTheme="minorBidi" w:hAnsiTheme="minorBidi" w:cstheme="minorBidi"/>
          <w:i/>
          <w:iCs/>
          <w:lang w:val="fr-FR"/>
        </w:rPr>
      </w:pPr>
      <w:r w:rsidRPr="5E76CA97">
        <w:rPr>
          <w:rFonts w:asciiTheme="minorBidi" w:hAnsiTheme="minorBidi" w:cstheme="minorBidi"/>
          <w:b/>
          <w:bCs/>
          <w:sz w:val="36"/>
          <w:szCs w:val="36"/>
          <w:lang w:val="fr-FR"/>
        </w:rPr>
        <w:t xml:space="preserve">Module </w:t>
      </w:r>
      <w:r w:rsidR="13FD4029" w:rsidRPr="5E76CA97">
        <w:rPr>
          <w:rFonts w:asciiTheme="minorBidi" w:hAnsiTheme="minorBidi" w:cstheme="minorBidi"/>
          <w:b/>
          <w:bCs/>
          <w:sz w:val="36"/>
          <w:szCs w:val="36"/>
          <w:lang w:val="fr-FR"/>
        </w:rPr>
        <w:t>Name :</w:t>
      </w:r>
      <w:r w:rsidRPr="5E76CA97">
        <w:rPr>
          <w:rFonts w:asciiTheme="minorBidi" w:eastAsia="Source Sans Pro" w:hAnsiTheme="minorBidi" w:cstheme="minorBidi"/>
          <w:color w:val="242130"/>
          <w:sz w:val="21"/>
          <w:szCs w:val="21"/>
          <w:lang w:val="fr-FR"/>
        </w:rPr>
        <w:t xml:space="preserve"> </w:t>
      </w:r>
      <w:r w:rsidRPr="5E76CA97">
        <w:rPr>
          <w:rFonts w:asciiTheme="minorBidi" w:hAnsiTheme="minorBidi" w:cstheme="minorBidi"/>
          <w:i/>
          <w:iCs/>
          <w:sz w:val="36"/>
          <w:szCs w:val="36"/>
          <w:lang w:val="fr-FR"/>
        </w:rPr>
        <w:t>Organisational Culture</w:t>
      </w:r>
    </w:p>
    <w:p w14:paraId="3CA17602" w14:textId="4A1916BB" w:rsidR="002760D6" w:rsidRPr="00361848" w:rsidRDefault="544A0A26" w:rsidP="5E76CA97">
      <w:pPr>
        <w:rPr>
          <w:rFonts w:asciiTheme="minorBidi" w:hAnsiTheme="minorBidi" w:cstheme="minorBidi"/>
          <w:lang w:val="fr-FR"/>
        </w:rPr>
      </w:pPr>
      <w:r w:rsidRPr="5E76CA97">
        <w:rPr>
          <w:rFonts w:asciiTheme="minorBidi" w:hAnsiTheme="minorBidi" w:cstheme="minorBidi"/>
          <w:b/>
          <w:bCs/>
          <w:sz w:val="36"/>
          <w:szCs w:val="36"/>
          <w:lang w:val="fr-FR"/>
        </w:rPr>
        <w:t xml:space="preserve">Module </w:t>
      </w:r>
      <w:r w:rsidR="1B14E894" w:rsidRPr="5E76CA97">
        <w:rPr>
          <w:rFonts w:asciiTheme="minorBidi" w:hAnsiTheme="minorBidi" w:cstheme="minorBidi"/>
          <w:b/>
          <w:bCs/>
          <w:sz w:val="36"/>
          <w:szCs w:val="36"/>
          <w:lang w:val="fr-FR"/>
        </w:rPr>
        <w:t>Code :</w:t>
      </w:r>
      <w:r w:rsidRPr="5E76CA97">
        <w:rPr>
          <w:rFonts w:asciiTheme="minorBidi" w:eastAsia="Source Sans Pro" w:hAnsiTheme="minorBidi" w:cstheme="minorBidi"/>
          <w:i/>
          <w:iCs/>
          <w:color w:val="242130"/>
          <w:lang w:val="fr-FR"/>
        </w:rPr>
        <w:t xml:space="preserve"> </w:t>
      </w:r>
      <w:r w:rsidRPr="5E76CA97">
        <w:rPr>
          <w:rFonts w:asciiTheme="minorBidi" w:hAnsiTheme="minorBidi" w:cstheme="minorBidi"/>
          <w:i/>
          <w:iCs/>
          <w:sz w:val="36"/>
          <w:szCs w:val="36"/>
          <w:lang w:val="fr-FR"/>
        </w:rPr>
        <w:t>LCLM5005</w:t>
      </w:r>
    </w:p>
    <w:p w14:paraId="05CCC873" w14:textId="6129AA48" w:rsidR="002760D6" w:rsidRPr="00361848" w:rsidRDefault="321297F4" w:rsidP="0AAF2C69">
      <w:pPr>
        <w:rPr>
          <w:rFonts w:asciiTheme="minorBidi" w:hAnsiTheme="minorBidi" w:cstheme="minorBidi"/>
          <w:lang w:val="fr-FR"/>
        </w:rPr>
      </w:pPr>
      <w:r w:rsidRPr="00361848">
        <w:rPr>
          <w:rFonts w:asciiTheme="minorBidi" w:hAnsiTheme="minorBidi" w:cstheme="minorBidi"/>
          <w:b/>
          <w:bCs/>
          <w:sz w:val="36"/>
          <w:szCs w:val="36"/>
          <w:lang w:val="fr"/>
        </w:rPr>
        <w:t xml:space="preserve"> </w:t>
      </w:r>
    </w:p>
    <w:p w14:paraId="1288285F" w14:textId="205FF065" w:rsidR="002760D6" w:rsidRPr="00361848" w:rsidRDefault="321297F4" w:rsidP="0AAF2C69">
      <w:pPr>
        <w:rPr>
          <w:rFonts w:asciiTheme="minorBidi" w:hAnsiTheme="minorBidi" w:cstheme="minorBidi"/>
          <w:lang w:val="fr-FR"/>
        </w:rPr>
      </w:pPr>
      <w:r w:rsidRPr="00361848">
        <w:rPr>
          <w:rFonts w:asciiTheme="minorBidi" w:hAnsiTheme="minorBidi" w:cstheme="minorBidi"/>
          <w:b/>
          <w:bCs/>
          <w:sz w:val="36"/>
          <w:szCs w:val="36"/>
          <w:lang w:val="fr"/>
        </w:rPr>
        <w:t xml:space="preserve"> </w:t>
      </w:r>
    </w:p>
    <w:p w14:paraId="28FBE0C3" w14:textId="67A1117A" w:rsidR="002760D6" w:rsidRPr="00361848" w:rsidRDefault="321297F4" w:rsidP="0AAF2C69">
      <w:pPr>
        <w:rPr>
          <w:rFonts w:asciiTheme="minorBidi" w:hAnsiTheme="minorBidi" w:cstheme="minorBidi"/>
          <w:lang w:val="fr-FR"/>
        </w:rPr>
      </w:pPr>
      <w:r w:rsidRPr="00361848">
        <w:rPr>
          <w:rFonts w:asciiTheme="minorBidi" w:hAnsiTheme="minorBidi" w:cstheme="minorBidi"/>
          <w:b/>
          <w:bCs/>
          <w:sz w:val="36"/>
          <w:szCs w:val="36"/>
          <w:lang w:val="fr"/>
        </w:rPr>
        <w:t xml:space="preserve"> </w:t>
      </w:r>
    </w:p>
    <w:p w14:paraId="2CDC5CB7" w14:textId="77777777" w:rsidR="00361848" w:rsidRDefault="00361848" w:rsidP="0AAF2C69">
      <w:pPr>
        <w:jc w:val="center"/>
        <w:rPr>
          <w:rFonts w:asciiTheme="minorBidi" w:hAnsiTheme="minorBidi" w:cstheme="minorBidi"/>
          <w:b/>
          <w:bCs/>
          <w:sz w:val="56"/>
          <w:szCs w:val="56"/>
          <w:u w:val="single"/>
          <w:lang w:val="fr-FR"/>
        </w:rPr>
      </w:pPr>
      <w:r w:rsidRPr="00361848">
        <w:rPr>
          <w:rFonts w:asciiTheme="minorBidi" w:hAnsiTheme="minorBidi" w:cstheme="minorBidi"/>
          <w:b/>
          <w:bCs/>
          <w:sz w:val="56"/>
          <w:szCs w:val="56"/>
          <w:u w:val="single"/>
          <w:lang w:val="fr-FR"/>
        </w:rPr>
        <w:t>Assignment Title:</w:t>
      </w:r>
    </w:p>
    <w:p w14:paraId="53AA1F73" w14:textId="42BECD72" w:rsidR="002760D6" w:rsidRDefault="321297F4" w:rsidP="0AAF2C69">
      <w:pPr>
        <w:jc w:val="center"/>
        <w:rPr>
          <w:rFonts w:asciiTheme="minorBidi" w:hAnsiTheme="minorBidi" w:cstheme="minorBidi"/>
          <w:b/>
          <w:bCs/>
          <w:sz w:val="56"/>
          <w:szCs w:val="56"/>
          <w:u w:val="single"/>
          <w:lang w:val="fr"/>
        </w:rPr>
      </w:pPr>
      <w:r w:rsidRPr="00361848">
        <w:rPr>
          <w:rFonts w:asciiTheme="minorBidi" w:hAnsiTheme="minorBidi" w:cstheme="minorBidi"/>
          <w:b/>
          <w:bCs/>
          <w:sz w:val="56"/>
          <w:szCs w:val="56"/>
          <w:u w:val="single"/>
          <w:lang w:val="fr"/>
        </w:rPr>
        <w:t>Component 1-</w:t>
      </w:r>
      <w:r w:rsidRPr="00361848">
        <w:rPr>
          <w:rFonts w:asciiTheme="minorBidi" w:hAnsiTheme="minorBidi" w:cstheme="minorBidi"/>
          <w:b/>
          <w:bCs/>
          <w:lang w:val="fr"/>
        </w:rPr>
        <w:t xml:space="preserve"> </w:t>
      </w:r>
      <w:r w:rsidRPr="00361848">
        <w:rPr>
          <w:rFonts w:asciiTheme="minorBidi" w:hAnsiTheme="minorBidi" w:cstheme="minorBidi"/>
          <w:b/>
          <w:bCs/>
          <w:sz w:val="56"/>
          <w:szCs w:val="56"/>
          <w:u w:val="single"/>
          <w:lang w:val="fr"/>
        </w:rPr>
        <w:t>Report</w:t>
      </w:r>
    </w:p>
    <w:p w14:paraId="4B9C0FD4" w14:textId="77777777" w:rsidR="00DA65B9" w:rsidRPr="00361848" w:rsidRDefault="00DA65B9" w:rsidP="0AAF2C69">
      <w:pPr>
        <w:jc w:val="center"/>
        <w:rPr>
          <w:rFonts w:asciiTheme="minorBidi" w:hAnsiTheme="minorBidi" w:cstheme="minorBidi"/>
          <w:b/>
          <w:bCs/>
          <w:lang w:val="fr-FR"/>
        </w:rPr>
      </w:pPr>
    </w:p>
    <w:p w14:paraId="49192CC5" w14:textId="1D3CE30B" w:rsidR="002760D6" w:rsidRPr="00DA65B9" w:rsidRDefault="321297F4" w:rsidP="0AAF2C69">
      <w:pPr>
        <w:jc w:val="center"/>
        <w:rPr>
          <w:rFonts w:asciiTheme="minorBidi" w:hAnsiTheme="minorBidi" w:cstheme="minorBidi"/>
          <w:color w:val="0070C0"/>
          <w:lang w:val="fr-FR"/>
        </w:rPr>
      </w:pPr>
      <w:r w:rsidRPr="00DA65B9">
        <w:rPr>
          <w:rFonts w:asciiTheme="minorBidi" w:hAnsiTheme="minorBidi" w:cstheme="minorBidi"/>
          <w:b/>
          <w:bCs/>
          <w:i/>
          <w:iCs/>
          <w:color w:val="0070C0"/>
          <w:sz w:val="48"/>
          <w:szCs w:val="48"/>
          <w:lang w:val="fr-FR"/>
        </w:rPr>
        <w:t>Walmart’s Organisational Culture</w:t>
      </w:r>
    </w:p>
    <w:p w14:paraId="37AB1230" w14:textId="5CDE04F1" w:rsidR="002760D6" w:rsidRDefault="321297F4" w:rsidP="0AAF2C69">
      <w:pPr>
        <w:rPr>
          <w:rFonts w:asciiTheme="minorBidi" w:hAnsiTheme="minorBidi" w:cstheme="minorBidi"/>
          <w:b/>
          <w:bCs/>
          <w:sz w:val="52"/>
          <w:szCs w:val="52"/>
          <w:lang w:val="fr"/>
        </w:rPr>
      </w:pPr>
      <w:r w:rsidRPr="00361848">
        <w:rPr>
          <w:rFonts w:asciiTheme="minorBidi" w:hAnsiTheme="minorBidi" w:cstheme="minorBidi"/>
          <w:b/>
          <w:bCs/>
          <w:sz w:val="52"/>
          <w:szCs w:val="52"/>
          <w:lang w:val="fr"/>
        </w:rPr>
        <w:t xml:space="preserve"> </w:t>
      </w:r>
    </w:p>
    <w:p w14:paraId="38F21727" w14:textId="77777777" w:rsidR="00361848" w:rsidRPr="00361848" w:rsidRDefault="00361848" w:rsidP="0AAF2C69">
      <w:pPr>
        <w:rPr>
          <w:rFonts w:asciiTheme="minorBidi" w:hAnsiTheme="minorBidi" w:cstheme="minorBidi"/>
          <w:lang w:val="fr-FR"/>
        </w:rPr>
      </w:pPr>
    </w:p>
    <w:p w14:paraId="5ABA10FF" w14:textId="25089FCF" w:rsidR="002760D6" w:rsidRDefault="544A0A26" w:rsidP="5E76CA97">
      <w:pPr>
        <w:rPr>
          <w:rFonts w:asciiTheme="minorBidi" w:hAnsiTheme="minorBidi" w:cstheme="minorBidi"/>
          <w:i/>
          <w:iCs/>
          <w:sz w:val="40"/>
          <w:szCs w:val="40"/>
          <w:lang w:val="fr-FR"/>
        </w:rPr>
      </w:pPr>
      <w:r w:rsidRPr="5E76CA97">
        <w:rPr>
          <w:rFonts w:asciiTheme="minorBidi" w:hAnsiTheme="minorBidi" w:cstheme="minorBidi"/>
          <w:b/>
          <w:bCs/>
          <w:sz w:val="40"/>
          <w:szCs w:val="40"/>
          <w:lang w:val="fr-FR"/>
        </w:rPr>
        <w:t xml:space="preserve">Lecturer’s </w:t>
      </w:r>
      <w:r w:rsidR="22FBA339" w:rsidRPr="5E76CA97">
        <w:rPr>
          <w:rFonts w:asciiTheme="minorBidi" w:hAnsiTheme="minorBidi" w:cstheme="minorBidi"/>
          <w:b/>
          <w:bCs/>
          <w:sz w:val="40"/>
          <w:szCs w:val="40"/>
          <w:lang w:val="fr-FR"/>
        </w:rPr>
        <w:t>Name :</w:t>
      </w:r>
      <w:r w:rsidRPr="5E76CA97">
        <w:rPr>
          <w:rFonts w:asciiTheme="minorBidi" w:hAnsiTheme="minorBidi" w:cstheme="minorBidi"/>
          <w:b/>
          <w:bCs/>
          <w:sz w:val="40"/>
          <w:szCs w:val="40"/>
          <w:lang w:val="fr-FR"/>
        </w:rPr>
        <w:t xml:space="preserve"> </w:t>
      </w:r>
      <w:r w:rsidRPr="5E76CA97">
        <w:rPr>
          <w:rFonts w:asciiTheme="minorBidi" w:hAnsiTheme="minorBidi" w:cstheme="minorBidi"/>
          <w:i/>
          <w:iCs/>
          <w:sz w:val="40"/>
          <w:szCs w:val="40"/>
          <w:lang w:val="fr-FR"/>
        </w:rPr>
        <w:t>David Oyebisi</w:t>
      </w:r>
    </w:p>
    <w:p w14:paraId="6491FD24" w14:textId="77777777" w:rsidR="00361848" w:rsidRPr="00361848" w:rsidRDefault="00361848" w:rsidP="0AAF2C69">
      <w:pPr>
        <w:rPr>
          <w:rFonts w:asciiTheme="minorBidi" w:hAnsiTheme="minorBidi" w:cstheme="minorBidi"/>
          <w:lang w:val="fr-FR"/>
        </w:rPr>
      </w:pPr>
    </w:p>
    <w:p w14:paraId="3884C224" w14:textId="3524948E" w:rsidR="002760D6" w:rsidRPr="00361848" w:rsidRDefault="544A0A26" w:rsidP="5E76CA97">
      <w:pPr>
        <w:rPr>
          <w:rFonts w:asciiTheme="minorBidi" w:hAnsiTheme="minorBidi" w:cstheme="minorBidi"/>
          <w:lang w:val="fr-FR"/>
        </w:rPr>
      </w:pPr>
      <w:r w:rsidRPr="5E76CA97">
        <w:rPr>
          <w:rFonts w:asciiTheme="minorBidi" w:hAnsiTheme="minorBidi" w:cstheme="minorBidi"/>
          <w:b/>
          <w:bCs/>
          <w:sz w:val="40"/>
          <w:szCs w:val="40"/>
          <w:lang w:val="fr-FR"/>
        </w:rPr>
        <w:t xml:space="preserve">Student </w:t>
      </w:r>
      <w:r w:rsidR="7435320A" w:rsidRPr="5E76CA97">
        <w:rPr>
          <w:rFonts w:asciiTheme="minorBidi" w:hAnsiTheme="minorBidi" w:cstheme="minorBidi"/>
          <w:b/>
          <w:bCs/>
          <w:sz w:val="40"/>
          <w:szCs w:val="40"/>
          <w:lang w:val="fr-FR"/>
        </w:rPr>
        <w:t>Name :</w:t>
      </w:r>
      <w:r w:rsidRPr="5E76CA97">
        <w:rPr>
          <w:rFonts w:asciiTheme="minorBidi" w:hAnsiTheme="minorBidi" w:cstheme="minorBidi"/>
          <w:b/>
          <w:bCs/>
          <w:sz w:val="40"/>
          <w:szCs w:val="40"/>
          <w:lang w:val="fr-FR"/>
        </w:rPr>
        <w:t xml:space="preserve"> </w:t>
      </w:r>
      <w:r w:rsidRPr="5E76CA97">
        <w:rPr>
          <w:rFonts w:asciiTheme="minorBidi" w:hAnsiTheme="minorBidi" w:cstheme="minorBidi"/>
          <w:i/>
          <w:iCs/>
          <w:sz w:val="40"/>
          <w:szCs w:val="40"/>
          <w:lang w:val="fr-FR"/>
        </w:rPr>
        <w:t>Pletea Bianca Mihaela</w:t>
      </w:r>
    </w:p>
    <w:p w14:paraId="7B4B0B75" w14:textId="367A2EB6" w:rsidR="002760D6" w:rsidRPr="00361848" w:rsidRDefault="321297F4" w:rsidP="0AAF2C69">
      <w:pPr>
        <w:rPr>
          <w:rFonts w:asciiTheme="minorBidi" w:hAnsiTheme="minorBidi" w:cstheme="minorBidi"/>
          <w:lang w:val="fr-FR"/>
        </w:rPr>
      </w:pPr>
      <w:r w:rsidRPr="00361848">
        <w:rPr>
          <w:rFonts w:asciiTheme="minorBidi" w:hAnsiTheme="minorBidi" w:cstheme="minorBidi"/>
          <w:b/>
          <w:bCs/>
          <w:sz w:val="40"/>
          <w:szCs w:val="40"/>
          <w:lang w:val="fr-FR"/>
        </w:rPr>
        <w:t>Student ID Number:</w:t>
      </w:r>
      <w:r w:rsidRPr="00361848">
        <w:rPr>
          <w:rFonts w:asciiTheme="minorBidi" w:hAnsiTheme="minorBidi" w:cstheme="minorBidi"/>
          <w:i/>
          <w:iCs/>
          <w:sz w:val="40"/>
          <w:szCs w:val="40"/>
          <w:lang w:val="fr-FR"/>
        </w:rPr>
        <w:t xml:space="preserve"> 2323235</w:t>
      </w:r>
    </w:p>
    <w:p w14:paraId="24F7BA0B" w14:textId="0A16A6B4" w:rsidR="002760D6" w:rsidRDefault="321297F4" w:rsidP="0AAF2C69">
      <w:pPr>
        <w:rPr>
          <w:rFonts w:asciiTheme="minorBidi" w:hAnsiTheme="minorBidi" w:cstheme="minorBidi"/>
          <w:b/>
          <w:bCs/>
          <w:sz w:val="40"/>
          <w:szCs w:val="40"/>
          <w:lang w:val="fr-FR"/>
        </w:rPr>
      </w:pPr>
      <w:r w:rsidRPr="00361848">
        <w:rPr>
          <w:rFonts w:asciiTheme="minorBidi" w:hAnsiTheme="minorBidi" w:cstheme="minorBidi"/>
          <w:b/>
          <w:bCs/>
          <w:sz w:val="40"/>
          <w:szCs w:val="40"/>
          <w:lang w:val="fr-FR"/>
        </w:rPr>
        <w:t xml:space="preserve"> </w:t>
      </w:r>
    </w:p>
    <w:p w14:paraId="2816CC6A" w14:textId="77777777" w:rsidR="00361848" w:rsidRPr="00361848" w:rsidRDefault="00361848" w:rsidP="0AAF2C69">
      <w:pPr>
        <w:rPr>
          <w:rFonts w:asciiTheme="minorBidi" w:hAnsiTheme="minorBidi" w:cstheme="minorBidi"/>
          <w:lang w:val="fr-FR"/>
        </w:rPr>
      </w:pPr>
    </w:p>
    <w:p w14:paraId="52117406" w14:textId="78CCBD72" w:rsidR="002760D6" w:rsidRPr="00361848" w:rsidRDefault="321297F4" w:rsidP="21497F3A">
      <w:pPr>
        <w:rPr>
          <w:rFonts w:asciiTheme="minorBidi" w:hAnsiTheme="minorBidi" w:cstheme="minorBidi"/>
        </w:rPr>
      </w:pPr>
      <w:r>
        <w:rPr>
          <w:noProof/>
        </w:rPr>
        <w:drawing>
          <wp:inline distT="0" distB="0" distL="0" distR="0" wp14:anchorId="193735D1" wp14:editId="76190DC8">
            <wp:extent cx="5724525" cy="1390650"/>
            <wp:effectExtent l="0" t="0" r="0" b="0"/>
            <wp:docPr id="636183480" name="drawing"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83480" name=""/>
                    <pic:cNvPicPr/>
                  </pic:nvPicPr>
                  <pic:blipFill>
                    <a:blip r:embed="rId11">
                      <a:extLst>
                        <a:ext uri="{28A0092B-C50C-407E-A947-70E740481C1C}">
                          <a14:useLocalDpi xmlns:a14="http://schemas.microsoft.com/office/drawing/2010/main" val="0"/>
                        </a:ext>
                      </a:extLst>
                    </a:blip>
                    <a:stretch>
                      <a:fillRect/>
                    </a:stretch>
                  </pic:blipFill>
                  <pic:spPr>
                    <a:xfrm>
                      <a:off x="0" y="0"/>
                      <a:ext cx="5724525" cy="1390650"/>
                    </a:xfrm>
                    <a:prstGeom prst="rect">
                      <a:avLst/>
                    </a:prstGeom>
                  </pic:spPr>
                </pic:pic>
              </a:graphicData>
            </a:graphic>
          </wp:inline>
        </w:drawing>
      </w:r>
    </w:p>
    <w:sdt>
      <w:sdtPr>
        <w:rPr>
          <w:rFonts w:ascii="Arial" w:eastAsia="Aptos" w:hAnsi="Arial" w:cs="Arial"/>
          <w:color w:val="auto"/>
          <w:kern w:val="3"/>
          <w:sz w:val="20"/>
          <w:szCs w:val="20"/>
          <w:lang w:eastAsia="en-US"/>
        </w:rPr>
        <w:id w:val="-910998165"/>
        <w:docPartObj>
          <w:docPartGallery w:val="Table of Contents"/>
          <w:docPartUnique/>
        </w:docPartObj>
      </w:sdtPr>
      <w:sdtEndPr>
        <w:rPr>
          <w:rFonts w:ascii="Aptos" w:hAnsi="Aptos"/>
          <w:b/>
          <w:bCs/>
          <w:noProof/>
          <w:sz w:val="24"/>
          <w:szCs w:val="24"/>
        </w:rPr>
      </w:sdtEndPr>
      <w:sdtContent>
        <w:p w14:paraId="2D69BC53" w14:textId="77777777" w:rsidR="005A5D3B" w:rsidRDefault="005A5D3B">
          <w:pPr>
            <w:pStyle w:val="TOCHeading"/>
            <w:rPr>
              <w:rFonts w:ascii="Arial" w:eastAsia="Aptos" w:hAnsi="Arial" w:cs="Arial"/>
              <w:color w:val="auto"/>
              <w:kern w:val="3"/>
              <w:sz w:val="20"/>
              <w:szCs w:val="20"/>
              <w:lang w:eastAsia="en-US"/>
            </w:rPr>
          </w:pPr>
        </w:p>
        <w:p w14:paraId="78F7F385" w14:textId="0450DE38" w:rsidR="00DA65B9" w:rsidRPr="00B04662" w:rsidRDefault="00DA65B9">
          <w:pPr>
            <w:pStyle w:val="TOCHeading"/>
            <w:rPr>
              <w:rFonts w:ascii="Arial" w:eastAsia="Aptos" w:hAnsi="Arial" w:cs="Arial"/>
              <w:color w:val="auto"/>
              <w:kern w:val="3"/>
              <w:sz w:val="36"/>
              <w:szCs w:val="36"/>
              <w:lang w:eastAsia="en-US"/>
            </w:rPr>
          </w:pPr>
          <w:r w:rsidRPr="00B04662">
            <w:rPr>
              <w:rFonts w:ascii="Arial" w:hAnsi="Arial" w:cs="Arial"/>
              <w:b/>
              <w:bCs/>
              <w:sz w:val="36"/>
              <w:szCs w:val="36"/>
            </w:rPr>
            <w:t>Table of Contents</w:t>
          </w:r>
        </w:p>
        <w:p w14:paraId="21B44045" w14:textId="043DF8F6" w:rsidR="005A5D3B" w:rsidRPr="005A5D3B" w:rsidRDefault="00DA65B9">
          <w:pPr>
            <w:pStyle w:val="TOC1"/>
            <w:tabs>
              <w:tab w:val="right" w:leader="dot" w:pos="9016"/>
            </w:tabs>
            <w:rPr>
              <w:rFonts w:ascii="Arial" w:eastAsiaTheme="minorEastAsia" w:hAnsi="Arial"/>
              <w:noProof/>
              <w:kern w:val="2"/>
              <w:sz w:val="20"/>
              <w:szCs w:val="20"/>
              <w:lang w:eastAsia="zh-CN"/>
              <w14:ligatures w14:val="standardContextual"/>
            </w:rPr>
          </w:pPr>
          <w:r w:rsidRPr="005A5D3B">
            <w:rPr>
              <w:rFonts w:ascii="Arial" w:hAnsi="Arial"/>
              <w:sz w:val="20"/>
              <w:szCs w:val="20"/>
            </w:rPr>
            <w:fldChar w:fldCharType="begin"/>
          </w:r>
          <w:r w:rsidRPr="005A5D3B">
            <w:rPr>
              <w:rFonts w:ascii="Arial" w:hAnsi="Arial"/>
              <w:sz w:val="20"/>
              <w:szCs w:val="20"/>
            </w:rPr>
            <w:instrText xml:space="preserve"> TOC \o "1-3" \h \z \u </w:instrText>
          </w:r>
          <w:r w:rsidRPr="005A5D3B">
            <w:rPr>
              <w:rFonts w:ascii="Arial" w:hAnsi="Arial"/>
              <w:sz w:val="20"/>
              <w:szCs w:val="20"/>
            </w:rPr>
            <w:fldChar w:fldCharType="separate"/>
          </w:r>
          <w:hyperlink w:anchor="_Toc213605034" w:history="1">
            <w:r w:rsidR="005A5D3B" w:rsidRPr="005A5D3B">
              <w:rPr>
                <w:rStyle w:val="Hyperlink"/>
                <w:rFonts w:ascii="Arial" w:hAnsi="Arial"/>
                <w:b/>
                <w:bCs/>
                <w:noProof/>
                <w:sz w:val="20"/>
                <w:szCs w:val="20"/>
              </w:rPr>
              <w:t>1. Introduction</w:t>
            </w:r>
            <w:r w:rsidR="005A5D3B" w:rsidRPr="005A5D3B">
              <w:rPr>
                <w:rFonts w:ascii="Arial" w:hAnsi="Arial"/>
                <w:noProof/>
                <w:webHidden/>
                <w:sz w:val="20"/>
                <w:szCs w:val="20"/>
              </w:rPr>
              <w:tab/>
            </w:r>
            <w:r w:rsidR="005A5D3B" w:rsidRPr="005A5D3B">
              <w:rPr>
                <w:rFonts w:ascii="Arial" w:hAnsi="Arial"/>
                <w:noProof/>
                <w:webHidden/>
                <w:sz w:val="20"/>
                <w:szCs w:val="20"/>
              </w:rPr>
              <w:fldChar w:fldCharType="begin"/>
            </w:r>
            <w:r w:rsidR="005A5D3B" w:rsidRPr="005A5D3B">
              <w:rPr>
                <w:rFonts w:ascii="Arial" w:hAnsi="Arial"/>
                <w:noProof/>
                <w:webHidden/>
                <w:sz w:val="20"/>
                <w:szCs w:val="20"/>
              </w:rPr>
              <w:instrText xml:space="preserve"> PAGEREF _Toc213605034 \h </w:instrText>
            </w:r>
            <w:r w:rsidR="005A5D3B" w:rsidRPr="005A5D3B">
              <w:rPr>
                <w:rFonts w:ascii="Arial" w:hAnsi="Arial"/>
                <w:noProof/>
                <w:webHidden/>
                <w:sz w:val="20"/>
                <w:szCs w:val="20"/>
              </w:rPr>
            </w:r>
            <w:r w:rsidR="005A5D3B" w:rsidRPr="005A5D3B">
              <w:rPr>
                <w:rFonts w:ascii="Arial" w:hAnsi="Arial"/>
                <w:noProof/>
                <w:webHidden/>
                <w:sz w:val="20"/>
                <w:szCs w:val="20"/>
              </w:rPr>
              <w:fldChar w:fldCharType="separate"/>
            </w:r>
            <w:r w:rsidR="005A5D3B" w:rsidRPr="005A5D3B">
              <w:rPr>
                <w:rFonts w:ascii="Arial" w:hAnsi="Arial"/>
                <w:noProof/>
                <w:webHidden/>
                <w:sz w:val="20"/>
                <w:szCs w:val="20"/>
              </w:rPr>
              <w:t>2</w:t>
            </w:r>
            <w:r w:rsidR="005A5D3B" w:rsidRPr="005A5D3B">
              <w:rPr>
                <w:rFonts w:ascii="Arial" w:hAnsi="Arial"/>
                <w:noProof/>
                <w:webHidden/>
                <w:sz w:val="20"/>
                <w:szCs w:val="20"/>
              </w:rPr>
              <w:fldChar w:fldCharType="end"/>
            </w:r>
          </w:hyperlink>
        </w:p>
        <w:p w14:paraId="1B124E11" w14:textId="736E023A"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35" w:history="1">
            <w:r w:rsidRPr="005A5D3B">
              <w:rPr>
                <w:rStyle w:val="Hyperlink"/>
                <w:rFonts w:ascii="Arial" w:hAnsi="Arial"/>
                <w:noProof/>
                <w:sz w:val="20"/>
                <w:szCs w:val="20"/>
              </w:rPr>
              <w:t>1.1 Defining Organisational Culture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_Toc213605035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2</w:t>
            </w:r>
            <w:r w:rsidRPr="005A5D3B">
              <w:rPr>
                <w:rFonts w:ascii="Arial" w:hAnsi="Arial"/>
                <w:noProof/>
                <w:webHidden/>
                <w:sz w:val="20"/>
                <w:szCs w:val="20"/>
              </w:rPr>
              <w:fldChar w:fldCharType="end"/>
            </w:r>
          </w:hyperlink>
        </w:p>
        <w:p w14:paraId="2849A217" w14:textId="7D74D813"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36" w:history="1">
            <w:r w:rsidRPr="005A5D3B">
              <w:rPr>
                <w:rStyle w:val="Hyperlink"/>
                <w:rFonts w:ascii="Arial" w:hAnsi="Arial"/>
                <w:noProof/>
                <w:sz w:val="20"/>
                <w:szCs w:val="20"/>
              </w:rPr>
              <w:t>1.2 Walmart’s Cultural Background</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_Toc213605036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2</w:t>
            </w:r>
            <w:r w:rsidRPr="005A5D3B">
              <w:rPr>
                <w:rFonts w:ascii="Arial" w:hAnsi="Arial"/>
                <w:noProof/>
                <w:webHidden/>
                <w:sz w:val="20"/>
                <w:szCs w:val="20"/>
              </w:rPr>
              <w:fldChar w:fldCharType="end"/>
            </w:r>
          </w:hyperlink>
        </w:p>
        <w:p w14:paraId="2BDC23E0" w14:textId="3618EC50"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37" w:history="1">
            <w:r w:rsidRPr="005A5D3B">
              <w:rPr>
                <w:rStyle w:val="Hyperlink"/>
                <w:rFonts w:ascii="Arial" w:hAnsi="Arial"/>
                <w:noProof/>
                <w:sz w:val="20"/>
                <w:szCs w:val="20"/>
              </w:rPr>
              <w:t>1.3 Aims and Structure of the Report</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_Toc213605037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2</w:t>
            </w:r>
            <w:r w:rsidRPr="005A5D3B">
              <w:rPr>
                <w:rFonts w:ascii="Arial" w:hAnsi="Arial"/>
                <w:noProof/>
                <w:webHidden/>
                <w:sz w:val="20"/>
                <w:szCs w:val="20"/>
              </w:rPr>
              <w:fldChar w:fldCharType="end"/>
            </w:r>
          </w:hyperlink>
        </w:p>
        <w:p w14:paraId="375901D9" w14:textId="1553AA47"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38" w:history="1">
            <w:r w:rsidRPr="005A5D3B">
              <w:rPr>
                <w:rStyle w:val="Hyperlink"/>
                <w:rFonts w:ascii="Arial" w:hAnsi="Arial"/>
                <w:b/>
                <w:bCs/>
                <w:noProof/>
                <w:sz w:val="20"/>
                <w:szCs w:val="20"/>
              </w:rPr>
              <w:t>2. Organisational Culture: Theoretical Frameworks and Application to Walmart</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_Toc213605038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3</w:t>
            </w:r>
            <w:r w:rsidRPr="005A5D3B">
              <w:rPr>
                <w:rFonts w:ascii="Arial" w:hAnsi="Arial"/>
                <w:noProof/>
                <w:webHidden/>
                <w:sz w:val="20"/>
                <w:szCs w:val="20"/>
              </w:rPr>
              <w:fldChar w:fldCharType="end"/>
            </w:r>
          </w:hyperlink>
        </w:p>
        <w:p w14:paraId="6CA8A185" w14:textId="41CE07D3"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39" w:history="1">
            <w:r w:rsidRPr="005A5D3B">
              <w:rPr>
                <w:rStyle w:val="Hyperlink"/>
                <w:rFonts w:ascii="Arial" w:hAnsi="Arial"/>
                <w:noProof/>
                <w:sz w:val="20"/>
                <w:szCs w:val="20"/>
              </w:rPr>
              <w:t>2.1 Schein’s Three Levels of Culture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_Toc213605039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3</w:t>
            </w:r>
            <w:r w:rsidRPr="005A5D3B">
              <w:rPr>
                <w:rFonts w:ascii="Arial" w:hAnsi="Arial"/>
                <w:noProof/>
                <w:webHidden/>
                <w:sz w:val="20"/>
                <w:szCs w:val="20"/>
              </w:rPr>
              <w:fldChar w:fldCharType="end"/>
            </w:r>
          </w:hyperlink>
        </w:p>
        <w:p w14:paraId="1C49544B" w14:textId="15223223"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0" w:history="1">
            <w:r w:rsidRPr="005A5D3B">
              <w:rPr>
                <w:rStyle w:val="Hyperlink"/>
                <w:rFonts w:ascii="Arial" w:hAnsi="Arial"/>
                <w:noProof/>
                <w:sz w:val="20"/>
                <w:szCs w:val="20"/>
              </w:rPr>
              <w:t>2.2 Hofstede’s Cultural Dimensions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_Toc213605040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3</w:t>
            </w:r>
            <w:r w:rsidRPr="005A5D3B">
              <w:rPr>
                <w:rFonts w:ascii="Arial" w:hAnsi="Arial"/>
                <w:noProof/>
                <w:webHidden/>
                <w:sz w:val="20"/>
                <w:szCs w:val="20"/>
              </w:rPr>
              <w:fldChar w:fldCharType="end"/>
            </w:r>
          </w:hyperlink>
        </w:p>
        <w:p w14:paraId="44338727" w14:textId="3E17A32E"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1" w:history="1">
            <w:r w:rsidRPr="005A5D3B">
              <w:rPr>
                <w:rStyle w:val="Hyperlink"/>
                <w:rFonts w:ascii="Arial" w:hAnsi="Arial"/>
                <w:noProof/>
                <w:sz w:val="20"/>
                <w:szCs w:val="20"/>
              </w:rPr>
              <w:t>2.3 Handy’s Typology of Culture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_Toc213605041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4</w:t>
            </w:r>
            <w:r w:rsidRPr="005A5D3B">
              <w:rPr>
                <w:rFonts w:ascii="Arial" w:hAnsi="Arial"/>
                <w:noProof/>
                <w:webHidden/>
                <w:sz w:val="20"/>
                <w:szCs w:val="20"/>
              </w:rPr>
              <w:fldChar w:fldCharType="end"/>
            </w:r>
          </w:hyperlink>
        </w:p>
        <w:p w14:paraId="07D4CF12" w14:textId="328FDB11"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42" w:history="1">
            <w:r w:rsidRPr="005A5D3B">
              <w:rPr>
                <w:rStyle w:val="Hyperlink"/>
                <w:rFonts w:ascii="Arial" w:hAnsi="Arial"/>
                <w:b/>
                <w:bCs/>
                <w:noProof/>
                <w:sz w:val="20"/>
                <w:szCs w:val="20"/>
              </w:rPr>
              <w:t>3. The Influence of Culture on Structure, Leadership and Decision-Making</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_Toc213605042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4</w:t>
            </w:r>
            <w:r w:rsidRPr="005A5D3B">
              <w:rPr>
                <w:rFonts w:ascii="Arial" w:hAnsi="Arial"/>
                <w:noProof/>
                <w:webHidden/>
                <w:sz w:val="20"/>
                <w:szCs w:val="20"/>
              </w:rPr>
              <w:fldChar w:fldCharType="end"/>
            </w:r>
          </w:hyperlink>
        </w:p>
        <w:p w14:paraId="0A18883C" w14:textId="01C2564A"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3" w:history="1">
            <w:r w:rsidRPr="005A5D3B">
              <w:rPr>
                <w:rStyle w:val="Hyperlink"/>
                <w:rFonts w:ascii="Arial" w:hAnsi="Arial"/>
                <w:noProof/>
                <w:sz w:val="20"/>
                <w:szCs w:val="20"/>
              </w:rPr>
              <w:t>3.1 Cultural Influence on Organisational Structure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_Toc213605043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4</w:t>
            </w:r>
            <w:r w:rsidRPr="005A5D3B">
              <w:rPr>
                <w:rFonts w:ascii="Arial" w:hAnsi="Arial"/>
                <w:noProof/>
                <w:webHidden/>
                <w:sz w:val="20"/>
                <w:szCs w:val="20"/>
              </w:rPr>
              <w:fldChar w:fldCharType="end"/>
            </w:r>
          </w:hyperlink>
        </w:p>
        <w:p w14:paraId="6A2F1D17" w14:textId="7FDA0293"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4" w:history="1">
            <w:r w:rsidRPr="005A5D3B">
              <w:rPr>
                <w:rStyle w:val="Hyperlink"/>
                <w:rFonts w:ascii="Arial" w:hAnsi="Arial"/>
                <w:noProof/>
                <w:sz w:val="20"/>
                <w:szCs w:val="20"/>
              </w:rPr>
              <w:t>3.2 Leadership Styles Aligned with Culture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_Toc213605044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5</w:t>
            </w:r>
            <w:r w:rsidRPr="005A5D3B">
              <w:rPr>
                <w:rFonts w:ascii="Arial" w:hAnsi="Arial"/>
                <w:noProof/>
                <w:webHidden/>
                <w:sz w:val="20"/>
                <w:szCs w:val="20"/>
              </w:rPr>
              <w:fldChar w:fldCharType="end"/>
            </w:r>
          </w:hyperlink>
        </w:p>
        <w:p w14:paraId="2C7BFD82" w14:textId="7E75FE80"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5" w:history="1">
            <w:r w:rsidRPr="005A5D3B">
              <w:rPr>
                <w:rStyle w:val="Hyperlink"/>
                <w:rFonts w:ascii="Arial" w:hAnsi="Arial"/>
                <w:noProof/>
                <w:sz w:val="20"/>
                <w:szCs w:val="20"/>
              </w:rPr>
              <w:t>3.3 Decision-Making Patterns at Walmart</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_Toc213605045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5</w:t>
            </w:r>
            <w:r w:rsidRPr="005A5D3B">
              <w:rPr>
                <w:rFonts w:ascii="Arial" w:hAnsi="Arial"/>
                <w:noProof/>
                <w:webHidden/>
                <w:sz w:val="20"/>
                <w:szCs w:val="20"/>
              </w:rPr>
              <w:fldChar w:fldCharType="end"/>
            </w:r>
          </w:hyperlink>
        </w:p>
        <w:p w14:paraId="2BB92B43" w14:textId="277D7C34"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6" w:history="1">
            <w:r w:rsidRPr="005A5D3B">
              <w:rPr>
                <w:rStyle w:val="Hyperlink"/>
                <w:rFonts w:ascii="Arial" w:hAnsi="Arial"/>
                <w:noProof/>
                <w:sz w:val="20"/>
                <w:szCs w:val="20"/>
              </w:rPr>
              <w:t>3.4 Implications for Efficiency and Innovation</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_Toc213605046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5</w:t>
            </w:r>
            <w:r w:rsidRPr="005A5D3B">
              <w:rPr>
                <w:rFonts w:ascii="Arial" w:hAnsi="Arial"/>
                <w:noProof/>
                <w:webHidden/>
                <w:sz w:val="20"/>
                <w:szCs w:val="20"/>
              </w:rPr>
              <w:fldChar w:fldCharType="end"/>
            </w:r>
          </w:hyperlink>
        </w:p>
        <w:p w14:paraId="79BD644E" w14:textId="298C04B5"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47" w:history="1">
            <w:r w:rsidRPr="005A5D3B">
              <w:rPr>
                <w:rStyle w:val="Hyperlink"/>
                <w:rFonts w:ascii="Arial" w:hAnsi="Arial"/>
                <w:b/>
                <w:bCs/>
                <w:noProof/>
                <w:sz w:val="20"/>
                <w:szCs w:val="20"/>
              </w:rPr>
              <w:t>4. Positive and Negative Effects of Walmart’s Organisational Culture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_Toc213605047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6</w:t>
            </w:r>
            <w:r w:rsidRPr="005A5D3B">
              <w:rPr>
                <w:rFonts w:ascii="Arial" w:hAnsi="Arial"/>
                <w:noProof/>
                <w:webHidden/>
                <w:sz w:val="20"/>
                <w:szCs w:val="20"/>
              </w:rPr>
              <w:fldChar w:fldCharType="end"/>
            </w:r>
          </w:hyperlink>
        </w:p>
        <w:p w14:paraId="71BE02AA" w14:textId="5CAB49A1"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8" w:history="1">
            <w:r w:rsidRPr="005A5D3B">
              <w:rPr>
                <w:rStyle w:val="Hyperlink"/>
                <w:rFonts w:ascii="Arial" w:hAnsi="Arial"/>
                <w:noProof/>
                <w:sz w:val="20"/>
                <w:szCs w:val="20"/>
              </w:rPr>
              <w:t>4.1 Positive Effects on Performance and Efficiency</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_Toc213605048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6</w:t>
            </w:r>
            <w:r w:rsidRPr="005A5D3B">
              <w:rPr>
                <w:rFonts w:ascii="Arial" w:hAnsi="Arial"/>
                <w:noProof/>
                <w:webHidden/>
                <w:sz w:val="20"/>
                <w:szCs w:val="20"/>
              </w:rPr>
              <w:fldChar w:fldCharType="end"/>
            </w:r>
          </w:hyperlink>
        </w:p>
        <w:p w14:paraId="21791731" w14:textId="24AEF80D"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49" w:history="1">
            <w:r w:rsidRPr="005A5D3B">
              <w:rPr>
                <w:rStyle w:val="Hyperlink"/>
                <w:rFonts w:ascii="Arial" w:hAnsi="Arial"/>
                <w:noProof/>
                <w:sz w:val="20"/>
                <w:szCs w:val="20"/>
              </w:rPr>
              <w:t>4.2 Negative Effects on Innovation and Employee Engagement</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_Toc213605049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6</w:t>
            </w:r>
            <w:r w:rsidRPr="005A5D3B">
              <w:rPr>
                <w:rFonts w:ascii="Arial" w:hAnsi="Arial"/>
                <w:noProof/>
                <w:webHidden/>
                <w:sz w:val="20"/>
                <w:szCs w:val="20"/>
              </w:rPr>
              <w:fldChar w:fldCharType="end"/>
            </w:r>
          </w:hyperlink>
        </w:p>
        <w:p w14:paraId="3D7B67C7" w14:textId="1F07B641"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50" w:history="1">
            <w:r w:rsidRPr="005A5D3B">
              <w:rPr>
                <w:rStyle w:val="Hyperlink"/>
                <w:rFonts w:ascii="Arial" w:hAnsi="Arial"/>
                <w:b/>
                <w:bCs/>
                <w:noProof/>
                <w:sz w:val="20"/>
                <w:szCs w:val="20"/>
              </w:rPr>
              <w:t>5. Cultural Influence on External Adaptability</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_Toc213605050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7</w:t>
            </w:r>
            <w:r w:rsidRPr="005A5D3B">
              <w:rPr>
                <w:rFonts w:ascii="Arial" w:hAnsi="Arial"/>
                <w:noProof/>
                <w:webHidden/>
                <w:sz w:val="20"/>
                <w:szCs w:val="20"/>
              </w:rPr>
              <w:fldChar w:fldCharType="end"/>
            </w:r>
          </w:hyperlink>
        </w:p>
        <w:p w14:paraId="424900E1" w14:textId="1FAE33ED"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51" w:history="1">
            <w:r w:rsidRPr="005A5D3B">
              <w:rPr>
                <w:rStyle w:val="Hyperlink"/>
                <w:rFonts w:ascii="Arial" w:hAnsi="Arial"/>
                <w:noProof/>
                <w:sz w:val="20"/>
                <w:szCs w:val="20"/>
              </w:rPr>
              <w:t>5.1 Responsiveness to Market Changes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_Toc213605051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7</w:t>
            </w:r>
            <w:r w:rsidRPr="005A5D3B">
              <w:rPr>
                <w:rFonts w:ascii="Arial" w:hAnsi="Arial"/>
                <w:noProof/>
                <w:webHidden/>
                <w:sz w:val="20"/>
                <w:szCs w:val="20"/>
              </w:rPr>
              <w:fldChar w:fldCharType="end"/>
            </w:r>
          </w:hyperlink>
        </w:p>
        <w:p w14:paraId="05B38B70" w14:textId="2E9983EB"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52" w:history="1">
            <w:r w:rsidRPr="005A5D3B">
              <w:rPr>
                <w:rStyle w:val="Hyperlink"/>
                <w:rFonts w:ascii="Arial" w:hAnsi="Arial"/>
                <w:noProof/>
                <w:sz w:val="20"/>
                <w:szCs w:val="20"/>
              </w:rPr>
              <w:t>5.2 Adaptation to Technological Shifts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_Toc213605052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7</w:t>
            </w:r>
            <w:r w:rsidRPr="005A5D3B">
              <w:rPr>
                <w:rFonts w:ascii="Arial" w:hAnsi="Arial"/>
                <w:noProof/>
                <w:webHidden/>
                <w:sz w:val="20"/>
                <w:szCs w:val="20"/>
              </w:rPr>
              <w:fldChar w:fldCharType="end"/>
            </w:r>
          </w:hyperlink>
        </w:p>
        <w:p w14:paraId="53F8F70B" w14:textId="4408970D"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53" w:history="1">
            <w:r w:rsidRPr="005A5D3B">
              <w:rPr>
                <w:rStyle w:val="Hyperlink"/>
                <w:rFonts w:ascii="Arial" w:hAnsi="Arial"/>
                <w:noProof/>
                <w:sz w:val="20"/>
                <w:szCs w:val="20"/>
              </w:rPr>
              <w:t>5.3 Cultural Fit in Global Markets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_Toc213605053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8</w:t>
            </w:r>
            <w:r w:rsidRPr="005A5D3B">
              <w:rPr>
                <w:rFonts w:ascii="Arial" w:hAnsi="Arial"/>
                <w:noProof/>
                <w:webHidden/>
                <w:sz w:val="20"/>
                <w:szCs w:val="20"/>
              </w:rPr>
              <w:fldChar w:fldCharType="end"/>
            </w:r>
          </w:hyperlink>
        </w:p>
        <w:p w14:paraId="112A330C" w14:textId="0F0F3973"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54" w:history="1">
            <w:r w:rsidRPr="005A5D3B">
              <w:rPr>
                <w:rStyle w:val="Hyperlink"/>
                <w:rFonts w:ascii="Arial" w:hAnsi="Arial"/>
                <w:b/>
                <w:bCs/>
                <w:noProof/>
                <w:sz w:val="20"/>
                <w:szCs w:val="20"/>
              </w:rPr>
              <w:t>6. Organisational Culture as a Barrier to Effectiveness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_Toc213605054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8</w:t>
            </w:r>
            <w:r w:rsidRPr="005A5D3B">
              <w:rPr>
                <w:rFonts w:ascii="Arial" w:hAnsi="Arial"/>
                <w:noProof/>
                <w:webHidden/>
                <w:sz w:val="20"/>
                <w:szCs w:val="20"/>
              </w:rPr>
              <w:fldChar w:fldCharType="end"/>
            </w:r>
          </w:hyperlink>
        </w:p>
        <w:p w14:paraId="1AF502DE" w14:textId="7FFD0650"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55" w:history="1">
            <w:r w:rsidRPr="005A5D3B">
              <w:rPr>
                <w:rStyle w:val="Hyperlink"/>
                <w:rFonts w:ascii="Arial" w:hAnsi="Arial"/>
                <w:noProof/>
                <w:sz w:val="20"/>
                <w:szCs w:val="20"/>
              </w:rPr>
              <w:t>6.1 Resistance to Change and Innovation</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_Toc213605055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8</w:t>
            </w:r>
            <w:r w:rsidRPr="005A5D3B">
              <w:rPr>
                <w:rFonts w:ascii="Arial" w:hAnsi="Arial"/>
                <w:noProof/>
                <w:webHidden/>
                <w:sz w:val="20"/>
                <w:szCs w:val="20"/>
              </w:rPr>
              <w:fldChar w:fldCharType="end"/>
            </w:r>
          </w:hyperlink>
        </w:p>
        <w:p w14:paraId="447BB845" w14:textId="6D63665D"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56" w:history="1">
            <w:r w:rsidRPr="005A5D3B">
              <w:rPr>
                <w:rStyle w:val="Hyperlink"/>
                <w:rFonts w:ascii="Arial" w:hAnsi="Arial"/>
                <w:noProof/>
                <w:sz w:val="20"/>
                <w:szCs w:val="20"/>
              </w:rPr>
              <w:t>6.2 Employee Motivation and Turnover</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_Toc213605056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9</w:t>
            </w:r>
            <w:r w:rsidRPr="005A5D3B">
              <w:rPr>
                <w:rFonts w:ascii="Arial" w:hAnsi="Arial"/>
                <w:noProof/>
                <w:webHidden/>
                <w:sz w:val="20"/>
                <w:szCs w:val="20"/>
              </w:rPr>
              <w:fldChar w:fldCharType="end"/>
            </w:r>
          </w:hyperlink>
        </w:p>
        <w:p w14:paraId="5958FCB1" w14:textId="4E81B61D"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57" w:history="1">
            <w:r w:rsidRPr="005A5D3B">
              <w:rPr>
                <w:rStyle w:val="Hyperlink"/>
                <w:rFonts w:ascii="Arial" w:hAnsi="Arial"/>
                <w:noProof/>
                <w:sz w:val="20"/>
                <w:szCs w:val="20"/>
              </w:rPr>
              <w:t>6.3 Cultural Rigidity in International Operations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_Toc213605057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9</w:t>
            </w:r>
            <w:r w:rsidRPr="005A5D3B">
              <w:rPr>
                <w:rFonts w:ascii="Arial" w:hAnsi="Arial"/>
                <w:noProof/>
                <w:webHidden/>
                <w:sz w:val="20"/>
                <w:szCs w:val="20"/>
              </w:rPr>
              <w:fldChar w:fldCharType="end"/>
            </w:r>
          </w:hyperlink>
        </w:p>
        <w:p w14:paraId="45E2F308" w14:textId="2FBCDBE2"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58" w:history="1">
            <w:r w:rsidRPr="005A5D3B">
              <w:rPr>
                <w:rStyle w:val="Hyperlink"/>
                <w:rFonts w:ascii="Arial" w:hAnsi="Arial"/>
                <w:b/>
                <w:bCs/>
                <w:noProof/>
                <w:sz w:val="20"/>
                <w:szCs w:val="20"/>
              </w:rPr>
              <w:t>7. The Impact of Culture on Organisational Performance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_Toc213605058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10</w:t>
            </w:r>
            <w:r w:rsidRPr="005A5D3B">
              <w:rPr>
                <w:rFonts w:ascii="Arial" w:hAnsi="Arial"/>
                <w:noProof/>
                <w:webHidden/>
                <w:sz w:val="20"/>
                <w:szCs w:val="20"/>
              </w:rPr>
              <w:fldChar w:fldCharType="end"/>
            </w:r>
          </w:hyperlink>
        </w:p>
        <w:p w14:paraId="2E9266DA" w14:textId="3716CB10"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59" w:history="1">
            <w:r w:rsidRPr="005A5D3B">
              <w:rPr>
                <w:rStyle w:val="Hyperlink"/>
                <w:rFonts w:ascii="Arial" w:hAnsi="Arial"/>
                <w:noProof/>
                <w:sz w:val="20"/>
                <w:szCs w:val="20"/>
              </w:rPr>
              <w:t>7.1 Financial Performance and Operational Outcomes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_Toc213605059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10</w:t>
            </w:r>
            <w:r w:rsidRPr="005A5D3B">
              <w:rPr>
                <w:rFonts w:ascii="Arial" w:hAnsi="Arial"/>
                <w:noProof/>
                <w:webHidden/>
                <w:sz w:val="20"/>
                <w:szCs w:val="20"/>
              </w:rPr>
              <w:fldChar w:fldCharType="end"/>
            </w:r>
          </w:hyperlink>
        </w:p>
        <w:p w14:paraId="41809715" w14:textId="39D7407C"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60" w:history="1">
            <w:r w:rsidRPr="005A5D3B">
              <w:rPr>
                <w:rStyle w:val="Hyperlink"/>
                <w:rFonts w:ascii="Arial" w:hAnsi="Arial"/>
                <w:noProof/>
                <w:sz w:val="20"/>
                <w:szCs w:val="20"/>
              </w:rPr>
              <w:t>7.2 Employee Retention and Performance</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_Toc213605060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10</w:t>
            </w:r>
            <w:r w:rsidRPr="005A5D3B">
              <w:rPr>
                <w:rFonts w:ascii="Arial" w:hAnsi="Arial"/>
                <w:noProof/>
                <w:webHidden/>
                <w:sz w:val="20"/>
                <w:szCs w:val="20"/>
              </w:rPr>
              <w:fldChar w:fldCharType="end"/>
            </w:r>
          </w:hyperlink>
        </w:p>
        <w:p w14:paraId="7D30CAF4" w14:textId="306F02CC"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61" w:history="1">
            <w:r w:rsidRPr="005A5D3B">
              <w:rPr>
                <w:rStyle w:val="Hyperlink"/>
                <w:rFonts w:ascii="Arial" w:hAnsi="Arial"/>
                <w:noProof/>
                <w:sz w:val="20"/>
                <w:szCs w:val="20"/>
              </w:rPr>
              <w:t>7.3 Innovation and Long-Term Growth</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_Toc213605061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11</w:t>
            </w:r>
            <w:r w:rsidRPr="005A5D3B">
              <w:rPr>
                <w:rFonts w:ascii="Arial" w:hAnsi="Arial"/>
                <w:noProof/>
                <w:webHidden/>
                <w:sz w:val="20"/>
                <w:szCs w:val="20"/>
              </w:rPr>
              <w:fldChar w:fldCharType="end"/>
            </w:r>
          </w:hyperlink>
        </w:p>
        <w:p w14:paraId="53E6FA09" w14:textId="6384A394"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62" w:history="1">
            <w:r w:rsidRPr="005A5D3B">
              <w:rPr>
                <w:rStyle w:val="Hyperlink"/>
                <w:rFonts w:ascii="Arial" w:hAnsi="Arial"/>
                <w:noProof/>
                <w:sz w:val="20"/>
                <w:szCs w:val="20"/>
              </w:rPr>
              <w:t>7.4 Customer Satisfaction and Brand Perception</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_Toc213605062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11</w:t>
            </w:r>
            <w:r w:rsidRPr="005A5D3B">
              <w:rPr>
                <w:rFonts w:ascii="Arial" w:hAnsi="Arial"/>
                <w:noProof/>
                <w:webHidden/>
                <w:sz w:val="20"/>
                <w:szCs w:val="20"/>
              </w:rPr>
              <w:fldChar w:fldCharType="end"/>
            </w:r>
          </w:hyperlink>
        </w:p>
        <w:p w14:paraId="5F130DCC" w14:textId="5AE8FDDC"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63" w:history="1">
            <w:r w:rsidRPr="005A5D3B">
              <w:rPr>
                <w:rStyle w:val="Hyperlink"/>
                <w:rFonts w:ascii="Arial" w:hAnsi="Arial"/>
                <w:b/>
                <w:bCs/>
                <w:noProof/>
                <w:sz w:val="20"/>
                <w:szCs w:val="20"/>
              </w:rPr>
              <w:t>8. Recommendations for Cultural Improvement</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_Toc213605063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11</w:t>
            </w:r>
            <w:r w:rsidRPr="005A5D3B">
              <w:rPr>
                <w:rFonts w:ascii="Arial" w:hAnsi="Arial"/>
                <w:noProof/>
                <w:webHidden/>
                <w:sz w:val="20"/>
                <w:szCs w:val="20"/>
              </w:rPr>
              <w:fldChar w:fldCharType="end"/>
            </w:r>
          </w:hyperlink>
        </w:p>
        <w:p w14:paraId="790545D7" w14:textId="7291AE36"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64" w:history="1">
            <w:r w:rsidRPr="005A5D3B">
              <w:rPr>
                <w:rStyle w:val="Hyperlink"/>
                <w:rFonts w:ascii="Arial" w:hAnsi="Arial"/>
                <w:noProof/>
                <w:sz w:val="20"/>
                <w:szCs w:val="20"/>
              </w:rPr>
              <w:t>8.1 Encourage Employee Empowerment</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_Toc213605064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11</w:t>
            </w:r>
            <w:r w:rsidRPr="005A5D3B">
              <w:rPr>
                <w:rFonts w:ascii="Arial" w:hAnsi="Arial"/>
                <w:noProof/>
                <w:webHidden/>
                <w:sz w:val="20"/>
                <w:szCs w:val="20"/>
              </w:rPr>
              <w:fldChar w:fldCharType="end"/>
            </w:r>
          </w:hyperlink>
        </w:p>
        <w:p w14:paraId="5A55372D" w14:textId="64656212"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65" w:history="1">
            <w:r w:rsidRPr="005A5D3B">
              <w:rPr>
                <w:rStyle w:val="Hyperlink"/>
                <w:rFonts w:ascii="Arial" w:hAnsi="Arial"/>
                <w:noProof/>
                <w:sz w:val="20"/>
                <w:szCs w:val="20"/>
              </w:rPr>
              <w:t>8.2 Foster a Culture of Innovation</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_Toc213605065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12</w:t>
            </w:r>
            <w:r w:rsidRPr="005A5D3B">
              <w:rPr>
                <w:rFonts w:ascii="Arial" w:hAnsi="Arial"/>
                <w:noProof/>
                <w:webHidden/>
                <w:sz w:val="20"/>
                <w:szCs w:val="20"/>
              </w:rPr>
              <w:fldChar w:fldCharType="end"/>
            </w:r>
          </w:hyperlink>
        </w:p>
        <w:p w14:paraId="12328CBF" w14:textId="0EF509EF" w:rsidR="005A5D3B" w:rsidRPr="005A5D3B" w:rsidRDefault="005A5D3B">
          <w:pPr>
            <w:pStyle w:val="TOC2"/>
            <w:tabs>
              <w:tab w:val="right" w:leader="dot" w:pos="9016"/>
            </w:tabs>
            <w:rPr>
              <w:rFonts w:ascii="Arial" w:eastAsiaTheme="minorEastAsia" w:hAnsi="Arial"/>
              <w:noProof/>
              <w:kern w:val="2"/>
              <w:sz w:val="20"/>
              <w:szCs w:val="20"/>
              <w:lang w:eastAsia="zh-CN"/>
              <w14:ligatures w14:val="standardContextual"/>
            </w:rPr>
          </w:pPr>
          <w:hyperlink w:anchor="_Toc213605066" w:history="1">
            <w:r w:rsidRPr="005A5D3B">
              <w:rPr>
                <w:rStyle w:val="Hyperlink"/>
                <w:rFonts w:ascii="Arial" w:hAnsi="Arial"/>
                <w:noProof/>
                <w:sz w:val="20"/>
                <w:szCs w:val="20"/>
              </w:rPr>
              <w:t>8.3 Adapt Cultural Practices for Global Markets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_Toc213605066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12</w:t>
            </w:r>
            <w:r w:rsidRPr="005A5D3B">
              <w:rPr>
                <w:rFonts w:ascii="Arial" w:hAnsi="Arial"/>
                <w:noProof/>
                <w:webHidden/>
                <w:sz w:val="20"/>
                <w:szCs w:val="20"/>
              </w:rPr>
              <w:fldChar w:fldCharType="end"/>
            </w:r>
          </w:hyperlink>
        </w:p>
        <w:p w14:paraId="384E353B" w14:textId="0A79563F"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67" w:history="1">
            <w:r w:rsidRPr="005A5D3B">
              <w:rPr>
                <w:rStyle w:val="Hyperlink"/>
                <w:rFonts w:ascii="Arial" w:hAnsi="Arial"/>
                <w:b/>
                <w:bCs/>
                <w:noProof/>
                <w:sz w:val="20"/>
                <w:szCs w:val="20"/>
              </w:rPr>
              <w:t>9. Conclusion</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_Toc213605067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12</w:t>
            </w:r>
            <w:r w:rsidRPr="005A5D3B">
              <w:rPr>
                <w:rFonts w:ascii="Arial" w:hAnsi="Arial"/>
                <w:noProof/>
                <w:webHidden/>
                <w:sz w:val="20"/>
                <w:szCs w:val="20"/>
              </w:rPr>
              <w:fldChar w:fldCharType="end"/>
            </w:r>
          </w:hyperlink>
        </w:p>
        <w:p w14:paraId="2B5CFAF7" w14:textId="32D6003E" w:rsidR="005A5D3B" w:rsidRPr="005A5D3B" w:rsidRDefault="005A5D3B">
          <w:pPr>
            <w:pStyle w:val="TOC1"/>
            <w:tabs>
              <w:tab w:val="right" w:leader="dot" w:pos="9016"/>
            </w:tabs>
            <w:rPr>
              <w:rFonts w:ascii="Arial" w:eastAsiaTheme="minorEastAsia" w:hAnsi="Arial"/>
              <w:noProof/>
              <w:kern w:val="2"/>
              <w:sz w:val="20"/>
              <w:szCs w:val="20"/>
              <w:lang w:eastAsia="zh-CN"/>
              <w14:ligatures w14:val="standardContextual"/>
            </w:rPr>
          </w:pPr>
          <w:hyperlink w:anchor="_Toc213605068" w:history="1">
            <w:r w:rsidRPr="005A5D3B">
              <w:rPr>
                <w:rStyle w:val="Hyperlink"/>
                <w:rFonts w:ascii="Arial" w:hAnsi="Arial"/>
                <w:b/>
                <w:bCs/>
                <w:noProof/>
                <w:sz w:val="20"/>
                <w:szCs w:val="20"/>
              </w:rPr>
              <w:t>References</w:t>
            </w:r>
            <w:r w:rsidRPr="005A5D3B">
              <w:rPr>
                <w:rFonts w:ascii="Arial" w:hAnsi="Arial"/>
                <w:noProof/>
                <w:webHidden/>
                <w:sz w:val="20"/>
                <w:szCs w:val="20"/>
              </w:rPr>
              <w:tab/>
            </w:r>
            <w:r w:rsidRPr="005A5D3B">
              <w:rPr>
                <w:rFonts w:ascii="Arial" w:hAnsi="Arial"/>
                <w:noProof/>
                <w:webHidden/>
                <w:sz w:val="20"/>
                <w:szCs w:val="20"/>
              </w:rPr>
              <w:fldChar w:fldCharType="begin"/>
            </w:r>
            <w:r w:rsidRPr="005A5D3B">
              <w:rPr>
                <w:rFonts w:ascii="Arial" w:hAnsi="Arial"/>
                <w:noProof/>
                <w:webHidden/>
                <w:sz w:val="20"/>
                <w:szCs w:val="20"/>
              </w:rPr>
              <w:instrText xml:space="preserve"> PAGEREF _Toc213605068 \h </w:instrText>
            </w:r>
            <w:r w:rsidRPr="005A5D3B">
              <w:rPr>
                <w:rFonts w:ascii="Arial" w:hAnsi="Arial"/>
                <w:noProof/>
                <w:webHidden/>
                <w:sz w:val="20"/>
                <w:szCs w:val="20"/>
              </w:rPr>
            </w:r>
            <w:r w:rsidRPr="005A5D3B">
              <w:rPr>
                <w:rFonts w:ascii="Arial" w:hAnsi="Arial"/>
                <w:noProof/>
                <w:webHidden/>
                <w:sz w:val="20"/>
                <w:szCs w:val="20"/>
              </w:rPr>
              <w:fldChar w:fldCharType="separate"/>
            </w:r>
            <w:r w:rsidRPr="005A5D3B">
              <w:rPr>
                <w:rFonts w:ascii="Arial" w:hAnsi="Arial"/>
                <w:noProof/>
                <w:webHidden/>
                <w:sz w:val="20"/>
                <w:szCs w:val="20"/>
              </w:rPr>
              <w:t>13</w:t>
            </w:r>
            <w:r w:rsidRPr="005A5D3B">
              <w:rPr>
                <w:rFonts w:ascii="Arial" w:hAnsi="Arial"/>
                <w:noProof/>
                <w:webHidden/>
                <w:sz w:val="20"/>
                <w:szCs w:val="20"/>
              </w:rPr>
              <w:fldChar w:fldCharType="end"/>
            </w:r>
          </w:hyperlink>
        </w:p>
        <w:p w14:paraId="0B2A19E9" w14:textId="2914AA1A" w:rsidR="002760D6" w:rsidRPr="00DA65B9" w:rsidRDefault="00DA65B9" w:rsidP="00DA65B9">
          <w:r w:rsidRPr="005A5D3B">
            <w:rPr>
              <w:rFonts w:ascii="Arial" w:hAnsi="Arial"/>
              <w:b/>
              <w:bCs/>
              <w:noProof/>
              <w:sz w:val="20"/>
              <w:szCs w:val="20"/>
            </w:rPr>
            <w:lastRenderedPageBreak/>
            <w:fldChar w:fldCharType="end"/>
          </w:r>
        </w:p>
      </w:sdtContent>
    </w:sdt>
    <w:p w14:paraId="6930AC99" w14:textId="77777777" w:rsidR="002760D6" w:rsidRPr="00361848" w:rsidRDefault="73936793" w:rsidP="5E76CA97">
      <w:pPr>
        <w:pStyle w:val="Heading1"/>
        <w:rPr>
          <w:rFonts w:asciiTheme="minorBidi" w:hAnsiTheme="minorBidi" w:cstheme="minorBidi"/>
          <w:b/>
          <w:bCs/>
        </w:rPr>
      </w:pPr>
      <w:bookmarkStart w:id="0" w:name="_Toc861105089"/>
      <w:bookmarkStart w:id="1" w:name="_Toc212992886"/>
      <w:bookmarkStart w:id="2" w:name="_Toc213605034"/>
      <w:r w:rsidRPr="5E76CA97">
        <w:rPr>
          <w:rFonts w:asciiTheme="minorBidi" w:hAnsiTheme="minorBidi" w:cstheme="minorBidi"/>
          <w:b/>
          <w:bCs/>
        </w:rPr>
        <w:t>1. Introduction</w:t>
      </w:r>
      <w:bookmarkEnd w:id="0"/>
      <w:bookmarkEnd w:id="1"/>
      <w:bookmarkEnd w:id="2"/>
    </w:p>
    <w:p w14:paraId="0B5A6930" w14:textId="77777777" w:rsidR="002760D6" w:rsidRPr="00361848" w:rsidRDefault="3405E0CD">
      <w:pPr>
        <w:pStyle w:val="Heading2"/>
        <w:rPr>
          <w:rFonts w:asciiTheme="minorBidi" w:hAnsiTheme="minorBidi" w:cstheme="minorBidi"/>
        </w:rPr>
      </w:pPr>
      <w:bookmarkStart w:id="3" w:name="_Toc931262652"/>
      <w:bookmarkStart w:id="4" w:name="_Toc212992887"/>
      <w:bookmarkStart w:id="5" w:name="_Toc213605035"/>
      <w:r w:rsidRPr="00361848">
        <w:rPr>
          <w:rFonts w:asciiTheme="minorBidi" w:hAnsiTheme="minorBidi" w:cstheme="minorBidi"/>
        </w:rPr>
        <w:t>1.1 Defining Organisational Culture</w:t>
      </w:r>
      <w:bookmarkEnd w:id="3"/>
      <w:bookmarkEnd w:id="4"/>
      <w:bookmarkEnd w:id="5"/>
    </w:p>
    <w:p w14:paraId="268216BA" w14:textId="77777777" w:rsidR="002760D6" w:rsidRPr="00361848" w:rsidRDefault="00B62882">
      <w:pPr>
        <w:spacing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Organisational culture refers to the shared beliefs, values, and norms that shape how individuals behave and interact within a company (Schein, 1985). It affects not only formal processes such as leadership and communication but also influences motivation, collaboration, and decision-making. Culture provides a framework through which people interpret their roles and expectations, ultimately shaping organisational performance and adaptability.</w:t>
      </w:r>
    </w:p>
    <w:p w14:paraId="67AEB190" w14:textId="77777777" w:rsidR="002760D6" w:rsidRPr="00361848" w:rsidRDefault="3405E0CD">
      <w:pPr>
        <w:pStyle w:val="Heading2"/>
        <w:rPr>
          <w:rFonts w:asciiTheme="minorBidi" w:hAnsiTheme="minorBidi" w:cstheme="minorBidi"/>
        </w:rPr>
      </w:pPr>
      <w:bookmarkStart w:id="6" w:name="_Toc1405537349"/>
      <w:bookmarkStart w:id="7" w:name="_Toc212992888"/>
      <w:bookmarkStart w:id="8" w:name="_Toc213605036"/>
      <w:r w:rsidRPr="00361848">
        <w:rPr>
          <w:rFonts w:asciiTheme="minorBidi" w:hAnsiTheme="minorBidi" w:cstheme="minorBidi"/>
        </w:rPr>
        <w:t>1.2 Walmart’s Cultural Background</w:t>
      </w:r>
      <w:bookmarkEnd w:id="6"/>
      <w:bookmarkEnd w:id="7"/>
      <w:bookmarkEnd w:id="8"/>
    </w:p>
    <w:p w14:paraId="33DED2E8" w14:textId="3A760D61" w:rsidR="002760D6" w:rsidRPr="00361848" w:rsidRDefault="00B62882">
      <w:pPr>
        <w:spacing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 founded by Sam Walton in 1962, has become the world’s largest retail corporation. Its culture has been heavily shaped by Walton’s principles of frugality, discipline and customer focus (Walton, 1992). The company has built a reputation for operational efficiency and cost leadership, supported by strong centralised control and a performance-driven work environment. While this culture has enabled Walmart to scale globally, it has also raised concerns related to employee satisfaction and responsiveness in diverse markets (Lichtenstein, 20</w:t>
      </w:r>
      <w:r w:rsidR="00C513AF">
        <w:rPr>
          <w:rFonts w:asciiTheme="minorBidi" w:eastAsia="Arial" w:hAnsiTheme="minorBidi" w:cstheme="minorBidi"/>
          <w:sz w:val="22"/>
          <w:szCs w:val="22"/>
        </w:rPr>
        <w:t>25</w:t>
      </w:r>
      <w:r w:rsidRPr="00361848">
        <w:rPr>
          <w:rFonts w:asciiTheme="minorBidi" w:eastAsia="Arial" w:hAnsiTheme="minorBidi" w:cstheme="minorBidi"/>
          <w:sz w:val="22"/>
          <w:szCs w:val="22"/>
        </w:rPr>
        <w:t>).</w:t>
      </w:r>
    </w:p>
    <w:p w14:paraId="064DCFD9" w14:textId="77777777" w:rsidR="002760D6" w:rsidRPr="00361848" w:rsidRDefault="3405E0CD">
      <w:pPr>
        <w:pStyle w:val="Heading2"/>
        <w:rPr>
          <w:rFonts w:asciiTheme="minorBidi" w:hAnsiTheme="minorBidi" w:cstheme="minorBidi"/>
        </w:rPr>
      </w:pPr>
      <w:bookmarkStart w:id="9" w:name="_Toc759637664"/>
      <w:bookmarkStart w:id="10" w:name="_Toc212992889"/>
      <w:bookmarkStart w:id="11" w:name="_Toc213605037"/>
      <w:r w:rsidRPr="00361848">
        <w:rPr>
          <w:rFonts w:asciiTheme="minorBidi" w:hAnsiTheme="minorBidi" w:cstheme="minorBidi"/>
        </w:rPr>
        <w:t>1.3 Aims and Structure of the Report</w:t>
      </w:r>
      <w:bookmarkEnd w:id="9"/>
      <w:bookmarkEnd w:id="10"/>
      <w:bookmarkEnd w:id="11"/>
    </w:p>
    <w:p w14:paraId="722B68D5" w14:textId="77777777" w:rsidR="002760D6" w:rsidRPr="00361848" w:rsidRDefault="00B62882">
      <w:pPr>
        <w:spacing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This report examines Walmart’s organisational culture using recognised academic models, including Schein’s three levels of culture, Hofstede’s cultural dimensions, and Handy’s cultural typology. Each theory will be applied directly to Walmart’s practices. The report will evaluate how culture influences the company’s structure, leadership, and decision-making, and will assess the positive and negative outcomes associated with these cultural traits.</w:t>
      </w:r>
    </w:p>
    <w:p w14:paraId="0661ABA5" w14:textId="77777777" w:rsidR="002760D6" w:rsidRPr="00361848" w:rsidRDefault="00B62882">
      <w:pPr>
        <w:spacing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Furthermore, it will explore how culture affects Walmart’s ability to adapt in a globalised and digital retail environment. The final sections will offer recommendations for cultural improvements to support long-term effectiveness and sustainability.</w:t>
      </w:r>
    </w:p>
    <w:p w14:paraId="6C027A95" w14:textId="77777777" w:rsidR="002760D6" w:rsidRPr="00361848" w:rsidRDefault="73936793" w:rsidP="5E76CA97">
      <w:pPr>
        <w:pStyle w:val="Heading1"/>
        <w:rPr>
          <w:rFonts w:asciiTheme="minorBidi" w:hAnsiTheme="minorBidi" w:cstheme="minorBidi"/>
          <w:b/>
          <w:bCs/>
        </w:rPr>
      </w:pPr>
      <w:bookmarkStart w:id="12" w:name="_Toc690948531"/>
      <w:bookmarkStart w:id="13" w:name="_Toc212992890"/>
      <w:bookmarkStart w:id="14" w:name="_Toc213605038"/>
      <w:r w:rsidRPr="5E76CA97">
        <w:rPr>
          <w:rFonts w:asciiTheme="minorBidi" w:hAnsiTheme="minorBidi" w:cstheme="minorBidi"/>
          <w:b/>
          <w:bCs/>
        </w:rPr>
        <w:lastRenderedPageBreak/>
        <w:t>2. Organisational Culture: Theoretical Frameworks and Application to Walmart</w:t>
      </w:r>
      <w:bookmarkEnd w:id="12"/>
      <w:bookmarkEnd w:id="13"/>
      <w:bookmarkEnd w:id="14"/>
    </w:p>
    <w:p w14:paraId="36259553" w14:textId="77777777" w:rsidR="002760D6" w:rsidRPr="00361848" w:rsidRDefault="3405E0CD">
      <w:pPr>
        <w:pStyle w:val="Heading2"/>
        <w:rPr>
          <w:rFonts w:asciiTheme="minorBidi" w:hAnsiTheme="minorBidi" w:cstheme="minorBidi"/>
        </w:rPr>
      </w:pPr>
      <w:bookmarkStart w:id="15" w:name="_Toc1620022513"/>
      <w:bookmarkStart w:id="16" w:name="_Toc212992891"/>
      <w:bookmarkStart w:id="17" w:name="_Toc213605039"/>
      <w:r w:rsidRPr="00361848">
        <w:rPr>
          <w:rFonts w:asciiTheme="minorBidi" w:hAnsiTheme="minorBidi" w:cstheme="minorBidi"/>
        </w:rPr>
        <w:t>2.1 Schein’s Three Levels of Culture</w:t>
      </w:r>
      <w:bookmarkEnd w:id="15"/>
      <w:bookmarkEnd w:id="16"/>
      <w:bookmarkEnd w:id="17"/>
    </w:p>
    <w:p w14:paraId="5ADE59E8"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Schein (1985) categorised organisational culture into three levels: artefacts, espoused values, and basic assumptions. Artefacts are the visible signs of an organisation’s culture, such as physical layout, uniforms, or procedures. Espoused values are the strategies and philosophies that an organisation claims to uphold. Basic assumptions are deeply embedded beliefs that are often unconscious yet guide behaviour.</w:t>
      </w:r>
    </w:p>
    <w:p w14:paraId="0C021173" w14:textId="6861106F" w:rsidR="3BA94B8D" w:rsidRDefault="3BA94B8D" w:rsidP="5E76CA97">
      <w:pPr>
        <w:spacing w:before="240" w:after="240" w:line="360" w:lineRule="auto"/>
        <w:jc w:val="both"/>
        <w:rPr>
          <w:rFonts w:asciiTheme="minorBidi" w:eastAsia="Arial" w:hAnsiTheme="minorBidi" w:cstheme="minorBidi"/>
          <w:sz w:val="22"/>
          <w:szCs w:val="22"/>
        </w:rPr>
      </w:pPr>
      <w:r w:rsidRPr="5E76CA97">
        <w:rPr>
          <w:rFonts w:asciiTheme="minorBidi" w:eastAsia="Arial" w:hAnsiTheme="minorBidi" w:cstheme="minorBidi"/>
          <w:sz w:val="22"/>
          <w:szCs w:val="22"/>
        </w:rPr>
        <w:t>In Walmart’s case, artefacts include the standardised store design, hierarchical communication channels, and strict dress codes. Espoused values are presented through the company’s motto “Save Money. Live Better” and principles like respect for the individual and customer service excellence. However, these stated values sometimes diverge from employee experiences, especially regarding labour conditions (Fishman, 2006). Basic assumptions at Walmart revolve around cost-efficiency, centralised control, and relentless productivity. These foundational beliefs strongly influence managerial decisions and employee expectations.</w:t>
      </w:r>
    </w:p>
    <w:p w14:paraId="13930209" w14:textId="0BEE1712" w:rsidR="5E76CA97" w:rsidRDefault="5E76CA97" w:rsidP="5E76CA97">
      <w:pPr>
        <w:spacing w:before="240" w:after="240" w:line="360" w:lineRule="auto"/>
        <w:jc w:val="both"/>
        <w:rPr>
          <w:rFonts w:asciiTheme="minorBidi" w:eastAsia="Arial" w:hAnsiTheme="minorBidi" w:cstheme="minorBidi"/>
          <w:sz w:val="22"/>
          <w:szCs w:val="22"/>
        </w:rPr>
      </w:pPr>
    </w:p>
    <w:p w14:paraId="763FC53B" w14:textId="77777777" w:rsidR="002760D6" w:rsidRPr="00361848" w:rsidRDefault="3405E0CD">
      <w:pPr>
        <w:pStyle w:val="Heading2"/>
        <w:rPr>
          <w:rFonts w:asciiTheme="minorBidi" w:hAnsiTheme="minorBidi" w:cstheme="minorBidi"/>
        </w:rPr>
      </w:pPr>
      <w:bookmarkStart w:id="18" w:name="_Toc653569060"/>
      <w:bookmarkStart w:id="19" w:name="_Toc212992892"/>
      <w:bookmarkStart w:id="20" w:name="_Toc213605040"/>
      <w:r w:rsidRPr="00361848">
        <w:rPr>
          <w:rFonts w:asciiTheme="minorBidi" w:hAnsiTheme="minorBidi" w:cstheme="minorBidi"/>
        </w:rPr>
        <w:t>2.2 Hofstede’s Cultural Dimensions</w:t>
      </w:r>
      <w:bookmarkEnd w:id="18"/>
      <w:bookmarkEnd w:id="19"/>
      <w:bookmarkEnd w:id="20"/>
    </w:p>
    <w:p w14:paraId="077E5456"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Hofstede’s framework (2001) evaluates culture through six dimensions. Relevant to Walmart are power distance, individualism versus collectivism, masculinity versus femininity, and uncertainty avoidance. Walmart demonstrates high power distance, where top management makes most decisions with limited involvement from lower levels. This centralised control is evident across both domestic and international operations.</w:t>
      </w:r>
    </w:p>
    <w:p w14:paraId="147609F0" w14:textId="7D4D1EEA" w:rsidR="002760D6" w:rsidRPr="00361848" w:rsidRDefault="3405E0CD" w:rsidP="76EF0CDF">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 xml:space="preserve">The company’s culture also leans towards individualism, rewarding personal performance and efficiency, especially in its U.S. branches. It scores high in masculinity, emphasising achievement, performance metrics, and competitiveness. In Germany, this cultural style clashed with local norms that value equality and participative decision-making, contributing to Walmart’s failure in that market </w:t>
      </w:r>
      <w:r w:rsidR="758B7E81" w:rsidRPr="00361848">
        <w:rPr>
          <w:rFonts w:asciiTheme="minorBidi" w:eastAsia="Arial" w:hAnsiTheme="minorBidi" w:cstheme="minorBidi"/>
          <w:sz w:val="22"/>
          <w:szCs w:val="22"/>
        </w:rPr>
        <w:t>(Hamza and Nizam, 2016)</w:t>
      </w:r>
      <w:r w:rsidRPr="00361848">
        <w:rPr>
          <w:rFonts w:asciiTheme="minorBidi" w:eastAsia="Arial" w:hAnsiTheme="minorBidi" w:cstheme="minorBidi"/>
          <w:sz w:val="22"/>
          <w:szCs w:val="22"/>
        </w:rPr>
        <w:t>.</w:t>
      </w:r>
    </w:p>
    <w:p w14:paraId="0F67F37D" w14:textId="77777777" w:rsidR="002760D6" w:rsidRPr="00361848" w:rsidRDefault="3405E0CD">
      <w:pPr>
        <w:pStyle w:val="Heading2"/>
        <w:rPr>
          <w:rFonts w:asciiTheme="minorBidi" w:hAnsiTheme="minorBidi" w:cstheme="minorBidi"/>
        </w:rPr>
      </w:pPr>
      <w:bookmarkStart w:id="21" w:name="_Toc733339653"/>
      <w:bookmarkStart w:id="22" w:name="_Toc212992893"/>
      <w:bookmarkStart w:id="23" w:name="_Toc213605041"/>
      <w:r w:rsidRPr="00361848">
        <w:rPr>
          <w:rFonts w:asciiTheme="minorBidi" w:hAnsiTheme="minorBidi" w:cstheme="minorBidi"/>
        </w:rPr>
        <w:lastRenderedPageBreak/>
        <w:t>2.3 Handy’s Typology of Culture</w:t>
      </w:r>
      <w:bookmarkEnd w:id="21"/>
      <w:bookmarkEnd w:id="22"/>
      <w:bookmarkEnd w:id="23"/>
    </w:p>
    <w:p w14:paraId="21F4B7D6"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Handy (1993) identified four cultural types: power, role, task, and person. Walmart’s culture is largely a role culture, defined by clear structures, rules, and formal procedures. Employees follow specific job descriptions, and performance is monitored through standardised metrics. This promotes efficiency but can discourage creativity and flexibility.</w:t>
      </w:r>
    </w:p>
    <w:p w14:paraId="443D53C6" w14:textId="761FCBA8"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There are also elements of power culture present, especially in strategic decision-making led by top executives. The legacy of founder Sam Walton still influences cultural expectations, reinforcing central control and top-down leadership (Lichtenstein, 20</w:t>
      </w:r>
      <w:r w:rsidR="00C513AF">
        <w:rPr>
          <w:rFonts w:asciiTheme="minorBidi" w:eastAsia="Arial" w:hAnsiTheme="minorBidi" w:cstheme="minorBidi"/>
          <w:sz w:val="22"/>
          <w:szCs w:val="22"/>
        </w:rPr>
        <w:t>25</w:t>
      </w:r>
      <w:r w:rsidRPr="00361848">
        <w:rPr>
          <w:rFonts w:asciiTheme="minorBidi" w:eastAsia="Arial" w:hAnsiTheme="minorBidi" w:cstheme="minorBidi"/>
          <w:sz w:val="22"/>
          <w:szCs w:val="22"/>
        </w:rPr>
        <w:t>). While this mix has helped scale operations globally, it limits local responsiveness and employee autonomy.</w:t>
      </w:r>
    </w:p>
    <w:p w14:paraId="7FC3B442"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Applying these three models shows that Walmart’s culture is highly structured, centralised, and performance driven. While this provides consistency and operational strength, it also restricts adaptability, innovation, and employee input. Understanding these dynamics is essential for assessing Walmart’s broader organisational effectiveness, which will be explored in the following sections.</w:t>
      </w:r>
    </w:p>
    <w:p w14:paraId="11E7464F" w14:textId="77777777" w:rsidR="002760D6" w:rsidRPr="00361848" w:rsidRDefault="73936793" w:rsidP="5E76CA97">
      <w:pPr>
        <w:pStyle w:val="Heading1"/>
        <w:rPr>
          <w:rFonts w:asciiTheme="minorBidi" w:hAnsiTheme="minorBidi" w:cstheme="minorBidi"/>
          <w:b/>
          <w:bCs/>
        </w:rPr>
      </w:pPr>
      <w:bookmarkStart w:id="24" w:name="_Toc1869234349"/>
      <w:bookmarkStart w:id="25" w:name="_Toc212992894"/>
      <w:bookmarkStart w:id="26" w:name="_Toc213605042"/>
      <w:r w:rsidRPr="5E76CA97">
        <w:rPr>
          <w:rFonts w:asciiTheme="minorBidi" w:hAnsiTheme="minorBidi" w:cstheme="minorBidi"/>
          <w:b/>
          <w:bCs/>
        </w:rPr>
        <w:t>3. The Influence of Culture on Structure, Leadership and Decision-Making</w:t>
      </w:r>
      <w:bookmarkEnd w:id="24"/>
      <w:bookmarkEnd w:id="25"/>
      <w:bookmarkEnd w:id="26"/>
    </w:p>
    <w:p w14:paraId="708101C3"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Continuing from the theoretical frameworks presented in the previous section, this part explores how Walmart’s organisational culture directly shapes its internal structure, leadership style, and approach to decision-making. These three elements are closely connected and help explain the company’s operational strategies and day-to-day management.</w:t>
      </w:r>
    </w:p>
    <w:p w14:paraId="202D9778" w14:textId="77777777" w:rsidR="002760D6" w:rsidRPr="00361848" w:rsidRDefault="3405E0CD">
      <w:pPr>
        <w:pStyle w:val="Heading2"/>
        <w:rPr>
          <w:rFonts w:asciiTheme="minorBidi" w:hAnsiTheme="minorBidi" w:cstheme="minorBidi"/>
        </w:rPr>
      </w:pPr>
      <w:bookmarkStart w:id="27" w:name="_Toc1841406150"/>
      <w:bookmarkStart w:id="28" w:name="_Toc212992895"/>
      <w:bookmarkStart w:id="29" w:name="_Toc213605043"/>
      <w:r w:rsidRPr="00361848">
        <w:rPr>
          <w:rFonts w:asciiTheme="minorBidi" w:hAnsiTheme="minorBidi" w:cstheme="minorBidi"/>
        </w:rPr>
        <w:t>3.1 Cultural Influence on Organisational Structure</w:t>
      </w:r>
      <w:bookmarkEnd w:id="27"/>
      <w:bookmarkEnd w:id="28"/>
      <w:bookmarkEnd w:id="29"/>
    </w:p>
    <w:p w14:paraId="1018935D" w14:textId="6A837AA0"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structure is deeply influenced by its strong role-based culture, as discussed earlier. The company operates under a functional hierarchical structure, where authority flows from the top, and departments are specialised by function (Daft, 20</w:t>
      </w:r>
      <w:r w:rsidR="00EF401B">
        <w:rPr>
          <w:rFonts w:asciiTheme="minorBidi" w:eastAsia="Arial" w:hAnsiTheme="minorBidi" w:cstheme="minorBidi"/>
          <w:sz w:val="22"/>
          <w:szCs w:val="22"/>
        </w:rPr>
        <w:t>15</w:t>
      </w:r>
      <w:r w:rsidRPr="00361848">
        <w:rPr>
          <w:rFonts w:asciiTheme="minorBidi" w:eastAsia="Arial" w:hAnsiTheme="minorBidi" w:cstheme="minorBidi"/>
          <w:sz w:val="22"/>
          <w:szCs w:val="22"/>
        </w:rPr>
        <w:t>). This form of structure complements the company’s cultural focus on efficiency, control, and cost management.</w:t>
      </w:r>
    </w:p>
    <w:p w14:paraId="19DA162D"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 xml:space="preserve">Employees at lower levels have clearly defined roles, but limited autonomy. Decision-making is often centralised, with top executives setting company-wide policies. This ensures consistency across thousands of stores globally but limits local responsiveness. The organisational structure reinforces the culture of control and performance monitoring, with </w:t>
      </w:r>
      <w:r w:rsidRPr="00361848">
        <w:rPr>
          <w:rFonts w:asciiTheme="minorBidi" w:eastAsia="Arial" w:hAnsiTheme="minorBidi" w:cstheme="minorBidi"/>
          <w:sz w:val="22"/>
          <w:szCs w:val="22"/>
        </w:rPr>
        <w:lastRenderedPageBreak/>
        <w:t>systems in place to track employee productivity, stock levels, and customer satisfaction in real time.</w:t>
      </w:r>
    </w:p>
    <w:p w14:paraId="5E918973" w14:textId="77777777" w:rsidR="002760D6" w:rsidRPr="00361848" w:rsidRDefault="3405E0CD">
      <w:pPr>
        <w:pStyle w:val="Heading2"/>
        <w:rPr>
          <w:rFonts w:asciiTheme="minorBidi" w:hAnsiTheme="minorBidi" w:cstheme="minorBidi"/>
        </w:rPr>
      </w:pPr>
      <w:bookmarkStart w:id="30" w:name="_Toc1167016040"/>
      <w:bookmarkStart w:id="31" w:name="_Toc212992896"/>
      <w:bookmarkStart w:id="32" w:name="_Toc213605044"/>
      <w:r w:rsidRPr="00361848">
        <w:rPr>
          <w:rFonts w:asciiTheme="minorBidi" w:hAnsiTheme="minorBidi" w:cstheme="minorBidi"/>
        </w:rPr>
        <w:t>3.2 Leadership Styles Aligned with Culture</w:t>
      </w:r>
      <w:bookmarkEnd w:id="30"/>
      <w:bookmarkEnd w:id="31"/>
      <w:bookmarkEnd w:id="32"/>
    </w:p>
    <w:p w14:paraId="1052D719" w14:textId="6D15A36C"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Leadership at Walmart historically reflects a transactional style, where leaders set specific goals and employees are rewarded or disciplined based on outcomes (Mullins, 20</w:t>
      </w:r>
      <w:r w:rsidR="00952888">
        <w:rPr>
          <w:rFonts w:asciiTheme="minorBidi" w:eastAsia="Arial" w:hAnsiTheme="minorBidi" w:cstheme="minorBidi"/>
          <w:sz w:val="22"/>
          <w:szCs w:val="22"/>
        </w:rPr>
        <w:t>07</w:t>
      </w:r>
      <w:r w:rsidRPr="00361848">
        <w:rPr>
          <w:rFonts w:asciiTheme="minorBidi" w:eastAsia="Arial" w:hAnsiTheme="minorBidi" w:cstheme="minorBidi"/>
          <w:sz w:val="22"/>
          <w:szCs w:val="22"/>
        </w:rPr>
        <w:t>). This leadership model is well-suited to Walmart’s culture, which values order, discipline, and measurable performance.</w:t>
      </w:r>
    </w:p>
    <w:p w14:paraId="55129726" w14:textId="36F6AD8E" w:rsidR="002760D6" w:rsidRPr="00361848" w:rsidRDefault="3BA94B8D" w:rsidP="5E76CA97">
      <w:pPr>
        <w:spacing w:before="240" w:after="240" w:line="360" w:lineRule="auto"/>
        <w:jc w:val="both"/>
        <w:rPr>
          <w:rFonts w:asciiTheme="minorBidi" w:eastAsia="Arial" w:hAnsiTheme="minorBidi" w:cstheme="minorBidi"/>
          <w:sz w:val="22"/>
          <w:szCs w:val="22"/>
        </w:rPr>
      </w:pPr>
      <w:r w:rsidRPr="5E76CA97">
        <w:rPr>
          <w:rFonts w:asciiTheme="minorBidi" w:eastAsia="Arial" w:hAnsiTheme="minorBidi" w:cstheme="minorBidi"/>
          <w:sz w:val="22"/>
          <w:szCs w:val="22"/>
        </w:rPr>
        <w:t xml:space="preserve">The influence of Sam Walton’s leadership is still present in the company’s cultural DNA. His </w:t>
      </w:r>
      <w:r w:rsidR="79C2FC23" w:rsidRPr="5E76CA97">
        <w:rPr>
          <w:rFonts w:asciiTheme="minorBidi" w:eastAsia="Arial" w:hAnsiTheme="minorBidi" w:cstheme="minorBidi"/>
          <w:sz w:val="22"/>
          <w:szCs w:val="22"/>
        </w:rPr>
        <w:t>“</w:t>
      </w:r>
      <w:r w:rsidRPr="5E76CA97">
        <w:rPr>
          <w:rFonts w:asciiTheme="minorBidi" w:eastAsia="Arial" w:hAnsiTheme="minorBidi" w:cstheme="minorBidi"/>
          <w:sz w:val="22"/>
          <w:szCs w:val="22"/>
        </w:rPr>
        <w:t>servant leadership” philosophy encouraged managers to stay connected with frontline workers, promoting a hands-on style. However, in recent decades, this has shifted towards a more top-down, metrics-driven leadership approach, particularly as Walmart scaled globally and invested in technology.</w:t>
      </w:r>
    </w:p>
    <w:p w14:paraId="453D6811" w14:textId="7852ACF9"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While effective for operational control, this leadership model may demotivate employees seeking engagement, development, or autonomy especially in younger and international workforces that value participation and innovation (Greenhouse, 20</w:t>
      </w:r>
      <w:r w:rsidR="00EF401B">
        <w:rPr>
          <w:rFonts w:asciiTheme="minorBidi" w:eastAsia="Arial" w:hAnsiTheme="minorBidi" w:cstheme="minorBidi"/>
          <w:sz w:val="22"/>
          <w:szCs w:val="22"/>
        </w:rPr>
        <w:t>09</w:t>
      </w:r>
      <w:r w:rsidRPr="00361848">
        <w:rPr>
          <w:rFonts w:asciiTheme="minorBidi" w:eastAsia="Arial" w:hAnsiTheme="minorBidi" w:cstheme="minorBidi"/>
          <w:sz w:val="22"/>
          <w:szCs w:val="22"/>
        </w:rPr>
        <w:t>).</w:t>
      </w:r>
    </w:p>
    <w:p w14:paraId="5FCE3728" w14:textId="77777777" w:rsidR="002760D6" w:rsidRPr="00361848" w:rsidRDefault="3405E0CD">
      <w:pPr>
        <w:pStyle w:val="Heading2"/>
        <w:rPr>
          <w:rFonts w:asciiTheme="minorBidi" w:hAnsiTheme="minorBidi" w:cstheme="minorBidi"/>
        </w:rPr>
      </w:pPr>
      <w:bookmarkStart w:id="33" w:name="_Toc628577290"/>
      <w:bookmarkStart w:id="34" w:name="_Toc212992897"/>
      <w:bookmarkStart w:id="35" w:name="_Toc213605045"/>
      <w:r w:rsidRPr="00361848">
        <w:rPr>
          <w:rFonts w:asciiTheme="minorBidi" w:hAnsiTheme="minorBidi" w:cstheme="minorBidi"/>
        </w:rPr>
        <w:t>3.3 Decision-Making Patterns at Walmart</w:t>
      </w:r>
      <w:bookmarkEnd w:id="33"/>
      <w:bookmarkEnd w:id="34"/>
      <w:bookmarkEnd w:id="35"/>
    </w:p>
    <w:p w14:paraId="0526D15A"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decision-making process is characterised by centralisation and standardisation. Most major decisions are made at corporate headquarters, then disseminated through the organisation via strict operational guidelines. This approach ensures consistency, especially in inventory control, logistics, and pricing strategy.</w:t>
      </w:r>
    </w:p>
    <w:p w14:paraId="3D3A18AD"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However, centralised decision-making can hinder responsiveness to local needs or emerging trends. In global markets, this has created challenges, as seen in Germany and South Korea, where rigid policies failed to adapt to cultural expectations (Christopherson, 2007). Thus, while Walmart’s culture supports efficient decision-making, it may limit innovation and customer-centricity in certain contexts.</w:t>
      </w:r>
    </w:p>
    <w:p w14:paraId="78D17A6A" w14:textId="77777777" w:rsidR="002760D6" w:rsidRPr="00361848" w:rsidRDefault="3405E0CD">
      <w:pPr>
        <w:pStyle w:val="Heading2"/>
        <w:rPr>
          <w:rFonts w:asciiTheme="minorBidi" w:hAnsiTheme="minorBidi" w:cstheme="minorBidi"/>
        </w:rPr>
      </w:pPr>
      <w:bookmarkStart w:id="36" w:name="_Toc1721203855"/>
      <w:bookmarkStart w:id="37" w:name="_Toc212992898"/>
      <w:bookmarkStart w:id="38" w:name="_Toc213605046"/>
      <w:r w:rsidRPr="00361848">
        <w:rPr>
          <w:rFonts w:asciiTheme="minorBidi" w:hAnsiTheme="minorBidi" w:cstheme="minorBidi"/>
        </w:rPr>
        <w:t>3.4 Implications for Efficiency and Innovation</w:t>
      </w:r>
      <w:bookmarkEnd w:id="36"/>
      <w:bookmarkEnd w:id="37"/>
      <w:bookmarkEnd w:id="38"/>
    </w:p>
    <w:p w14:paraId="17521EFC"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culture and structure together foster operational efficiency, which has been central to its global success. However, the same cultural traits may create barriers to innovation and adaptability. Encouraging more participative leadership and decentralised decision-making could enhance responsiveness and employee morale.</w:t>
      </w:r>
    </w:p>
    <w:p w14:paraId="447B615E"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lastRenderedPageBreak/>
        <w:t>These cultural influences on structure and leadership are foundational to understanding how Walmart operates on a global scale. The next section evaluates both the strengths and limitations of these cultural characteristics in more detail.</w:t>
      </w:r>
    </w:p>
    <w:p w14:paraId="4C53395A" w14:textId="77777777" w:rsidR="002760D6" w:rsidRPr="00361848" w:rsidRDefault="73936793" w:rsidP="5E76CA97">
      <w:pPr>
        <w:pStyle w:val="Heading1"/>
        <w:rPr>
          <w:rFonts w:asciiTheme="minorBidi" w:hAnsiTheme="minorBidi" w:cstheme="minorBidi"/>
          <w:b/>
          <w:bCs/>
        </w:rPr>
      </w:pPr>
      <w:bookmarkStart w:id="39" w:name="_Toc1350956671"/>
      <w:bookmarkStart w:id="40" w:name="_Toc212992899"/>
      <w:bookmarkStart w:id="41" w:name="_Toc213605047"/>
      <w:r w:rsidRPr="5E76CA97">
        <w:rPr>
          <w:rFonts w:asciiTheme="minorBidi" w:hAnsiTheme="minorBidi" w:cstheme="minorBidi"/>
          <w:b/>
          <w:bCs/>
        </w:rPr>
        <w:t>4. Positive and Negative Effects of Walmart’s Organisational Culture</w:t>
      </w:r>
      <w:bookmarkEnd w:id="39"/>
      <w:bookmarkEnd w:id="40"/>
      <w:bookmarkEnd w:id="41"/>
    </w:p>
    <w:p w14:paraId="78B503E6" w14:textId="56BECE49" w:rsidR="417FFA3C" w:rsidRPr="00361848" w:rsidRDefault="417FFA3C" w:rsidP="0AAF2C69">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organisational culture has both strengths and weaknesses that influence how the company operates and how employees experience their work. This section explains both sides of that impact.</w:t>
      </w:r>
    </w:p>
    <w:p w14:paraId="407EE87A" w14:textId="77777777" w:rsidR="002760D6" w:rsidRPr="00361848" w:rsidRDefault="3405E0CD">
      <w:pPr>
        <w:pStyle w:val="Heading2"/>
        <w:rPr>
          <w:rFonts w:asciiTheme="minorBidi" w:hAnsiTheme="minorBidi" w:cstheme="minorBidi"/>
        </w:rPr>
      </w:pPr>
      <w:bookmarkStart w:id="42" w:name="_Toc835405626"/>
      <w:bookmarkStart w:id="43" w:name="_Toc212992900"/>
      <w:bookmarkStart w:id="44" w:name="_Toc213605048"/>
      <w:r w:rsidRPr="00361848">
        <w:rPr>
          <w:rFonts w:asciiTheme="minorBidi" w:hAnsiTheme="minorBidi" w:cstheme="minorBidi"/>
        </w:rPr>
        <w:t>4.1 Positive Effects on Performance and Efficiency</w:t>
      </w:r>
      <w:bookmarkEnd w:id="42"/>
      <w:bookmarkEnd w:id="43"/>
      <w:bookmarkEnd w:id="44"/>
    </w:p>
    <w:p w14:paraId="5F625264" w14:textId="6B08E3A8" w:rsidR="556D5515" w:rsidRPr="00361848" w:rsidRDefault="556D5515" w:rsidP="0AAF2C69">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 xml:space="preserve">Walmart’s focus on cost control, discipline, and productivity has led to strong operational results. The culture encourages efficiency at all levels, with clear goals and performance standards. These values help the company maintain low prices and fast customer service, which are key to its competitive advantage (Barney, 1986). </w:t>
      </w:r>
    </w:p>
    <w:p w14:paraId="0B225397" w14:textId="19E92C97" w:rsidR="556D5515" w:rsidRPr="00361848" w:rsidRDefault="556D5515" w:rsidP="0AAF2C69">
      <w:pPr>
        <w:spacing w:before="240" w:after="240" w:line="360" w:lineRule="auto"/>
        <w:jc w:val="both"/>
        <w:rPr>
          <w:rFonts w:asciiTheme="minorBidi" w:hAnsiTheme="minorBidi" w:cstheme="minorBidi"/>
        </w:rPr>
      </w:pPr>
      <w:r w:rsidRPr="00361848">
        <w:rPr>
          <w:rFonts w:asciiTheme="minorBidi" w:eastAsia="Arial" w:hAnsiTheme="minorBidi" w:cstheme="minorBidi"/>
          <w:sz w:val="22"/>
          <w:szCs w:val="22"/>
        </w:rPr>
        <w:t>Employees follow well-defined roles, and work processes are highly standardised, which supports consistency across stores. Managers are trained to focus on meeting targets and controlling expenses. According to Lichtenstein (20</w:t>
      </w:r>
      <w:r w:rsidR="00C513AF">
        <w:rPr>
          <w:rFonts w:asciiTheme="minorBidi" w:eastAsia="Arial" w:hAnsiTheme="minorBidi" w:cstheme="minorBidi"/>
          <w:sz w:val="22"/>
          <w:szCs w:val="22"/>
        </w:rPr>
        <w:t>25</w:t>
      </w:r>
      <w:r w:rsidRPr="00361848">
        <w:rPr>
          <w:rFonts w:asciiTheme="minorBidi" w:eastAsia="Arial" w:hAnsiTheme="minorBidi" w:cstheme="minorBidi"/>
          <w:sz w:val="22"/>
          <w:szCs w:val="22"/>
        </w:rPr>
        <w:t xml:space="preserve">), this has allowed Walmart to expand globally with a consistent business model. </w:t>
      </w:r>
    </w:p>
    <w:p w14:paraId="186C87DC" w14:textId="5ED55D42" w:rsidR="556D5515" w:rsidRPr="00361848" w:rsidRDefault="556D5515" w:rsidP="0AAF2C69">
      <w:pPr>
        <w:spacing w:before="240" w:after="240" w:line="360" w:lineRule="auto"/>
        <w:jc w:val="both"/>
        <w:rPr>
          <w:rFonts w:asciiTheme="minorBidi" w:hAnsiTheme="minorBidi" w:cstheme="minorBidi"/>
        </w:rPr>
      </w:pPr>
      <w:r w:rsidRPr="00361848">
        <w:rPr>
          <w:rFonts w:asciiTheme="minorBidi" w:eastAsia="Arial" w:hAnsiTheme="minorBidi" w:cstheme="minorBidi"/>
          <w:sz w:val="22"/>
          <w:szCs w:val="22"/>
        </w:rPr>
        <w:t>In addition, a culture of accountability and reward for results can increase motivation among staff who perform well. When aligned with business goals, such a culture can improve productivity and profitability (Schein, 2010).</w:t>
      </w:r>
    </w:p>
    <w:p w14:paraId="0450D672" w14:textId="77777777" w:rsidR="002760D6" w:rsidRPr="00361848" w:rsidRDefault="3405E0CD">
      <w:pPr>
        <w:pStyle w:val="Heading2"/>
        <w:rPr>
          <w:rFonts w:asciiTheme="minorBidi" w:hAnsiTheme="minorBidi" w:cstheme="minorBidi"/>
        </w:rPr>
      </w:pPr>
      <w:bookmarkStart w:id="45" w:name="_Toc1822634078"/>
      <w:bookmarkStart w:id="46" w:name="_Toc212992901"/>
      <w:bookmarkStart w:id="47" w:name="_Toc213605049"/>
      <w:r w:rsidRPr="00361848">
        <w:rPr>
          <w:rFonts w:asciiTheme="minorBidi" w:hAnsiTheme="minorBidi" w:cstheme="minorBidi"/>
        </w:rPr>
        <w:t>4.2 Negative Effects on Innovation and Employee Engagement</w:t>
      </w:r>
      <w:bookmarkEnd w:id="45"/>
      <w:bookmarkEnd w:id="46"/>
      <w:bookmarkEnd w:id="47"/>
    </w:p>
    <w:p w14:paraId="592663DB" w14:textId="77ECFD4F" w:rsidR="0E67CC4C" w:rsidRPr="00361848" w:rsidRDefault="1B5AAEB1" w:rsidP="76EF0CDF">
      <w:pPr>
        <w:spacing w:before="240" w:after="240" w:line="360" w:lineRule="auto"/>
        <w:jc w:val="both"/>
        <w:rPr>
          <w:rFonts w:asciiTheme="minorBidi" w:hAnsiTheme="minorBidi" w:cstheme="minorBidi"/>
        </w:rPr>
      </w:pPr>
      <w:r w:rsidRPr="00361848">
        <w:rPr>
          <w:rFonts w:asciiTheme="minorBidi" w:eastAsia="Arial" w:hAnsiTheme="minorBidi" w:cstheme="minorBidi"/>
          <w:sz w:val="22"/>
          <w:szCs w:val="22"/>
        </w:rPr>
        <w:t xml:space="preserve">However, the same culture also presents challenges. Walmart’s centralised control and strict policies can limit employee input. Workers may feel they lack a voice in decisions, especially at lower levels. This can lead to low engagement and limited innovation </w:t>
      </w:r>
      <w:r w:rsidR="3A834FF1" w:rsidRPr="00361848">
        <w:rPr>
          <w:rFonts w:asciiTheme="minorBidi" w:eastAsia="Arial" w:hAnsiTheme="minorBidi" w:cstheme="minorBidi"/>
          <w:sz w:val="22"/>
          <w:szCs w:val="22"/>
        </w:rPr>
        <w:t>(Koca-Helvaci, 2015)</w:t>
      </w:r>
      <w:r w:rsidRPr="00361848">
        <w:rPr>
          <w:rFonts w:asciiTheme="minorBidi" w:eastAsia="Arial" w:hAnsiTheme="minorBidi" w:cstheme="minorBidi"/>
          <w:sz w:val="22"/>
          <w:szCs w:val="22"/>
        </w:rPr>
        <w:t>.</w:t>
      </w:r>
    </w:p>
    <w:p w14:paraId="64A73945" w14:textId="01EC11C5" w:rsidR="0E67CC4C" w:rsidRPr="00361848" w:rsidRDefault="0E67CC4C" w:rsidP="0AAF2C69">
      <w:pPr>
        <w:spacing w:before="240" w:after="240" w:line="360" w:lineRule="auto"/>
        <w:jc w:val="both"/>
        <w:rPr>
          <w:rFonts w:asciiTheme="minorBidi" w:hAnsiTheme="minorBidi" w:cstheme="minorBidi"/>
        </w:rPr>
      </w:pPr>
      <w:r w:rsidRPr="00361848">
        <w:rPr>
          <w:rFonts w:asciiTheme="minorBidi" w:eastAsia="Arial" w:hAnsiTheme="minorBidi" w:cstheme="minorBidi"/>
          <w:sz w:val="22"/>
          <w:szCs w:val="22"/>
        </w:rPr>
        <w:t>The pressure to reduce costs sometimes creates a stressful environment, where speed is valued over creativity. In such a setting, employees may avoid taking risks or sharing new ideas. Wood (</w:t>
      </w:r>
      <w:r w:rsidR="00952888">
        <w:rPr>
          <w:rFonts w:asciiTheme="minorBidi" w:eastAsia="Arial" w:hAnsiTheme="minorBidi" w:cstheme="minorBidi"/>
          <w:sz w:val="22"/>
          <w:szCs w:val="22"/>
        </w:rPr>
        <w:t>2015</w:t>
      </w:r>
      <w:r w:rsidRPr="00361848">
        <w:rPr>
          <w:rFonts w:asciiTheme="minorBidi" w:eastAsia="Arial" w:hAnsiTheme="minorBidi" w:cstheme="minorBidi"/>
          <w:sz w:val="22"/>
          <w:szCs w:val="22"/>
        </w:rPr>
        <w:t>) also suggests that limited employee voice and rigid structures often reduce motivation, particularly in large retail organisations.</w:t>
      </w:r>
    </w:p>
    <w:p w14:paraId="1F939D37" w14:textId="2E7D249A" w:rsidR="0E67CC4C" w:rsidRPr="00361848" w:rsidRDefault="0E67CC4C" w:rsidP="00CF576E">
      <w:pPr>
        <w:spacing w:before="240" w:after="240" w:line="360" w:lineRule="auto"/>
        <w:jc w:val="both"/>
        <w:rPr>
          <w:rFonts w:asciiTheme="minorBidi" w:hAnsiTheme="minorBidi" w:cstheme="minorBidi"/>
        </w:rPr>
      </w:pPr>
      <w:r w:rsidRPr="00361848">
        <w:rPr>
          <w:rFonts w:asciiTheme="minorBidi" w:eastAsia="Arial" w:hAnsiTheme="minorBidi" w:cstheme="minorBidi"/>
          <w:sz w:val="22"/>
          <w:szCs w:val="22"/>
        </w:rPr>
        <w:lastRenderedPageBreak/>
        <w:t>Furthermore, the culture may not adapt easily to diverse local markets or changing expectations. A one-size-fits-all approach can overlook cultural differences and lead to disconnect with staff and customers.</w:t>
      </w:r>
    </w:p>
    <w:p w14:paraId="77001220" w14:textId="4DF8E9CD" w:rsidR="4EE1F99B" w:rsidRPr="00361848" w:rsidRDefault="4EE1F99B" w:rsidP="00CF576E">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 xml:space="preserve">Overall, Walmart’s culture supports efficiency and results, but it also creates limitations. To stay competitive, the company must find a balance between control and flexibility, and ensure employees feel valued and heard.  </w:t>
      </w:r>
    </w:p>
    <w:p w14:paraId="3EACF217" w14:textId="6ACA7F33"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The next section explores how Walmart’s culture influences its capacity to adapt to external environmental changes.</w:t>
      </w:r>
    </w:p>
    <w:p w14:paraId="0BD01F0C" w14:textId="77777777" w:rsidR="002760D6" w:rsidRPr="00361848" w:rsidRDefault="73936793" w:rsidP="5E76CA97">
      <w:pPr>
        <w:pStyle w:val="Heading1"/>
        <w:rPr>
          <w:rFonts w:asciiTheme="minorBidi" w:hAnsiTheme="minorBidi" w:cstheme="minorBidi"/>
          <w:b/>
          <w:bCs/>
        </w:rPr>
      </w:pPr>
      <w:bookmarkStart w:id="48" w:name="_Toc1423903358"/>
      <w:bookmarkStart w:id="49" w:name="_Toc212992903"/>
      <w:bookmarkStart w:id="50" w:name="_Toc213605050"/>
      <w:r w:rsidRPr="5E76CA97">
        <w:rPr>
          <w:rFonts w:asciiTheme="minorBidi" w:hAnsiTheme="minorBidi" w:cstheme="minorBidi"/>
          <w:b/>
          <w:bCs/>
        </w:rPr>
        <w:t>5. Cultural Influence on External Adaptability</w:t>
      </w:r>
      <w:bookmarkEnd w:id="48"/>
      <w:bookmarkEnd w:id="49"/>
      <w:bookmarkEnd w:id="50"/>
    </w:p>
    <w:p w14:paraId="4A43B5CC"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Following the discussion on the internal effects of Walmart’s organisational culture, this section examines how that culture shapes the company’s ability to respond to external changes. These include shifts in consumer behaviour, technological innovation, market competition, and regulatory environments. Organisational adaptability is essential for long-term success, especially in the fast-evolving global retail industry.</w:t>
      </w:r>
    </w:p>
    <w:p w14:paraId="22A233EB" w14:textId="77777777" w:rsidR="002760D6" w:rsidRPr="00361848" w:rsidRDefault="3405E0CD">
      <w:pPr>
        <w:pStyle w:val="Heading2"/>
        <w:rPr>
          <w:rFonts w:asciiTheme="minorBidi" w:hAnsiTheme="minorBidi" w:cstheme="minorBidi"/>
        </w:rPr>
      </w:pPr>
      <w:bookmarkStart w:id="51" w:name="_Toc526989683"/>
      <w:bookmarkStart w:id="52" w:name="_Toc212992904"/>
      <w:bookmarkStart w:id="53" w:name="_Toc213605051"/>
      <w:r w:rsidRPr="00361848">
        <w:rPr>
          <w:rFonts w:asciiTheme="minorBidi" w:hAnsiTheme="minorBidi" w:cstheme="minorBidi"/>
        </w:rPr>
        <w:t>5.1 Responsiveness to Market Changes</w:t>
      </w:r>
      <w:bookmarkEnd w:id="51"/>
      <w:bookmarkEnd w:id="52"/>
      <w:bookmarkEnd w:id="53"/>
    </w:p>
    <w:p w14:paraId="43AE8BEC"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culture of operational efficiency enables it to react quickly to changes in pricing and supply chain dynamics. For instance, the company has effectively adjusted its sourcing strategies during times of inflation and supply chain disruptions (McKinsey, 2022). However, Walmart’s traditional culture, focused on stability and predictability, can limit its ability to innovate in response to rapidly changing consumer expectations, such as the demand for sustainability or personalisation.</w:t>
      </w:r>
    </w:p>
    <w:p w14:paraId="1A3AB680"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The company’s rigid hierarchy may delay decision-making in fast-paced environments, where more flexible and decentralised competitors can adapt faster. In contrast, retailers like Amazon benefit from agile cultures that empower teams to experiment and respond to emerging trends (Barney, 1986).</w:t>
      </w:r>
    </w:p>
    <w:p w14:paraId="59781734" w14:textId="77777777" w:rsidR="002760D6" w:rsidRPr="00361848" w:rsidRDefault="3405E0CD">
      <w:pPr>
        <w:pStyle w:val="Heading2"/>
        <w:rPr>
          <w:rFonts w:asciiTheme="minorBidi" w:hAnsiTheme="minorBidi" w:cstheme="minorBidi"/>
        </w:rPr>
      </w:pPr>
      <w:bookmarkStart w:id="54" w:name="_Toc144138166"/>
      <w:bookmarkStart w:id="55" w:name="_Toc212992905"/>
      <w:bookmarkStart w:id="56" w:name="_Toc213605052"/>
      <w:r w:rsidRPr="00361848">
        <w:rPr>
          <w:rFonts w:asciiTheme="minorBidi" w:hAnsiTheme="minorBidi" w:cstheme="minorBidi"/>
        </w:rPr>
        <w:t>5.2 Adaptation to Technological Shifts</w:t>
      </w:r>
      <w:bookmarkEnd w:id="54"/>
      <w:bookmarkEnd w:id="55"/>
      <w:bookmarkEnd w:id="56"/>
    </w:p>
    <w:p w14:paraId="6F1F0366"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 has made major investments in technology to modernise its operations. From automated distribution centres to data-driven inventory systems and online shopping platforms, the company is shifting to meet digital demands. However, culture plays a key role in how successfully such technologies are adopted internally.</w:t>
      </w:r>
    </w:p>
    <w:p w14:paraId="13D25446"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lastRenderedPageBreak/>
        <w:t>A performance-centric and centralised culture can slow down adoption if employees perceive new systems as threats to their routines or roles. Moreover, digital transformation requires a culture that supports innovation, collaboration, and calculated risk-taking traits that are not yet fully embedded in Walmart’s traditional operating model (Deloitte, 2023). This tension affects how efficiently Walmart can integrate digital tools across all levels of its business.</w:t>
      </w:r>
    </w:p>
    <w:p w14:paraId="06F7AA6B" w14:textId="77777777" w:rsidR="002760D6" w:rsidRPr="00361848" w:rsidRDefault="3405E0CD">
      <w:pPr>
        <w:pStyle w:val="Heading2"/>
        <w:rPr>
          <w:rFonts w:asciiTheme="minorBidi" w:hAnsiTheme="minorBidi" w:cstheme="minorBidi"/>
        </w:rPr>
      </w:pPr>
      <w:bookmarkStart w:id="57" w:name="_Toc1673529973"/>
      <w:bookmarkStart w:id="58" w:name="_Toc212992906"/>
      <w:bookmarkStart w:id="59" w:name="_Toc213605053"/>
      <w:r w:rsidRPr="00361848">
        <w:rPr>
          <w:rFonts w:asciiTheme="minorBidi" w:hAnsiTheme="minorBidi" w:cstheme="minorBidi"/>
        </w:rPr>
        <w:t>5.3 Cultural Fit in Global Markets</w:t>
      </w:r>
      <w:bookmarkEnd w:id="57"/>
      <w:bookmarkEnd w:id="58"/>
      <w:bookmarkEnd w:id="59"/>
    </w:p>
    <w:p w14:paraId="66518C0F"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failure in Germany and South Korea highlighted the risks of transferring a rigid U.S.-based culture into vastly different contexts without adaptation (Christopherson, 2007). In both cases, local employees and consumers reacted negatively to practices perceived as intrusive or inappropriate.</w:t>
      </w:r>
    </w:p>
    <w:p w14:paraId="6176F656"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Successful global adaptation requires cultural sensitivity and the ability to localise management approaches. Walmart’s culture of standardisation, while beneficial in maintaining consistency, can be a barrier when local flexibility is essential for market entry and growth.</w:t>
      </w:r>
    </w:p>
    <w:p w14:paraId="2BD527BF"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Overall, Walmart’s culture supports strong operational control and stability, but it presents limitations in fast-changing environments. For greater adaptability, the company needs to embed cultural elements that promote learning, experimentation, and decentralised decision-making.</w:t>
      </w:r>
    </w:p>
    <w:p w14:paraId="2B629072"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The following section examines whether Walmart’s culture acts as a barrier to long-term effectiveness, particularly in areas such as innovation, global expansion, and employee development.</w:t>
      </w:r>
    </w:p>
    <w:p w14:paraId="7F4C38E1" w14:textId="77777777" w:rsidR="002760D6" w:rsidRPr="00361848" w:rsidRDefault="73936793" w:rsidP="5E76CA97">
      <w:pPr>
        <w:pStyle w:val="Heading1"/>
        <w:rPr>
          <w:rFonts w:asciiTheme="minorBidi" w:hAnsiTheme="minorBidi" w:cstheme="minorBidi"/>
          <w:b/>
          <w:bCs/>
        </w:rPr>
      </w:pPr>
      <w:bookmarkStart w:id="60" w:name="_Toc1886916021"/>
      <w:bookmarkStart w:id="61" w:name="_Toc212992907"/>
      <w:bookmarkStart w:id="62" w:name="_Toc213605054"/>
      <w:r w:rsidRPr="5E76CA97">
        <w:rPr>
          <w:rFonts w:asciiTheme="minorBidi" w:hAnsiTheme="minorBidi" w:cstheme="minorBidi"/>
          <w:b/>
          <w:bCs/>
        </w:rPr>
        <w:t>6. Organisational Culture as a Barrier to Effectiveness</w:t>
      </w:r>
      <w:bookmarkEnd w:id="60"/>
      <w:bookmarkEnd w:id="61"/>
      <w:bookmarkEnd w:id="62"/>
    </w:p>
    <w:p w14:paraId="1A3B3687" w14:textId="685A33CC" w:rsidR="5D59B25A" w:rsidRPr="00361848" w:rsidRDefault="5D59B25A" w:rsidP="76EF0CDF">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While earlier sections discussed the strengths of Walmart’s organisational culture, this section explores how elements such as centralisation, rigidity and top-down control may limit strategic flexibility, especially when adaptation, innovation or greater employee involvement are required.</w:t>
      </w:r>
    </w:p>
    <w:p w14:paraId="6C830B46" w14:textId="77777777" w:rsidR="002760D6" w:rsidRPr="00361848" w:rsidRDefault="3405E0CD">
      <w:pPr>
        <w:pStyle w:val="Heading2"/>
        <w:rPr>
          <w:rFonts w:asciiTheme="minorBidi" w:hAnsiTheme="minorBidi" w:cstheme="minorBidi"/>
        </w:rPr>
      </w:pPr>
      <w:bookmarkStart w:id="63" w:name="_Toc1728985536"/>
      <w:bookmarkStart w:id="64" w:name="_Toc212992908"/>
      <w:bookmarkStart w:id="65" w:name="_Toc213605055"/>
      <w:r w:rsidRPr="00361848">
        <w:rPr>
          <w:rFonts w:asciiTheme="minorBidi" w:hAnsiTheme="minorBidi" w:cstheme="minorBidi"/>
        </w:rPr>
        <w:t>6.1 Resistance to Change and Innovation</w:t>
      </w:r>
      <w:bookmarkEnd w:id="63"/>
      <w:bookmarkEnd w:id="64"/>
      <w:bookmarkEnd w:id="65"/>
    </w:p>
    <w:p w14:paraId="7A547E81"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 xml:space="preserve">A highly structured and rules-based culture often results in risk aversion. At Walmart, the emphasis on standardisation and cost efficiency discourages experimentation and creativity </w:t>
      </w:r>
      <w:r w:rsidRPr="00361848">
        <w:rPr>
          <w:rFonts w:asciiTheme="minorBidi" w:eastAsia="Arial" w:hAnsiTheme="minorBidi" w:cstheme="minorBidi"/>
          <w:sz w:val="22"/>
          <w:szCs w:val="22"/>
        </w:rPr>
        <w:lastRenderedPageBreak/>
        <w:t>at lower levels (Schein, 2010). Employees are expected to follow protocols rather than question them, making it difficult to introduce new ideas or respond to change from within.</w:t>
      </w:r>
    </w:p>
    <w:p w14:paraId="1686014B"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For example, while the retail industry is undergoing rapid digital transformation, internal cultural resistance may slow down Walmart’s ability to implement technological innovation beyond the corporate level (Deloitte, 2023). Unlike more agile organisations, Walmart’s innovation is often driven from the top and may not reflect grassroots insights or customer-facing realities.</w:t>
      </w:r>
    </w:p>
    <w:p w14:paraId="2DEC5969" w14:textId="77777777" w:rsidR="002760D6" w:rsidRPr="00361848" w:rsidRDefault="3405E0CD">
      <w:pPr>
        <w:pStyle w:val="Heading2"/>
        <w:rPr>
          <w:rFonts w:asciiTheme="minorBidi" w:hAnsiTheme="minorBidi" w:cstheme="minorBidi"/>
        </w:rPr>
      </w:pPr>
      <w:bookmarkStart w:id="66" w:name="_Toc2114755965"/>
      <w:bookmarkStart w:id="67" w:name="_Toc212992909"/>
      <w:bookmarkStart w:id="68" w:name="_Toc213605056"/>
      <w:r w:rsidRPr="00361848">
        <w:rPr>
          <w:rFonts w:asciiTheme="minorBidi" w:hAnsiTheme="minorBidi" w:cstheme="minorBidi"/>
        </w:rPr>
        <w:t>6.2 Employee Motivation and Turnover</w:t>
      </w:r>
      <w:bookmarkEnd w:id="66"/>
      <w:bookmarkEnd w:id="67"/>
      <w:bookmarkEnd w:id="68"/>
    </w:p>
    <w:p w14:paraId="5F2EEFB4" w14:textId="501D091D"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Another barrier stems from employee dissatisfaction. Walmart’s culture of tight control and surveillance can negatively impact motivation and morale. Performance tracking systems, combined with limited participation in decision-making, may lead to employee disengagement (Mullins, 20</w:t>
      </w:r>
      <w:r w:rsidR="00952888">
        <w:rPr>
          <w:rFonts w:asciiTheme="minorBidi" w:eastAsia="Arial" w:hAnsiTheme="minorBidi" w:cstheme="minorBidi"/>
          <w:sz w:val="22"/>
          <w:szCs w:val="22"/>
        </w:rPr>
        <w:t>07</w:t>
      </w:r>
      <w:r w:rsidRPr="00361848">
        <w:rPr>
          <w:rFonts w:asciiTheme="minorBidi" w:eastAsia="Arial" w:hAnsiTheme="minorBidi" w:cstheme="minorBidi"/>
          <w:sz w:val="22"/>
          <w:szCs w:val="22"/>
        </w:rPr>
        <w:t>).</w:t>
      </w:r>
    </w:p>
    <w:p w14:paraId="26AEAF13" w14:textId="671D9A1D"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High turnover among hourly employees remains a persistent issue, particularly in regions where workers have higher expectations for autonomy and personal development. The disconnect between espoused values such as “respect for the individual” and actual practices has been frequently criticised by both academics and the media (Greenhouse, 20</w:t>
      </w:r>
      <w:r w:rsidR="00EF401B">
        <w:rPr>
          <w:rFonts w:asciiTheme="minorBidi" w:eastAsia="Arial" w:hAnsiTheme="minorBidi" w:cstheme="minorBidi"/>
          <w:sz w:val="22"/>
          <w:szCs w:val="22"/>
        </w:rPr>
        <w:t>09</w:t>
      </w:r>
      <w:r w:rsidRPr="00361848">
        <w:rPr>
          <w:rFonts w:asciiTheme="minorBidi" w:eastAsia="Arial" w:hAnsiTheme="minorBidi" w:cstheme="minorBidi"/>
          <w:sz w:val="22"/>
          <w:szCs w:val="22"/>
        </w:rPr>
        <w:t>). This inconsistency undermines trust and loyalty, which are vital for long-term effectiveness.</w:t>
      </w:r>
    </w:p>
    <w:p w14:paraId="167F27D9" w14:textId="77777777" w:rsidR="002760D6" w:rsidRPr="00361848" w:rsidRDefault="3405E0CD">
      <w:pPr>
        <w:pStyle w:val="Heading2"/>
        <w:rPr>
          <w:rFonts w:asciiTheme="minorBidi" w:hAnsiTheme="minorBidi" w:cstheme="minorBidi"/>
        </w:rPr>
      </w:pPr>
      <w:bookmarkStart w:id="69" w:name="_Toc1693961815"/>
      <w:bookmarkStart w:id="70" w:name="_Toc212992910"/>
      <w:bookmarkStart w:id="71" w:name="_Toc213605057"/>
      <w:r w:rsidRPr="00361848">
        <w:rPr>
          <w:rFonts w:asciiTheme="minorBidi" w:hAnsiTheme="minorBidi" w:cstheme="minorBidi"/>
        </w:rPr>
        <w:t>6.3 Cultural Rigidity in International Operations</w:t>
      </w:r>
      <w:bookmarkEnd w:id="69"/>
      <w:bookmarkEnd w:id="70"/>
      <w:bookmarkEnd w:id="71"/>
    </w:p>
    <w:p w14:paraId="27286F4C"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cultural rigidity has created significant barriers in international markets. As previously discussed, the company’s failures in Germany and South Korea were partly due to imposing U.S. management practices in contexts where collaboration and egalitarianism were more highly valued (Christopherson, 2007).</w:t>
      </w:r>
    </w:p>
    <w:p w14:paraId="55428AAE"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Instead of adapting its practices to local norms, Walmart often prioritised cultural consistency over cultural integration. This approach led to customer alienation, employee dissatisfaction, and ultimately, market withdrawal. As a global company, the inability to culturally adapt limits strategic options and reduces competitiveness abroad.</w:t>
      </w:r>
    </w:p>
    <w:p w14:paraId="74CF0768"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culture, while effective in sustaining operational excellence, can hinder long-term organisational effectiveness in a dynamic business environment. Resistance to change, low employee empowerment, and international cultural clashes all present significant risks. These cultural limitations need to be addressed if the company is to remain agile, innovative, and globally competitive.</w:t>
      </w:r>
    </w:p>
    <w:p w14:paraId="455C0496"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lastRenderedPageBreak/>
        <w:t>In the next section, we explore how Walmart’s culture influences its actual organisational performance, connecting cultural traits with measurable outcomes.</w:t>
      </w:r>
    </w:p>
    <w:p w14:paraId="7628C63B" w14:textId="77777777" w:rsidR="002760D6" w:rsidRPr="00361848" w:rsidRDefault="73936793" w:rsidP="5E76CA97">
      <w:pPr>
        <w:pStyle w:val="Heading1"/>
        <w:rPr>
          <w:rFonts w:asciiTheme="minorBidi" w:hAnsiTheme="minorBidi" w:cstheme="minorBidi"/>
          <w:b/>
          <w:bCs/>
        </w:rPr>
      </w:pPr>
      <w:bookmarkStart w:id="72" w:name="_Toc1443338413"/>
      <w:bookmarkStart w:id="73" w:name="_Toc212992911"/>
      <w:bookmarkStart w:id="74" w:name="_Toc213605058"/>
      <w:r w:rsidRPr="5E76CA97">
        <w:rPr>
          <w:rFonts w:asciiTheme="minorBidi" w:hAnsiTheme="minorBidi" w:cstheme="minorBidi"/>
          <w:b/>
          <w:bCs/>
        </w:rPr>
        <w:t>7. The Impact of Culture on Organisational Performance</w:t>
      </w:r>
      <w:bookmarkEnd w:id="72"/>
      <w:bookmarkEnd w:id="73"/>
      <w:bookmarkEnd w:id="74"/>
    </w:p>
    <w:p w14:paraId="1549BA2D"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This section builds on the earlier discussion of culture as both a strength and a constraint by evaluating how Walmart’s organisational culture affects its actual business performance. Organisational performance can be assessed through financial outcomes, customer satisfaction, innovation capacity, and employee retention. Walmart’s culture has complex effects across these dimensions.</w:t>
      </w:r>
    </w:p>
    <w:p w14:paraId="487803D3" w14:textId="77777777" w:rsidR="002760D6" w:rsidRPr="00361848" w:rsidRDefault="3405E0CD">
      <w:pPr>
        <w:pStyle w:val="Heading2"/>
        <w:rPr>
          <w:rFonts w:asciiTheme="minorBidi" w:hAnsiTheme="minorBidi" w:cstheme="minorBidi"/>
        </w:rPr>
      </w:pPr>
      <w:bookmarkStart w:id="75" w:name="_Toc1836741226"/>
      <w:bookmarkStart w:id="76" w:name="_Toc212992912"/>
      <w:bookmarkStart w:id="77" w:name="_Toc213605059"/>
      <w:r w:rsidRPr="00361848">
        <w:rPr>
          <w:rFonts w:asciiTheme="minorBidi" w:hAnsiTheme="minorBidi" w:cstheme="minorBidi"/>
        </w:rPr>
        <w:t>7.1 Financial Performance and Operational Outcomes</w:t>
      </w:r>
      <w:bookmarkEnd w:id="75"/>
      <w:bookmarkEnd w:id="76"/>
      <w:bookmarkEnd w:id="77"/>
    </w:p>
    <w:p w14:paraId="3F378753" w14:textId="77518689"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focus on efficiency, discipline, and centralised control has supported remarkable financial growth. Its cost leadership strategy</w:t>
      </w:r>
      <w:r w:rsidR="003057B2" w:rsidRPr="00361848">
        <w:rPr>
          <w:rFonts w:asciiTheme="minorBidi" w:eastAsia="Arial" w:hAnsiTheme="minorBidi" w:cstheme="minorBidi"/>
          <w:sz w:val="22"/>
          <w:szCs w:val="22"/>
        </w:rPr>
        <w:t xml:space="preserve"> </w:t>
      </w:r>
      <w:r w:rsidRPr="00361848">
        <w:rPr>
          <w:rFonts w:asciiTheme="minorBidi" w:eastAsia="Arial" w:hAnsiTheme="minorBidi" w:cstheme="minorBidi"/>
          <w:sz w:val="22"/>
          <w:szCs w:val="22"/>
        </w:rPr>
        <w:t>driven by a culture of frugality and tight operational control</w:t>
      </w:r>
      <w:r w:rsidR="008959E1" w:rsidRPr="00361848">
        <w:rPr>
          <w:rFonts w:asciiTheme="minorBidi" w:eastAsia="Arial" w:hAnsiTheme="minorBidi" w:cstheme="minorBidi"/>
          <w:sz w:val="22"/>
          <w:szCs w:val="22"/>
        </w:rPr>
        <w:t xml:space="preserve"> </w:t>
      </w:r>
      <w:r w:rsidRPr="00361848">
        <w:rPr>
          <w:rFonts w:asciiTheme="minorBidi" w:eastAsia="Arial" w:hAnsiTheme="minorBidi" w:cstheme="minorBidi"/>
          <w:sz w:val="22"/>
          <w:szCs w:val="22"/>
        </w:rPr>
        <w:t>enables it to offer low prices and maintain strong market share in competitive retail sectors (Barney, 1986).</w:t>
      </w:r>
    </w:p>
    <w:p w14:paraId="504F548B" w14:textId="34BD52DE"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 xml:space="preserve">The use of advanced logistics and inventory systems is made more effective by a culture that supports consistency and data-driven management. As a result, Walmart frequently leads industry benchmarks in supply chain efficiency, gross margin </w:t>
      </w:r>
      <w:r w:rsidR="00210D84" w:rsidRPr="00361848">
        <w:rPr>
          <w:rFonts w:asciiTheme="minorBidi" w:eastAsia="Arial" w:hAnsiTheme="minorBidi" w:cstheme="minorBidi"/>
          <w:sz w:val="22"/>
          <w:szCs w:val="22"/>
        </w:rPr>
        <w:t>returns</w:t>
      </w:r>
      <w:r w:rsidRPr="00361848">
        <w:rPr>
          <w:rFonts w:asciiTheme="minorBidi" w:eastAsia="Arial" w:hAnsiTheme="minorBidi" w:cstheme="minorBidi"/>
          <w:sz w:val="22"/>
          <w:szCs w:val="22"/>
        </w:rPr>
        <w:t xml:space="preserve"> on investment (GMROI), and return on assets (ROA) (Statista, 2023).</w:t>
      </w:r>
    </w:p>
    <w:p w14:paraId="0E6B26B9" w14:textId="77777777" w:rsidR="002760D6" w:rsidRPr="00361848" w:rsidRDefault="3405E0CD">
      <w:pPr>
        <w:pStyle w:val="Heading2"/>
        <w:rPr>
          <w:rFonts w:asciiTheme="minorBidi" w:hAnsiTheme="minorBidi" w:cstheme="minorBidi"/>
        </w:rPr>
      </w:pPr>
      <w:bookmarkStart w:id="78" w:name="_Toc1007328615"/>
      <w:bookmarkStart w:id="79" w:name="_Toc212992913"/>
      <w:bookmarkStart w:id="80" w:name="_Toc213605060"/>
      <w:r w:rsidRPr="00361848">
        <w:rPr>
          <w:rFonts w:asciiTheme="minorBidi" w:hAnsiTheme="minorBidi" w:cstheme="minorBidi"/>
        </w:rPr>
        <w:t>7.2 Employee Retention and Performance</w:t>
      </w:r>
      <w:bookmarkEnd w:id="78"/>
      <w:bookmarkEnd w:id="79"/>
      <w:bookmarkEnd w:id="80"/>
    </w:p>
    <w:p w14:paraId="3FB952F6" w14:textId="301A0352" w:rsidR="002760D6" w:rsidRPr="00361848" w:rsidRDefault="3405E0CD" w:rsidP="76EF0CDF">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 xml:space="preserve">However, the same cultural traits that support efficiency can damage employee well-being. A performance-based culture that heavily relies on surveillance and metrics may reduce intrinsic motivation. Studies have shown that Walmart’s hourly staff often feel overworked and undervalued, with limited opportunities for advancement </w:t>
      </w:r>
      <w:r w:rsidR="4F841266" w:rsidRPr="00361848">
        <w:rPr>
          <w:rFonts w:asciiTheme="minorBidi" w:eastAsia="Arial" w:hAnsiTheme="minorBidi" w:cstheme="minorBidi"/>
          <w:sz w:val="22"/>
          <w:szCs w:val="22"/>
        </w:rPr>
        <w:t>(Magdalena, 2015)</w:t>
      </w:r>
      <w:r w:rsidRPr="00361848">
        <w:rPr>
          <w:rFonts w:asciiTheme="minorBidi" w:eastAsia="Arial" w:hAnsiTheme="minorBidi" w:cstheme="minorBidi"/>
          <w:sz w:val="22"/>
          <w:szCs w:val="22"/>
        </w:rPr>
        <w:t>. This contributes to high employee turnover, which increases recruitment and training costs and disrupts service quality.</w:t>
      </w:r>
    </w:p>
    <w:p w14:paraId="43B07358" w14:textId="0B5DA61F"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In contrast, organisations with people-focused cultures tend to have higher retention, lower absenteeism, and improved performance outcomes (Mullins, 20</w:t>
      </w:r>
      <w:r w:rsidR="00952888">
        <w:rPr>
          <w:rFonts w:asciiTheme="minorBidi" w:eastAsia="Arial" w:hAnsiTheme="minorBidi" w:cstheme="minorBidi"/>
          <w:sz w:val="22"/>
          <w:szCs w:val="22"/>
        </w:rPr>
        <w:t>07</w:t>
      </w:r>
      <w:r w:rsidRPr="00361848">
        <w:rPr>
          <w:rFonts w:asciiTheme="minorBidi" w:eastAsia="Arial" w:hAnsiTheme="minorBidi" w:cstheme="minorBidi"/>
          <w:sz w:val="22"/>
          <w:szCs w:val="22"/>
        </w:rPr>
        <w:t>). Walmart’s challenge lies in aligning its performance expectations with a more supportive internal environment.</w:t>
      </w:r>
    </w:p>
    <w:p w14:paraId="6345D7D9" w14:textId="77777777" w:rsidR="002760D6" w:rsidRPr="00361848" w:rsidRDefault="3405E0CD">
      <w:pPr>
        <w:pStyle w:val="Heading2"/>
        <w:rPr>
          <w:rFonts w:asciiTheme="minorBidi" w:hAnsiTheme="minorBidi" w:cstheme="minorBidi"/>
        </w:rPr>
      </w:pPr>
      <w:bookmarkStart w:id="81" w:name="_Toc922947463"/>
      <w:bookmarkStart w:id="82" w:name="_Toc212992914"/>
      <w:bookmarkStart w:id="83" w:name="_Toc213605061"/>
      <w:r w:rsidRPr="00361848">
        <w:rPr>
          <w:rFonts w:asciiTheme="minorBidi" w:hAnsiTheme="minorBidi" w:cstheme="minorBidi"/>
        </w:rPr>
        <w:lastRenderedPageBreak/>
        <w:t>7.3 Innovation and Long-Term Growth</w:t>
      </w:r>
      <w:bookmarkEnd w:id="81"/>
      <w:bookmarkEnd w:id="82"/>
      <w:bookmarkEnd w:id="83"/>
    </w:p>
    <w:p w14:paraId="09769AB8"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Innovation is another critical area affected by culture. While Walmart has made investments in e-commerce and digital infrastructure, its culture does not naturally support bottom-up innovation or entrepreneurial thinking (Deloitte, 2023). Most initiatives are still centrally controlled, and employee voices are rarely included in product or service design.</w:t>
      </w:r>
    </w:p>
    <w:p w14:paraId="261A3420"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Companies that outperform over the long term typically have cultures that promote learning, experimentation, and collaboration. Walmart’s traditional top-down model may restrict its capacity to evolve with customer expectations and technological advancements.</w:t>
      </w:r>
    </w:p>
    <w:p w14:paraId="564E7AB4" w14:textId="77777777" w:rsidR="002760D6" w:rsidRPr="00361848" w:rsidRDefault="3405E0CD">
      <w:pPr>
        <w:pStyle w:val="Heading2"/>
        <w:rPr>
          <w:rFonts w:asciiTheme="minorBidi" w:hAnsiTheme="minorBidi" w:cstheme="minorBidi"/>
        </w:rPr>
      </w:pPr>
      <w:bookmarkStart w:id="84" w:name="_Toc282393887"/>
      <w:bookmarkStart w:id="85" w:name="_Toc212992915"/>
      <w:bookmarkStart w:id="86" w:name="_Toc213605062"/>
      <w:r w:rsidRPr="00361848">
        <w:rPr>
          <w:rFonts w:asciiTheme="minorBidi" w:hAnsiTheme="minorBidi" w:cstheme="minorBidi"/>
        </w:rPr>
        <w:t>7.4 Customer Satisfaction and Brand Perception</w:t>
      </w:r>
      <w:bookmarkEnd w:id="84"/>
      <w:bookmarkEnd w:id="85"/>
      <w:bookmarkEnd w:id="86"/>
    </w:p>
    <w:p w14:paraId="1BC62562"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Walmart’s culture of standardisation helps deliver a consistent customer experience. However, critics argue that this comes at the expense of personalisation and customer service quality. In global markets, the brand has struggled to adapt its offerings to local tastes and cultural preferences, reducing customer loyalty in some regions (Christopherson, 2007).</w:t>
      </w:r>
    </w:p>
    <w:p w14:paraId="1B94D9D9" w14:textId="315B45A4"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While low prices remain a strength, customer expectations are shifting toward experience and sustainability</w:t>
      </w:r>
      <w:r w:rsidR="00F1764D" w:rsidRPr="00361848">
        <w:rPr>
          <w:rFonts w:asciiTheme="minorBidi" w:eastAsia="Arial" w:hAnsiTheme="minorBidi" w:cstheme="minorBidi"/>
          <w:sz w:val="22"/>
          <w:szCs w:val="22"/>
        </w:rPr>
        <w:t xml:space="preserve"> </w:t>
      </w:r>
      <w:r w:rsidRPr="00361848">
        <w:rPr>
          <w:rFonts w:asciiTheme="minorBidi" w:eastAsia="Arial" w:hAnsiTheme="minorBidi" w:cstheme="minorBidi"/>
          <w:sz w:val="22"/>
          <w:szCs w:val="22"/>
        </w:rPr>
        <w:t>areas where Walmart must align its cultural priorities to maintain long-term competitiveness.</w:t>
      </w:r>
    </w:p>
    <w:p w14:paraId="38762AFB" w14:textId="77777777" w:rsidR="002760D6" w:rsidRPr="00361848" w:rsidRDefault="73936793" w:rsidP="5E76CA97">
      <w:pPr>
        <w:pStyle w:val="Heading1"/>
        <w:rPr>
          <w:rFonts w:asciiTheme="minorBidi" w:hAnsiTheme="minorBidi" w:cstheme="minorBidi"/>
          <w:b/>
          <w:bCs/>
        </w:rPr>
      </w:pPr>
      <w:bookmarkStart w:id="87" w:name="_Toc1964355992"/>
      <w:bookmarkStart w:id="88" w:name="_Toc212992916"/>
      <w:bookmarkStart w:id="89" w:name="_Toc213605063"/>
      <w:r w:rsidRPr="5E76CA97">
        <w:rPr>
          <w:rFonts w:asciiTheme="minorBidi" w:hAnsiTheme="minorBidi" w:cstheme="minorBidi"/>
          <w:b/>
          <w:bCs/>
        </w:rPr>
        <w:t>8. Recommendations for Cultural Improvement</w:t>
      </w:r>
      <w:bookmarkEnd w:id="87"/>
      <w:bookmarkEnd w:id="88"/>
      <w:bookmarkEnd w:id="89"/>
    </w:p>
    <w:p w14:paraId="285BAE29"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Considering the previous analysis, it is evident that while Walmart’s culture drives efficiency and consistency, it also creates significant limitations in areas such as innovation, employee satisfaction, and adaptability. This section offers evidence-based recommendations to improve Walmart’s organisational culture, with a focus on long-term sustainability and competitiveness.</w:t>
      </w:r>
    </w:p>
    <w:p w14:paraId="60351F9A" w14:textId="77777777" w:rsidR="002760D6" w:rsidRPr="00361848" w:rsidRDefault="3405E0CD">
      <w:pPr>
        <w:pStyle w:val="Heading2"/>
        <w:rPr>
          <w:rFonts w:asciiTheme="minorBidi" w:hAnsiTheme="minorBidi" w:cstheme="minorBidi"/>
        </w:rPr>
      </w:pPr>
      <w:bookmarkStart w:id="90" w:name="_Toc852008441"/>
      <w:bookmarkStart w:id="91" w:name="_Toc212992917"/>
      <w:bookmarkStart w:id="92" w:name="_Toc213605064"/>
      <w:r w:rsidRPr="00361848">
        <w:rPr>
          <w:rFonts w:asciiTheme="minorBidi" w:hAnsiTheme="minorBidi" w:cstheme="minorBidi"/>
        </w:rPr>
        <w:t>8.1 Encourage Employee Empowerment</w:t>
      </w:r>
      <w:bookmarkEnd w:id="90"/>
      <w:bookmarkEnd w:id="91"/>
      <w:bookmarkEnd w:id="92"/>
    </w:p>
    <w:p w14:paraId="710A4670" w14:textId="1958C78A" w:rsidR="002760D6" w:rsidRPr="00361848" w:rsidRDefault="3405E0CD" w:rsidP="76EF0CDF">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To increase motivation and reduce turnover, Walmart should adopt a more participative culture. This can be achieved by giving employees greater voice in operational decisions and recognising their contributions beyond performance metrics. Employee engagement programmes, leadership development pathways, and team-based decision-making structures can help build trust and commitment (</w:t>
      </w:r>
      <w:r w:rsidR="7E256AE5" w:rsidRPr="00361848">
        <w:rPr>
          <w:rFonts w:asciiTheme="minorBidi" w:eastAsia="Arial" w:hAnsiTheme="minorBidi" w:cstheme="minorBidi"/>
          <w:sz w:val="22"/>
          <w:szCs w:val="22"/>
        </w:rPr>
        <w:t>Jiang, 2018)</w:t>
      </w:r>
      <w:r w:rsidRPr="00361848">
        <w:rPr>
          <w:rFonts w:asciiTheme="minorBidi" w:eastAsia="Arial" w:hAnsiTheme="minorBidi" w:cstheme="minorBidi"/>
          <w:sz w:val="22"/>
          <w:szCs w:val="22"/>
        </w:rPr>
        <w:t>.</w:t>
      </w:r>
    </w:p>
    <w:p w14:paraId="323D1B51"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lastRenderedPageBreak/>
        <w:t>Empowered employees are more likely to identify improvements, innovate in customer service, and contribute to a positive working environment. This shift would also support a more inclusive interpretation of Walmart’s espoused value of “respect for the individual”.</w:t>
      </w:r>
    </w:p>
    <w:p w14:paraId="6D4DCA2A" w14:textId="77777777" w:rsidR="002760D6" w:rsidRPr="00361848" w:rsidRDefault="3405E0CD">
      <w:pPr>
        <w:pStyle w:val="Heading2"/>
        <w:rPr>
          <w:rFonts w:asciiTheme="minorBidi" w:hAnsiTheme="minorBidi" w:cstheme="minorBidi"/>
        </w:rPr>
      </w:pPr>
      <w:bookmarkStart w:id="93" w:name="_Toc1408173019"/>
      <w:bookmarkStart w:id="94" w:name="_Toc212992918"/>
      <w:bookmarkStart w:id="95" w:name="_Toc213605065"/>
      <w:r w:rsidRPr="00361848">
        <w:rPr>
          <w:rFonts w:asciiTheme="minorBidi" w:hAnsiTheme="minorBidi" w:cstheme="minorBidi"/>
        </w:rPr>
        <w:t>8.2 Foster a Culture of Innovation</w:t>
      </w:r>
      <w:bookmarkEnd w:id="93"/>
      <w:bookmarkEnd w:id="94"/>
      <w:bookmarkEnd w:id="95"/>
    </w:p>
    <w:p w14:paraId="5C51A1FF"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Walmart should move beyond top-down innovation by cultivating a culture that supports experimentation and learning. Establishing cross-functional innovation teams at the regional or store level would allow ideas to emerge closer to the customer (Barney, 1986). Small-scale pilot programmes can test new technologies or services with minimal risk, allowing the organisation to learn from failure without threatening core operations.</w:t>
      </w:r>
    </w:p>
    <w:p w14:paraId="42C08D7A"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A culture of innovation is especially important as Walmart continues to expand its digital presence and compete with agile tech-driven retailers.</w:t>
      </w:r>
    </w:p>
    <w:p w14:paraId="700052FD" w14:textId="77777777" w:rsidR="002760D6" w:rsidRPr="00361848" w:rsidRDefault="3405E0CD">
      <w:pPr>
        <w:pStyle w:val="Heading2"/>
        <w:rPr>
          <w:rFonts w:asciiTheme="minorBidi" w:hAnsiTheme="minorBidi" w:cstheme="minorBidi"/>
        </w:rPr>
      </w:pPr>
      <w:bookmarkStart w:id="96" w:name="_Toc607514831"/>
      <w:bookmarkStart w:id="97" w:name="_Toc212992919"/>
      <w:bookmarkStart w:id="98" w:name="_Toc213605066"/>
      <w:r w:rsidRPr="00361848">
        <w:rPr>
          <w:rFonts w:asciiTheme="minorBidi" w:hAnsiTheme="minorBidi" w:cstheme="minorBidi"/>
        </w:rPr>
        <w:t>8.3 Adapt Cultural Practices for Global Markets</w:t>
      </w:r>
      <w:bookmarkEnd w:id="96"/>
      <w:bookmarkEnd w:id="97"/>
      <w:bookmarkEnd w:id="98"/>
    </w:p>
    <w:p w14:paraId="577CB3A9"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As Walmart operates across diverse cultural contexts, it must tailor its organisational practices accordingly. Local leadership teams should be empowered to modify policies in line with cultural expectations and employee norms. Walmart should also invest in cross-cultural training for managers to avoid imposing U.S. practices where they are likely to clash with local values (Christopherson, 2007).</w:t>
      </w:r>
    </w:p>
    <w:p w14:paraId="66054F0E" w14:textId="77777777" w:rsidR="002760D6" w:rsidRPr="00361848" w:rsidRDefault="00B62882">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This approach promotes cultural integration rather than cultural imposition, supporting both employee satisfaction and market success.</w:t>
      </w:r>
    </w:p>
    <w:p w14:paraId="74B6C52B" w14:textId="77777777" w:rsidR="002760D6" w:rsidRPr="00361848" w:rsidRDefault="73936793" w:rsidP="5E76CA97">
      <w:pPr>
        <w:pStyle w:val="Heading1"/>
        <w:rPr>
          <w:rFonts w:asciiTheme="minorBidi" w:hAnsiTheme="minorBidi" w:cstheme="minorBidi"/>
          <w:b/>
          <w:bCs/>
        </w:rPr>
      </w:pPr>
      <w:bookmarkStart w:id="99" w:name="_Toc693053305"/>
      <w:bookmarkStart w:id="100" w:name="_Toc212992920"/>
      <w:bookmarkStart w:id="101" w:name="_Toc213605067"/>
      <w:r w:rsidRPr="5E76CA97">
        <w:rPr>
          <w:rFonts w:asciiTheme="minorBidi" w:hAnsiTheme="minorBidi" w:cstheme="minorBidi"/>
          <w:b/>
          <w:bCs/>
        </w:rPr>
        <w:t>9. Conclusion</w:t>
      </w:r>
      <w:bookmarkEnd w:id="99"/>
      <w:bookmarkEnd w:id="100"/>
      <w:bookmarkEnd w:id="101"/>
    </w:p>
    <w:p w14:paraId="243EFC2F" w14:textId="2138D0D8" w:rsidR="6ED92FDD" w:rsidRPr="00361848" w:rsidRDefault="3386DD35" w:rsidP="5E76CA97">
      <w:pPr>
        <w:spacing w:before="240" w:after="240" w:line="360" w:lineRule="auto"/>
        <w:jc w:val="both"/>
        <w:rPr>
          <w:rFonts w:asciiTheme="minorBidi" w:eastAsia="Arial" w:hAnsiTheme="minorBidi" w:cstheme="minorBidi"/>
          <w:sz w:val="22"/>
          <w:szCs w:val="22"/>
        </w:rPr>
      </w:pPr>
      <w:r w:rsidRPr="5E76CA97">
        <w:rPr>
          <w:rFonts w:asciiTheme="minorBidi" w:eastAsia="Arial" w:hAnsiTheme="minorBidi" w:cstheme="minorBidi"/>
          <w:sz w:val="22"/>
          <w:szCs w:val="22"/>
        </w:rPr>
        <w:t>This report set out to critically examine Walmart’s organisational culture by applying various theoretical models and practical perspectives. Using frameworks such as Schein’s levels of culture, Hofstede’s dimensions, and Handy’s typology, it became evident that Walmart operates through a highly centralised, performance-focused culture rooted in the legacy of</w:t>
      </w:r>
    </w:p>
    <w:p w14:paraId="33DECC1F" w14:textId="6EBDC0C3" w:rsidR="6ED92FDD" w:rsidRPr="00361848" w:rsidRDefault="3386DD35" w:rsidP="5E76CA97">
      <w:pPr>
        <w:spacing w:before="240" w:after="240" w:line="360" w:lineRule="auto"/>
        <w:jc w:val="both"/>
        <w:rPr>
          <w:rFonts w:asciiTheme="minorBidi" w:eastAsia="Arial" w:hAnsiTheme="minorBidi" w:cstheme="minorBidi"/>
          <w:sz w:val="22"/>
          <w:szCs w:val="22"/>
        </w:rPr>
      </w:pPr>
      <w:r w:rsidRPr="5E76CA97">
        <w:rPr>
          <w:rFonts w:asciiTheme="minorBidi" w:eastAsia="Arial" w:hAnsiTheme="minorBidi" w:cstheme="minorBidi"/>
          <w:sz w:val="22"/>
          <w:szCs w:val="22"/>
        </w:rPr>
        <w:t>its founder. These cultural foundations have shaped how the company is structured, how leadership functions, and how decisions are made across the business.</w:t>
      </w:r>
    </w:p>
    <w:p w14:paraId="7032D203" w14:textId="592111BA" w:rsidR="022D9C0C" w:rsidRPr="00361848" w:rsidRDefault="022D9C0C" w:rsidP="0AAF2C69">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The analysis demonstrated that this culture brings both strengths and challenges</w:t>
      </w:r>
      <w:r w:rsidR="6ED92FDD" w:rsidRPr="00361848">
        <w:rPr>
          <w:rFonts w:asciiTheme="minorBidi" w:eastAsia="Arial" w:hAnsiTheme="minorBidi" w:cstheme="minorBidi"/>
          <w:sz w:val="22"/>
          <w:szCs w:val="22"/>
        </w:rPr>
        <w:t xml:space="preserve">. On one side, Walmart benefits from operational efficiency, cost control, and consistency, which support its ability to compete globally and offer low prices to a wide customer base. On the other side, </w:t>
      </w:r>
      <w:r w:rsidR="6ED92FDD" w:rsidRPr="00361848">
        <w:rPr>
          <w:rFonts w:asciiTheme="minorBidi" w:eastAsia="Arial" w:hAnsiTheme="minorBidi" w:cstheme="minorBidi"/>
          <w:sz w:val="22"/>
          <w:szCs w:val="22"/>
        </w:rPr>
        <w:lastRenderedPageBreak/>
        <w:t>these same characteristics can restrict innovation, reduce adaptability, and negatively affect employee engagement and retention.</w:t>
      </w:r>
    </w:p>
    <w:p w14:paraId="30C55F18" w14:textId="1CCCFDED" w:rsidR="6ED92FDD" w:rsidRPr="00361848" w:rsidRDefault="6ED92FDD" w:rsidP="0AAF2C69">
      <w:pPr>
        <w:spacing w:before="240" w:after="240" w:line="360" w:lineRule="auto"/>
        <w:jc w:val="both"/>
        <w:rPr>
          <w:rFonts w:asciiTheme="minorBidi" w:hAnsiTheme="minorBidi" w:cstheme="minorBidi"/>
        </w:rPr>
      </w:pPr>
      <w:r w:rsidRPr="00361848">
        <w:rPr>
          <w:rFonts w:asciiTheme="minorBidi" w:eastAsia="Arial" w:hAnsiTheme="minorBidi" w:cstheme="minorBidi"/>
          <w:sz w:val="22"/>
          <w:szCs w:val="22"/>
        </w:rPr>
        <w:t>Cultural rigidity has also limited the company’s success in international markets, where local values often clash with standardised corporate practices. This highlights the importance of cultural awareness and flexibility when expanding globally.</w:t>
      </w:r>
    </w:p>
    <w:p w14:paraId="78069414" w14:textId="25A085B7" w:rsidR="6ED92FDD" w:rsidRPr="00361848" w:rsidRDefault="6ED92FDD" w:rsidP="0AAF2C69">
      <w:pPr>
        <w:spacing w:before="240" w:after="240" w:line="360" w:lineRule="auto"/>
        <w:jc w:val="both"/>
        <w:rPr>
          <w:rFonts w:asciiTheme="minorBidi" w:hAnsiTheme="minorBidi" w:cstheme="minorBidi"/>
        </w:rPr>
      </w:pPr>
      <w:r w:rsidRPr="00361848">
        <w:rPr>
          <w:rFonts w:asciiTheme="minorBidi" w:eastAsia="Arial" w:hAnsiTheme="minorBidi" w:cstheme="minorBidi"/>
          <w:sz w:val="22"/>
          <w:szCs w:val="22"/>
        </w:rPr>
        <w:t>To address these challenges, the report proposed measures such as encouraging innovation, empowering staff, and fostering a more adaptive mindset. These changes involve deeper cultural adjustments rather than surface-level improvements.</w:t>
      </w:r>
    </w:p>
    <w:p w14:paraId="551C95C4" w14:textId="13C64707" w:rsidR="6ED92FDD" w:rsidRPr="00361848" w:rsidRDefault="6ED92FDD" w:rsidP="0AAF2C69">
      <w:pPr>
        <w:spacing w:before="240" w:after="240" w:line="360" w:lineRule="auto"/>
        <w:jc w:val="both"/>
        <w:rPr>
          <w:rFonts w:asciiTheme="minorBidi" w:eastAsia="Arial" w:hAnsiTheme="minorBidi" w:cstheme="minorBidi"/>
          <w:sz w:val="22"/>
          <w:szCs w:val="22"/>
        </w:rPr>
      </w:pPr>
      <w:r w:rsidRPr="00361848">
        <w:rPr>
          <w:rFonts w:asciiTheme="minorBidi" w:eastAsia="Arial" w:hAnsiTheme="minorBidi" w:cstheme="minorBidi"/>
          <w:sz w:val="22"/>
          <w:szCs w:val="22"/>
        </w:rPr>
        <w:t>In conclusion, Walmart’s culture has contributed significantly to its growth and global success. However, if the company wants to continue performing well in the future, it needs to become more open to change. Building a culture that is flexible, people-focused, and supports learning will help Walmart stay competitive in an increasingly complex and fast-changing global market.</w:t>
      </w:r>
    </w:p>
    <w:p w14:paraId="02B03C21" w14:textId="34F6C17D" w:rsidR="0AAF2C69" w:rsidRPr="00361848" w:rsidRDefault="0AAF2C69" w:rsidP="0AAF2C69">
      <w:pPr>
        <w:spacing w:before="240" w:after="240" w:line="360" w:lineRule="auto"/>
        <w:jc w:val="both"/>
        <w:rPr>
          <w:rFonts w:asciiTheme="minorBidi" w:eastAsia="Arial" w:hAnsiTheme="minorBidi" w:cstheme="minorBidi"/>
          <w:sz w:val="22"/>
          <w:szCs w:val="22"/>
        </w:rPr>
      </w:pPr>
    </w:p>
    <w:p w14:paraId="20C6F79E" w14:textId="7C0B9315" w:rsidR="00CF576E" w:rsidRDefault="00CF576E" w:rsidP="5E76CA97">
      <w:pPr>
        <w:spacing w:before="240" w:after="240" w:line="360" w:lineRule="auto"/>
        <w:jc w:val="both"/>
        <w:rPr>
          <w:rFonts w:asciiTheme="minorBidi" w:eastAsia="Arial" w:hAnsiTheme="minorBidi" w:cstheme="minorBidi"/>
          <w:sz w:val="22"/>
          <w:szCs w:val="22"/>
        </w:rPr>
      </w:pPr>
    </w:p>
    <w:p w14:paraId="3687C227" w14:textId="77777777" w:rsidR="005A5D3B" w:rsidRDefault="005A5D3B" w:rsidP="5E76CA97">
      <w:pPr>
        <w:spacing w:before="240" w:after="240" w:line="360" w:lineRule="auto"/>
        <w:jc w:val="both"/>
        <w:rPr>
          <w:rFonts w:asciiTheme="minorBidi" w:eastAsia="Arial" w:hAnsiTheme="minorBidi" w:cstheme="minorBidi"/>
          <w:sz w:val="22"/>
          <w:szCs w:val="22"/>
        </w:rPr>
      </w:pPr>
    </w:p>
    <w:p w14:paraId="7DF01319" w14:textId="77777777" w:rsidR="005A5D3B" w:rsidRDefault="005A5D3B" w:rsidP="5E76CA97">
      <w:pPr>
        <w:spacing w:before="240" w:after="240" w:line="360" w:lineRule="auto"/>
        <w:jc w:val="both"/>
        <w:rPr>
          <w:rFonts w:asciiTheme="minorBidi" w:eastAsia="Arial" w:hAnsiTheme="minorBidi" w:cstheme="minorBidi"/>
          <w:sz w:val="22"/>
          <w:szCs w:val="22"/>
        </w:rPr>
      </w:pPr>
    </w:p>
    <w:p w14:paraId="574AEB59" w14:textId="77777777" w:rsidR="005A5D3B" w:rsidRDefault="005A5D3B" w:rsidP="5E76CA97">
      <w:pPr>
        <w:spacing w:before="240" w:after="240" w:line="360" w:lineRule="auto"/>
        <w:jc w:val="both"/>
        <w:rPr>
          <w:rFonts w:asciiTheme="minorBidi" w:eastAsia="Arial" w:hAnsiTheme="minorBidi" w:cstheme="minorBidi"/>
          <w:sz w:val="22"/>
          <w:szCs w:val="22"/>
        </w:rPr>
      </w:pPr>
    </w:p>
    <w:p w14:paraId="02770541" w14:textId="77777777" w:rsidR="005A5D3B" w:rsidRDefault="005A5D3B" w:rsidP="5E76CA97">
      <w:pPr>
        <w:spacing w:before="240" w:after="240" w:line="360" w:lineRule="auto"/>
        <w:jc w:val="both"/>
        <w:rPr>
          <w:rFonts w:asciiTheme="minorBidi" w:eastAsia="Arial" w:hAnsiTheme="minorBidi" w:cstheme="minorBidi"/>
          <w:sz w:val="22"/>
          <w:szCs w:val="22"/>
        </w:rPr>
      </w:pPr>
    </w:p>
    <w:p w14:paraId="213309F2" w14:textId="77777777" w:rsidR="005A5D3B" w:rsidRDefault="005A5D3B" w:rsidP="5E76CA97">
      <w:pPr>
        <w:spacing w:before="240" w:after="240" w:line="360" w:lineRule="auto"/>
        <w:jc w:val="both"/>
        <w:rPr>
          <w:rFonts w:asciiTheme="minorBidi" w:eastAsia="Arial" w:hAnsiTheme="minorBidi" w:cstheme="minorBidi"/>
          <w:sz w:val="22"/>
          <w:szCs w:val="22"/>
        </w:rPr>
      </w:pPr>
    </w:p>
    <w:p w14:paraId="1F002FF6" w14:textId="77777777" w:rsidR="005A5D3B" w:rsidRDefault="005A5D3B" w:rsidP="5E76CA97">
      <w:pPr>
        <w:spacing w:before="240" w:after="240" w:line="360" w:lineRule="auto"/>
        <w:jc w:val="both"/>
        <w:rPr>
          <w:rFonts w:asciiTheme="minorBidi" w:eastAsia="Arial" w:hAnsiTheme="minorBidi" w:cstheme="minorBidi"/>
          <w:sz w:val="22"/>
          <w:szCs w:val="22"/>
        </w:rPr>
      </w:pPr>
    </w:p>
    <w:p w14:paraId="1460B888" w14:textId="77777777" w:rsidR="005A5D3B" w:rsidRDefault="005A5D3B" w:rsidP="5E76CA97">
      <w:pPr>
        <w:spacing w:before="240" w:after="240" w:line="360" w:lineRule="auto"/>
        <w:jc w:val="both"/>
        <w:rPr>
          <w:rFonts w:asciiTheme="minorBidi" w:eastAsia="Arial" w:hAnsiTheme="minorBidi" w:cstheme="minorBidi"/>
          <w:sz w:val="22"/>
          <w:szCs w:val="22"/>
        </w:rPr>
      </w:pPr>
    </w:p>
    <w:p w14:paraId="2F77BE5F" w14:textId="77777777" w:rsidR="005A5D3B" w:rsidRDefault="005A5D3B" w:rsidP="5E76CA97">
      <w:pPr>
        <w:spacing w:before="240" w:after="240" w:line="360" w:lineRule="auto"/>
        <w:jc w:val="both"/>
        <w:rPr>
          <w:rFonts w:asciiTheme="minorBidi" w:eastAsia="Arial" w:hAnsiTheme="minorBidi" w:cstheme="minorBidi"/>
          <w:sz w:val="22"/>
          <w:szCs w:val="22"/>
        </w:rPr>
      </w:pPr>
    </w:p>
    <w:p w14:paraId="06A64DDE" w14:textId="77777777" w:rsidR="005A5D3B" w:rsidRDefault="005A5D3B" w:rsidP="5E76CA97">
      <w:pPr>
        <w:spacing w:before="240" w:after="240" w:line="360" w:lineRule="auto"/>
        <w:jc w:val="both"/>
        <w:rPr>
          <w:rFonts w:asciiTheme="minorBidi" w:eastAsia="Arial" w:hAnsiTheme="minorBidi" w:cstheme="minorBidi"/>
          <w:sz w:val="22"/>
          <w:szCs w:val="22"/>
        </w:rPr>
      </w:pPr>
    </w:p>
    <w:p w14:paraId="11513393" w14:textId="77777777" w:rsidR="005A5D3B" w:rsidRDefault="005A5D3B" w:rsidP="5E76CA97">
      <w:pPr>
        <w:spacing w:before="240" w:after="240" w:line="360" w:lineRule="auto"/>
        <w:jc w:val="both"/>
        <w:rPr>
          <w:rFonts w:asciiTheme="minorBidi" w:eastAsia="Arial" w:hAnsiTheme="minorBidi" w:cstheme="minorBidi"/>
          <w:sz w:val="22"/>
          <w:szCs w:val="22"/>
        </w:rPr>
      </w:pPr>
    </w:p>
    <w:p w14:paraId="7EC401B1" w14:textId="77777777" w:rsidR="005A5D3B" w:rsidRDefault="005A5D3B" w:rsidP="5E76CA97">
      <w:pPr>
        <w:spacing w:before="240" w:after="240" w:line="360" w:lineRule="auto"/>
        <w:jc w:val="both"/>
        <w:rPr>
          <w:rFonts w:asciiTheme="minorBidi" w:eastAsia="Arial" w:hAnsiTheme="minorBidi" w:cstheme="minorBidi"/>
          <w:sz w:val="22"/>
          <w:szCs w:val="22"/>
        </w:rPr>
      </w:pPr>
    </w:p>
    <w:p w14:paraId="4E6905B7" w14:textId="77777777" w:rsidR="005A5D3B" w:rsidRPr="00361848" w:rsidRDefault="005A5D3B" w:rsidP="5E76CA97">
      <w:pPr>
        <w:spacing w:before="240" w:after="240" w:line="360" w:lineRule="auto"/>
        <w:jc w:val="both"/>
        <w:rPr>
          <w:rFonts w:asciiTheme="minorBidi" w:eastAsia="Arial" w:hAnsiTheme="minorBidi" w:cstheme="minorBidi"/>
          <w:sz w:val="22"/>
          <w:szCs w:val="22"/>
        </w:rPr>
      </w:pPr>
    </w:p>
    <w:p w14:paraId="7DB80831" w14:textId="77777777" w:rsidR="002760D6" w:rsidRDefault="73936793" w:rsidP="5E76CA97">
      <w:pPr>
        <w:pStyle w:val="Heading1"/>
        <w:rPr>
          <w:rFonts w:asciiTheme="minorBidi" w:hAnsiTheme="minorBidi" w:cstheme="minorBidi"/>
          <w:b/>
          <w:bCs/>
        </w:rPr>
      </w:pPr>
      <w:bookmarkStart w:id="102" w:name="_Toc212992921"/>
      <w:bookmarkStart w:id="103" w:name="_Toc213605068"/>
      <w:r w:rsidRPr="5E76CA97">
        <w:rPr>
          <w:rFonts w:asciiTheme="minorBidi" w:hAnsiTheme="minorBidi" w:cstheme="minorBidi"/>
          <w:b/>
          <w:bCs/>
        </w:rPr>
        <w:lastRenderedPageBreak/>
        <w:t>References</w:t>
      </w:r>
      <w:bookmarkEnd w:id="102"/>
      <w:bookmarkEnd w:id="103"/>
    </w:p>
    <w:p w14:paraId="640DAE91" w14:textId="77777777" w:rsidR="00066FC2" w:rsidRPr="00066FC2" w:rsidRDefault="00066FC2" w:rsidP="00066FC2"/>
    <w:p w14:paraId="1BC81ABE" w14:textId="77777777" w:rsidR="008F0532" w:rsidRPr="00EF401B" w:rsidRDefault="008F0532"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Barney, J. B. (1986). Organizational culture: can it be a source of sustained competitive advantage?. </w:t>
      </w:r>
      <w:r w:rsidRPr="00EF401B">
        <w:rPr>
          <w:rFonts w:asciiTheme="minorBidi" w:eastAsia="Arial" w:hAnsiTheme="minorBidi" w:cstheme="minorBidi"/>
          <w:i/>
          <w:iCs/>
          <w:sz w:val="22"/>
          <w:szCs w:val="22"/>
        </w:rPr>
        <w:t>Academy of management review</w:t>
      </w:r>
      <w:r w:rsidRPr="00EF401B">
        <w:rPr>
          <w:rFonts w:asciiTheme="minorBidi" w:eastAsia="Arial" w:hAnsiTheme="minorBidi" w:cstheme="minorBidi"/>
          <w:sz w:val="22"/>
          <w:szCs w:val="22"/>
        </w:rPr>
        <w:t>, </w:t>
      </w:r>
      <w:r w:rsidRPr="00EF401B">
        <w:rPr>
          <w:rFonts w:asciiTheme="minorBidi" w:eastAsia="Arial" w:hAnsiTheme="minorBidi" w:cstheme="minorBidi"/>
          <w:i/>
          <w:iCs/>
          <w:sz w:val="22"/>
          <w:szCs w:val="22"/>
        </w:rPr>
        <w:t>11</w:t>
      </w:r>
      <w:r w:rsidRPr="00EF401B">
        <w:rPr>
          <w:rFonts w:asciiTheme="minorBidi" w:eastAsia="Arial" w:hAnsiTheme="minorBidi" w:cstheme="minorBidi"/>
          <w:sz w:val="22"/>
          <w:szCs w:val="22"/>
        </w:rPr>
        <w:t>(3), 656-665.</w:t>
      </w:r>
    </w:p>
    <w:p w14:paraId="011281AF" w14:textId="0998FDE5" w:rsidR="002760D6" w:rsidRPr="00EF401B" w:rsidRDefault="008F0532"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Christopherson, S. (2007). Barriers to ‘US style’lean retailing: the case of Wal-Mart's failure in Germany. </w:t>
      </w:r>
      <w:r w:rsidRPr="00EF401B">
        <w:rPr>
          <w:rFonts w:asciiTheme="minorBidi" w:eastAsia="Arial" w:hAnsiTheme="minorBidi" w:cstheme="minorBidi"/>
          <w:i/>
          <w:iCs/>
          <w:sz w:val="22"/>
          <w:szCs w:val="22"/>
        </w:rPr>
        <w:t>Journal of Economic Geography</w:t>
      </w:r>
      <w:r w:rsidRPr="00EF401B">
        <w:rPr>
          <w:rFonts w:asciiTheme="minorBidi" w:eastAsia="Arial" w:hAnsiTheme="minorBidi" w:cstheme="minorBidi"/>
          <w:sz w:val="22"/>
          <w:szCs w:val="22"/>
        </w:rPr>
        <w:t>, </w:t>
      </w:r>
      <w:r w:rsidRPr="00EF401B">
        <w:rPr>
          <w:rFonts w:asciiTheme="minorBidi" w:eastAsia="Arial" w:hAnsiTheme="minorBidi" w:cstheme="minorBidi"/>
          <w:i/>
          <w:iCs/>
          <w:sz w:val="22"/>
          <w:szCs w:val="22"/>
        </w:rPr>
        <w:t>7</w:t>
      </w:r>
      <w:r w:rsidRPr="00EF401B">
        <w:rPr>
          <w:rFonts w:asciiTheme="minorBidi" w:eastAsia="Arial" w:hAnsiTheme="minorBidi" w:cstheme="minorBidi"/>
          <w:sz w:val="22"/>
          <w:szCs w:val="22"/>
        </w:rPr>
        <w:t>(4), 451-469.</w:t>
      </w:r>
    </w:p>
    <w:p w14:paraId="3E05CE9F" w14:textId="52921EF5" w:rsidR="002760D6" w:rsidRPr="00DA65B9" w:rsidRDefault="00B62882" w:rsidP="00DA65B9">
      <w:pPr>
        <w:spacing w:line="360" w:lineRule="auto"/>
        <w:jc w:val="both"/>
        <w:rPr>
          <w:rFonts w:asciiTheme="minorBidi" w:eastAsia="Arial" w:hAnsiTheme="minorBidi" w:cstheme="minorBidi"/>
          <w:color w:val="000000" w:themeColor="text1"/>
          <w:sz w:val="22"/>
          <w:szCs w:val="22"/>
        </w:rPr>
      </w:pPr>
      <w:r w:rsidRPr="00DA65B9">
        <w:rPr>
          <w:rFonts w:asciiTheme="minorBidi" w:eastAsia="Arial" w:hAnsiTheme="minorBidi" w:cstheme="minorBidi"/>
          <w:color w:val="000000" w:themeColor="text1"/>
          <w:sz w:val="22"/>
          <w:szCs w:val="22"/>
        </w:rPr>
        <w:t xml:space="preserve">Deloitte. (2023) Global retail trends 2023: Transforming through turbulence. Deloitte Insights. Available at: </w:t>
      </w:r>
      <w:r w:rsidR="00DA65B9" w:rsidRPr="00DA65B9">
        <w:rPr>
          <w:rFonts w:asciiTheme="minorBidi" w:eastAsia="Arial" w:hAnsiTheme="minorBidi" w:cstheme="minorBidi"/>
          <w:color w:val="000000" w:themeColor="text1"/>
          <w:sz w:val="22"/>
          <w:szCs w:val="22"/>
        </w:rPr>
        <w:t>https://www2.deloitte.com</w:t>
      </w:r>
      <w:r w:rsidR="00DA65B9">
        <w:rPr>
          <w:rFonts w:asciiTheme="minorBidi" w:eastAsia="Arial" w:hAnsiTheme="minorBidi" w:cstheme="minorBidi"/>
          <w:color w:val="000000" w:themeColor="text1"/>
          <w:sz w:val="22"/>
          <w:szCs w:val="22"/>
        </w:rPr>
        <w:t xml:space="preserve"> </w:t>
      </w:r>
      <w:r w:rsidR="00DA65B9" w:rsidRPr="00DA65B9">
        <w:rPr>
          <w:rFonts w:asciiTheme="minorBidi" w:eastAsia="Arial" w:hAnsiTheme="minorBidi" w:cstheme="minorBidi"/>
          <w:sz w:val="22"/>
          <w:szCs w:val="22"/>
          <w:lang w:val="en-US"/>
        </w:rPr>
        <w:t>(Accessed 0</w:t>
      </w:r>
      <w:r w:rsidR="00DA65B9">
        <w:rPr>
          <w:rFonts w:asciiTheme="minorBidi" w:eastAsia="Arial" w:hAnsiTheme="minorBidi" w:cstheme="minorBidi"/>
          <w:sz w:val="22"/>
          <w:szCs w:val="22"/>
          <w:lang w:val="en-US"/>
        </w:rPr>
        <w:t>1</w:t>
      </w:r>
      <w:r w:rsidR="00DA65B9" w:rsidRPr="00DA65B9">
        <w:rPr>
          <w:rFonts w:asciiTheme="minorBidi" w:eastAsia="Arial" w:hAnsiTheme="minorBidi" w:cstheme="minorBidi"/>
          <w:sz w:val="22"/>
          <w:szCs w:val="22"/>
          <w:lang w:val="en-US"/>
        </w:rPr>
        <w:t xml:space="preserve"> Nov 2025).</w:t>
      </w:r>
    </w:p>
    <w:p w14:paraId="5611DB5B" w14:textId="77777777" w:rsidR="00EF401B" w:rsidRPr="00EF401B" w:rsidRDefault="00EF401B" w:rsidP="00DA65B9">
      <w:pPr>
        <w:spacing w:line="360" w:lineRule="auto"/>
        <w:jc w:val="both"/>
        <w:rPr>
          <w:rFonts w:asciiTheme="minorBidi" w:eastAsia="Arial" w:hAnsiTheme="minorBidi" w:cstheme="minorBidi"/>
          <w:color w:val="000000" w:themeColor="text1"/>
          <w:sz w:val="22"/>
          <w:szCs w:val="22"/>
        </w:rPr>
      </w:pPr>
      <w:r w:rsidRPr="00EF401B">
        <w:rPr>
          <w:rFonts w:asciiTheme="minorBidi" w:eastAsia="Arial" w:hAnsiTheme="minorBidi" w:cstheme="minorBidi"/>
          <w:color w:val="000000" w:themeColor="text1"/>
          <w:sz w:val="22"/>
          <w:szCs w:val="22"/>
        </w:rPr>
        <w:t>Daft, R. L. (2015). </w:t>
      </w:r>
      <w:r w:rsidRPr="00EF401B">
        <w:rPr>
          <w:rFonts w:asciiTheme="minorBidi" w:eastAsia="Arial" w:hAnsiTheme="minorBidi" w:cstheme="minorBidi"/>
          <w:i/>
          <w:iCs/>
          <w:color w:val="000000" w:themeColor="text1"/>
          <w:sz w:val="22"/>
          <w:szCs w:val="22"/>
        </w:rPr>
        <w:t>Organization theory and design</w:t>
      </w:r>
      <w:r w:rsidRPr="00EF401B">
        <w:rPr>
          <w:rFonts w:asciiTheme="minorBidi" w:eastAsia="Arial" w:hAnsiTheme="minorBidi" w:cstheme="minorBidi"/>
          <w:color w:val="000000" w:themeColor="text1"/>
          <w:sz w:val="22"/>
          <w:szCs w:val="22"/>
        </w:rPr>
        <w:t>. Cengage Learning Canada Inc.</w:t>
      </w:r>
    </w:p>
    <w:p w14:paraId="699E73A0" w14:textId="77777777" w:rsidR="00EF401B" w:rsidRPr="00EF401B" w:rsidRDefault="00EF401B" w:rsidP="00DA65B9">
      <w:pPr>
        <w:spacing w:line="360" w:lineRule="auto"/>
        <w:jc w:val="both"/>
        <w:rPr>
          <w:rFonts w:asciiTheme="minorBidi" w:eastAsia="Arial" w:hAnsiTheme="minorBidi" w:cstheme="minorBidi"/>
          <w:color w:val="000000" w:themeColor="text1"/>
          <w:sz w:val="22"/>
          <w:szCs w:val="22"/>
        </w:rPr>
      </w:pPr>
      <w:r w:rsidRPr="00EF401B">
        <w:rPr>
          <w:rFonts w:asciiTheme="minorBidi" w:eastAsia="Arial" w:hAnsiTheme="minorBidi" w:cstheme="minorBidi"/>
          <w:color w:val="000000" w:themeColor="text1"/>
          <w:sz w:val="22"/>
          <w:szCs w:val="22"/>
        </w:rPr>
        <w:t>Greenhouse, S. (2009). </w:t>
      </w:r>
      <w:r w:rsidRPr="00EF401B">
        <w:rPr>
          <w:rFonts w:asciiTheme="minorBidi" w:eastAsia="Arial" w:hAnsiTheme="minorBidi" w:cstheme="minorBidi"/>
          <w:i/>
          <w:iCs/>
          <w:color w:val="000000" w:themeColor="text1"/>
          <w:sz w:val="22"/>
          <w:szCs w:val="22"/>
        </w:rPr>
        <w:t>The big squeeze: Tough times for the American worker</w:t>
      </w:r>
      <w:r w:rsidRPr="00EF401B">
        <w:rPr>
          <w:rFonts w:asciiTheme="minorBidi" w:eastAsia="Arial" w:hAnsiTheme="minorBidi" w:cstheme="minorBidi"/>
          <w:color w:val="000000" w:themeColor="text1"/>
          <w:sz w:val="22"/>
          <w:szCs w:val="22"/>
        </w:rPr>
        <w:t>. Anchor.</w:t>
      </w:r>
    </w:p>
    <w:p w14:paraId="52D2446B" w14:textId="38D8A0D2" w:rsidR="008F0532" w:rsidRPr="00EF401B" w:rsidRDefault="008F0532" w:rsidP="00DA65B9">
      <w:pPr>
        <w:spacing w:line="360" w:lineRule="auto"/>
        <w:jc w:val="both"/>
        <w:rPr>
          <w:rFonts w:asciiTheme="minorBidi" w:eastAsia="Arial" w:hAnsiTheme="minorBidi" w:cstheme="minorBidi"/>
          <w:color w:val="000000" w:themeColor="text1"/>
          <w:sz w:val="22"/>
          <w:szCs w:val="22"/>
        </w:rPr>
      </w:pPr>
      <w:r w:rsidRPr="00EF401B">
        <w:rPr>
          <w:rFonts w:asciiTheme="minorBidi" w:eastAsia="Arial" w:hAnsiTheme="minorBidi" w:cstheme="minorBidi"/>
          <w:color w:val="000000" w:themeColor="text1"/>
          <w:sz w:val="22"/>
          <w:szCs w:val="22"/>
        </w:rPr>
        <w:t>Hamza, S., &amp; Nizam, I. (2016). Why Walmart fails in Germany? An analysis in the perspective of organizational behaviour. </w:t>
      </w:r>
      <w:r w:rsidRPr="00EF401B">
        <w:rPr>
          <w:rFonts w:asciiTheme="minorBidi" w:eastAsia="Arial" w:hAnsiTheme="minorBidi" w:cstheme="minorBidi"/>
          <w:i/>
          <w:iCs/>
          <w:color w:val="000000" w:themeColor="text1"/>
          <w:sz w:val="22"/>
          <w:szCs w:val="22"/>
        </w:rPr>
        <w:t>International Journal of Accounting and Business Management</w:t>
      </w:r>
      <w:r w:rsidRPr="00EF401B">
        <w:rPr>
          <w:rFonts w:asciiTheme="minorBidi" w:eastAsia="Arial" w:hAnsiTheme="minorBidi" w:cstheme="minorBidi"/>
          <w:color w:val="000000" w:themeColor="text1"/>
          <w:sz w:val="22"/>
          <w:szCs w:val="22"/>
        </w:rPr>
        <w:t>, </w:t>
      </w:r>
      <w:r w:rsidRPr="00EF401B">
        <w:rPr>
          <w:rFonts w:asciiTheme="minorBidi" w:eastAsia="Arial" w:hAnsiTheme="minorBidi" w:cstheme="minorBidi"/>
          <w:i/>
          <w:iCs/>
          <w:color w:val="000000" w:themeColor="text1"/>
          <w:sz w:val="22"/>
          <w:szCs w:val="22"/>
        </w:rPr>
        <w:t>4</w:t>
      </w:r>
      <w:r w:rsidRPr="00EF401B">
        <w:rPr>
          <w:rFonts w:asciiTheme="minorBidi" w:eastAsia="Arial" w:hAnsiTheme="minorBidi" w:cstheme="minorBidi"/>
          <w:color w:val="000000" w:themeColor="text1"/>
          <w:sz w:val="22"/>
          <w:szCs w:val="22"/>
        </w:rPr>
        <w:t>(2), 206-215.</w:t>
      </w:r>
    </w:p>
    <w:p w14:paraId="13E4F8F7" w14:textId="126549F0" w:rsidR="002760D6" w:rsidRPr="00EF401B" w:rsidRDefault="00B62882"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 xml:space="preserve">Handy, C. (1993) </w:t>
      </w:r>
      <w:r w:rsidRPr="00EF401B">
        <w:rPr>
          <w:rFonts w:asciiTheme="minorBidi" w:eastAsia="Arial" w:hAnsiTheme="minorBidi" w:cstheme="minorBidi"/>
          <w:i/>
          <w:iCs/>
          <w:sz w:val="22"/>
          <w:szCs w:val="22"/>
        </w:rPr>
        <w:t>Understanding organizations</w:t>
      </w:r>
      <w:r w:rsidRPr="00EF401B">
        <w:rPr>
          <w:rFonts w:asciiTheme="minorBidi" w:eastAsia="Arial" w:hAnsiTheme="minorBidi" w:cstheme="minorBidi"/>
          <w:sz w:val="22"/>
          <w:szCs w:val="22"/>
        </w:rPr>
        <w:t>. 4th edn. London: Penguin Books.</w:t>
      </w:r>
    </w:p>
    <w:p w14:paraId="64FC107B" w14:textId="77777777" w:rsidR="008F0532" w:rsidRPr="00EF401B" w:rsidRDefault="008F0532"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Hofstede, G. (2001). </w:t>
      </w:r>
      <w:r w:rsidRPr="00EF401B">
        <w:rPr>
          <w:rFonts w:asciiTheme="minorBidi" w:eastAsia="Arial" w:hAnsiTheme="minorBidi" w:cstheme="minorBidi"/>
          <w:i/>
          <w:iCs/>
          <w:sz w:val="22"/>
          <w:szCs w:val="22"/>
        </w:rPr>
        <w:t>Culture's consequences: Comparing values, behaviors, institutions and organizations across nations</w:t>
      </w:r>
      <w:r w:rsidRPr="00EF401B">
        <w:rPr>
          <w:rFonts w:asciiTheme="minorBidi" w:eastAsia="Arial" w:hAnsiTheme="minorBidi" w:cstheme="minorBidi"/>
          <w:sz w:val="22"/>
          <w:szCs w:val="22"/>
        </w:rPr>
        <w:t>. Sage publications.</w:t>
      </w:r>
    </w:p>
    <w:p w14:paraId="1F383096" w14:textId="77777777" w:rsidR="00C513AF" w:rsidRPr="00EF401B" w:rsidRDefault="00C513AF" w:rsidP="00DA65B9">
      <w:pPr>
        <w:spacing w:line="360" w:lineRule="auto"/>
        <w:jc w:val="both"/>
        <w:rPr>
          <w:rFonts w:asciiTheme="minorBidi" w:eastAsia="Arial" w:hAnsiTheme="minorBidi" w:cstheme="minorBidi"/>
          <w:color w:val="000000" w:themeColor="text1"/>
          <w:sz w:val="22"/>
          <w:szCs w:val="22"/>
        </w:rPr>
      </w:pPr>
      <w:r w:rsidRPr="00EF401B">
        <w:rPr>
          <w:rFonts w:asciiTheme="minorBidi" w:eastAsia="Arial" w:hAnsiTheme="minorBidi" w:cstheme="minorBidi"/>
          <w:color w:val="000000" w:themeColor="text1"/>
          <w:sz w:val="22"/>
          <w:szCs w:val="22"/>
        </w:rPr>
        <w:t>Jiang, Y. (2018). Motivation at Work and Organizational Culture Case Study of Walmart. </w:t>
      </w:r>
      <w:r w:rsidRPr="00EF401B">
        <w:rPr>
          <w:rFonts w:asciiTheme="minorBidi" w:eastAsia="Arial" w:hAnsiTheme="minorBidi" w:cstheme="minorBidi"/>
          <w:i/>
          <w:iCs/>
          <w:color w:val="000000" w:themeColor="text1"/>
          <w:sz w:val="22"/>
          <w:szCs w:val="22"/>
        </w:rPr>
        <w:t>International Journal of Education and Technology</w:t>
      </w:r>
      <w:r w:rsidRPr="00EF401B">
        <w:rPr>
          <w:rFonts w:asciiTheme="minorBidi" w:eastAsia="Arial" w:hAnsiTheme="minorBidi" w:cstheme="minorBidi"/>
          <w:color w:val="000000" w:themeColor="text1"/>
          <w:sz w:val="22"/>
          <w:szCs w:val="22"/>
        </w:rPr>
        <w:t>, </w:t>
      </w:r>
      <w:r w:rsidRPr="00EF401B">
        <w:rPr>
          <w:rFonts w:asciiTheme="minorBidi" w:eastAsia="Arial" w:hAnsiTheme="minorBidi" w:cstheme="minorBidi"/>
          <w:i/>
          <w:iCs/>
          <w:color w:val="000000" w:themeColor="text1"/>
          <w:sz w:val="22"/>
          <w:szCs w:val="22"/>
        </w:rPr>
        <w:t>159</w:t>
      </w:r>
      <w:r w:rsidRPr="00EF401B">
        <w:rPr>
          <w:rFonts w:asciiTheme="minorBidi" w:eastAsia="Arial" w:hAnsiTheme="minorBidi" w:cstheme="minorBidi"/>
          <w:color w:val="000000" w:themeColor="text1"/>
          <w:sz w:val="22"/>
          <w:szCs w:val="22"/>
        </w:rPr>
        <w:t>.</w:t>
      </w:r>
    </w:p>
    <w:p w14:paraId="7DA0BAF9" w14:textId="77777777" w:rsidR="00C513AF" w:rsidRPr="00EF401B" w:rsidRDefault="00C513AF" w:rsidP="00DA65B9">
      <w:pPr>
        <w:spacing w:line="360" w:lineRule="auto"/>
        <w:jc w:val="both"/>
        <w:rPr>
          <w:rFonts w:asciiTheme="minorBidi" w:eastAsia="Arial" w:hAnsiTheme="minorBidi" w:cstheme="minorBidi"/>
          <w:color w:val="000000" w:themeColor="text1"/>
          <w:sz w:val="22"/>
          <w:szCs w:val="22"/>
        </w:rPr>
      </w:pPr>
      <w:r w:rsidRPr="00EF401B">
        <w:rPr>
          <w:rFonts w:asciiTheme="minorBidi" w:eastAsia="Arial" w:hAnsiTheme="minorBidi" w:cstheme="minorBidi"/>
          <w:color w:val="000000" w:themeColor="text1"/>
          <w:sz w:val="22"/>
          <w:szCs w:val="22"/>
        </w:rPr>
        <w:t>Koca-Helvaci, Z. C. (2015). Walmart and its employee relations: organizational stance-taking and legitimacy. </w:t>
      </w:r>
      <w:r w:rsidRPr="00EF401B">
        <w:rPr>
          <w:rFonts w:asciiTheme="minorBidi" w:eastAsia="Arial" w:hAnsiTheme="minorBidi" w:cstheme="minorBidi"/>
          <w:i/>
          <w:iCs/>
          <w:color w:val="000000" w:themeColor="text1"/>
          <w:sz w:val="22"/>
          <w:szCs w:val="22"/>
        </w:rPr>
        <w:t>On the Horizon</w:t>
      </w:r>
      <w:r w:rsidRPr="00EF401B">
        <w:rPr>
          <w:rFonts w:asciiTheme="minorBidi" w:eastAsia="Arial" w:hAnsiTheme="minorBidi" w:cstheme="minorBidi"/>
          <w:color w:val="000000" w:themeColor="text1"/>
          <w:sz w:val="22"/>
          <w:szCs w:val="22"/>
        </w:rPr>
        <w:t>, </w:t>
      </w:r>
      <w:r w:rsidRPr="00EF401B">
        <w:rPr>
          <w:rFonts w:asciiTheme="minorBidi" w:eastAsia="Arial" w:hAnsiTheme="minorBidi" w:cstheme="minorBidi"/>
          <w:i/>
          <w:iCs/>
          <w:color w:val="000000" w:themeColor="text1"/>
          <w:sz w:val="22"/>
          <w:szCs w:val="22"/>
        </w:rPr>
        <w:t>23</w:t>
      </w:r>
      <w:r w:rsidRPr="00EF401B">
        <w:rPr>
          <w:rFonts w:asciiTheme="minorBidi" w:eastAsia="Arial" w:hAnsiTheme="minorBidi" w:cstheme="minorBidi"/>
          <w:color w:val="000000" w:themeColor="text1"/>
          <w:sz w:val="22"/>
          <w:szCs w:val="22"/>
        </w:rPr>
        <w:t>(4), 374-386.</w:t>
      </w:r>
    </w:p>
    <w:p w14:paraId="4D2DBA16" w14:textId="77777777" w:rsidR="00C513AF" w:rsidRPr="00EF401B" w:rsidRDefault="00C513AF"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Lichtenstein, N. (2025). </w:t>
      </w:r>
      <w:r w:rsidRPr="00EF401B">
        <w:rPr>
          <w:rFonts w:asciiTheme="minorBidi" w:eastAsia="Arial" w:hAnsiTheme="minorBidi" w:cstheme="minorBidi"/>
          <w:i/>
          <w:iCs/>
          <w:sz w:val="22"/>
          <w:szCs w:val="22"/>
        </w:rPr>
        <w:t>The retail revolution: How Wal-Mart created a brave new world of business</w:t>
      </w:r>
      <w:r w:rsidRPr="00EF401B">
        <w:rPr>
          <w:rFonts w:asciiTheme="minorBidi" w:eastAsia="Arial" w:hAnsiTheme="minorBidi" w:cstheme="minorBidi"/>
          <w:sz w:val="22"/>
          <w:szCs w:val="22"/>
        </w:rPr>
        <w:t>. Macmillan+ ORM.</w:t>
      </w:r>
    </w:p>
    <w:p w14:paraId="5B8FB5A9" w14:textId="49E76580" w:rsidR="002760D6" w:rsidRPr="00EF401B" w:rsidRDefault="3405E0CD"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color w:val="000000" w:themeColor="text1"/>
          <w:sz w:val="22"/>
          <w:szCs w:val="22"/>
        </w:rPr>
        <w:t>Magdalena, C</w:t>
      </w:r>
      <w:r w:rsidRPr="00EF401B">
        <w:rPr>
          <w:rFonts w:asciiTheme="minorBidi" w:eastAsia="Arial" w:hAnsiTheme="minorBidi" w:cstheme="minorBidi"/>
          <w:sz w:val="22"/>
          <w:szCs w:val="22"/>
        </w:rPr>
        <w:t xml:space="preserve">.M. (2015) </w:t>
      </w:r>
      <w:r w:rsidRPr="00EF401B">
        <w:rPr>
          <w:rFonts w:asciiTheme="minorBidi" w:eastAsia="Arial" w:hAnsiTheme="minorBidi" w:cstheme="minorBidi"/>
          <w:i/>
          <w:iCs/>
          <w:sz w:val="22"/>
          <w:szCs w:val="22"/>
        </w:rPr>
        <w:t>The impact of corporate culture on the effectiveness of companies</w:t>
      </w:r>
      <w:r w:rsidRPr="00EF401B">
        <w:rPr>
          <w:rFonts w:asciiTheme="minorBidi" w:eastAsia="Arial" w:hAnsiTheme="minorBidi" w:cstheme="minorBidi"/>
          <w:sz w:val="22"/>
          <w:szCs w:val="22"/>
        </w:rPr>
        <w:t>. Annals of the University of Targu-Jiu, 2(5), pp. 94–101.</w:t>
      </w:r>
    </w:p>
    <w:p w14:paraId="333900D1" w14:textId="69233692" w:rsidR="002760D6" w:rsidRPr="00EF401B" w:rsidRDefault="00B62882"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 xml:space="preserve">McKinsey &amp; Company. (2022) Retail’s new rules: Adapting to demand shifts. Available at: </w:t>
      </w:r>
      <w:r w:rsidR="00DA65B9" w:rsidRPr="00DA65B9">
        <w:rPr>
          <w:rFonts w:asciiTheme="minorBidi" w:eastAsia="Arial" w:hAnsiTheme="minorBidi" w:cstheme="minorBidi"/>
          <w:sz w:val="22"/>
          <w:szCs w:val="22"/>
        </w:rPr>
        <w:t>https://www.mckinsey.com</w:t>
      </w:r>
      <w:r w:rsidR="00DA65B9">
        <w:rPr>
          <w:rFonts w:asciiTheme="minorBidi" w:eastAsia="Arial" w:hAnsiTheme="minorBidi" w:cstheme="minorBidi"/>
          <w:sz w:val="22"/>
          <w:szCs w:val="22"/>
        </w:rPr>
        <w:t xml:space="preserve"> </w:t>
      </w:r>
      <w:r w:rsidR="00DA65B9" w:rsidRPr="00DA65B9">
        <w:rPr>
          <w:rFonts w:asciiTheme="minorBidi" w:eastAsia="Arial" w:hAnsiTheme="minorBidi" w:cstheme="minorBidi"/>
          <w:sz w:val="22"/>
          <w:szCs w:val="22"/>
          <w:lang w:val="en-US"/>
        </w:rPr>
        <w:t>(Accessed 0</w:t>
      </w:r>
      <w:r w:rsidR="00DA65B9">
        <w:rPr>
          <w:rFonts w:asciiTheme="minorBidi" w:eastAsia="Arial" w:hAnsiTheme="minorBidi" w:cstheme="minorBidi"/>
          <w:sz w:val="22"/>
          <w:szCs w:val="22"/>
          <w:lang w:val="en-US"/>
        </w:rPr>
        <w:t>7</w:t>
      </w:r>
      <w:r w:rsidR="00DA65B9" w:rsidRPr="00DA65B9">
        <w:rPr>
          <w:rFonts w:asciiTheme="minorBidi" w:eastAsia="Arial" w:hAnsiTheme="minorBidi" w:cstheme="minorBidi"/>
          <w:sz w:val="22"/>
          <w:szCs w:val="22"/>
          <w:lang w:val="en-US"/>
        </w:rPr>
        <w:t xml:space="preserve"> Nov 2025).</w:t>
      </w:r>
    </w:p>
    <w:p w14:paraId="3868A9A6" w14:textId="77777777" w:rsidR="00952888" w:rsidRPr="00EF401B" w:rsidRDefault="00952888"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Mullins, L. J. (2007). </w:t>
      </w:r>
      <w:r w:rsidRPr="00EF401B">
        <w:rPr>
          <w:rFonts w:asciiTheme="minorBidi" w:eastAsia="Arial" w:hAnsiTheme="minorBidi" w:cstheme="minorBidi"/>
          <w:i/>
          <w:iCs/>
          <w:sz w:val="22"/>
          <w:szCs w:val="22"/>
        </w:rPr>
        <w:t>Management and organisational behaviour</w:t>
      </w:r>
      <w:r w:rsidRPr="00EF401B">
        <w:rPr>
          <w:rFonts w:asciiTheme="minorBidi" w:eastAsia="Arial" w:hAnsiTheme="minorBidi" w:cstheme="minorBidi"/>
          <w:sz w:val="22"/>
          <w:szCs w:val="22"/>
        </w:rPr>
        <w:t>. Pearson education.</w:t>
      </w:r>
    </w:p>
    <w:p w14:paraId="54647ADE" w14:textId="48AD38CB" w:rsidR="002760D6" w:rsidRPr="00EF401B" w:rsidRDefault="00B62882"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Schein, E.H. (1985) Organizational culture and leadership. 1st edn. San Francisco: Jossey-Bass.</w:t>
      </w:r>
    </w:p>
    <w:p w14:paraId="541BA8CE" w14:textId="77777777" w:rsidR="00952888" w:rsidRPr="00EF401B" w:rsidRDefault="00952888"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lastRenderedPageBreak/>
        <w:t>Schein, E. H. (2010). </w:t>
      </w:r>
      <w:r w:rsidRPr="00EF401B">
        <w:rPr>
          <w:rFonts w:asciiTheme="minorBidi" w:eastAsia="Arial" w:hAnsiTheme="minorBidi" w:cstheme="minorBidi"/>
          <w:i/>
          <w:iCs/>
          <w:sz w:val="22"/>
          <w:szCs w:val="22"/>
        </w:rPr>
        <w:t>Organizational culture and leadership</w:t>
      </w:r>
      <w:r w:rsidRPr="00EF401B">
        <w:rPr>
          <w:rFonts w:asciiTheme="minorBidi" w:eastAsia="Arial" w:hAnsiTheme="minorBidi" w:cstheme="minorBidi"/>
          <w:sz w:val="22"/>
          <w:szCs w:val="22"/>
        </w:rPr>
        <w:t> (Vol. 2). John Wiley &amp; Sons.</w:t>
      </w:r>
    </w:p>
    <w:p w14:paraId="4AF99531" w14:textId="5B588451" w:rsidR="002760D6" w:rsidRPr="00EF401B" w:rsidRDefault="00B62882"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Statista. (2023) Walmart: Revenue and statistics. Available at: https://www.statista.com</w:t>
      </w:r>
      <w:r w:rsidR="00DA65B9" w:rsidRPr="00DA65B9">
        <w:rPr>
          <w:rFonts w:asciiTheme="minorHAnsi" w:eastAsiaTheme="minorEastAsia" w:hAnsi="Calibri"/>
          <w:b/>
          <w:bCs/>
          <w:color w:val="000000" w:themeColor="text1"/>
          <w:kern w:val="24"/>
          <w:lang w:val="en-US"/>
        </w:rPr>
        <w:t xml:space="preserve"> </w:t>
      </w:r>
      <w:r w:rsidR="00DA65B9" w:rsidRPr="00DA65B9">
        <w:rPr>
          <w:rFonts w:asciiTheme="minorBidi" w:eastAsia="Arial" w:hAnsiTheme="minorBidi" w:cstheme="minorBidi"/>
          <w:sz w:val="22"/>
          <w:szCs w:val="22"/>
          <w:lang w:val="en-US"/>
        </w:rPr>
        <w:t>(Accessed 09 Nov 2025).</w:t>
      </w:r>
    </w:p>
    <w:p w14:paraId="63DD6359" w14:textId="4417335B" w:rsidR="002760D6" w:rsidRPr="00EF401B" w:rsidRDefault="00952888" w:rsidP="00DA65B9">
      <w:pPr>
        <w:spacing w:line="360" w:lineRule="auto"/>
        <w:jc w:val="both"/>
        <w:rPr>
          <w:rFonts w:asciiTheme="minorBidi" w:eastAsia="Arial" w:hAnsiTheme="minorBidi" w:cstheme="minorBidi"/>
          <w:sz w:val="22"/>
          <w:szCs w:val="22"/>
        </w:rPr>
      </w:pPr>
      <w:r w:rsidRPr="00EF401B">
        <w:rPr>
          <w:rFonts w:asciiTheme="minorBidi" w:eastAsia="Arial" w:hAnsiTheme="minorBidi" w:cstheme="minorBidi"/>
          <w:sz w:val="22"/>
          <w:szCs w:val="22"/>
        </w:rPr>
        <w:t>Wood, A. J. (2015). Networks of injustice and worker mobilisation at W almart. </w:t>
      </w:r>
      <w:r w:rsidRPr="00EF401B">
        <w:rPr>
          <w:rFonts w:asciiTheme="minorBidi" w:eastAsia="Arial" w:hAnsiTheme="minorBidi" w:cstheme="minorBidi"/>
          <w:i/>
          <w:iCs/>
          <w:sz w:val="22"/>
          <w:szCs w:val="22"/>
        </w:rPr>
        <w:t>industrial relations Journal</w:t>
      </w:r>
      <w:r w:rsidRPr="00EF401B">
        <w:rPr>
          <w:rFonts w:asciiTheme="minorBidi" w:eastAsia="Arial" w:hAnsiTheme="minorBidi" w:cstheme="minorBidi"/>
          <w:sz w:val="22"/>
          <w:szCs w:val="22"/>
        </w:rPr>
        <w:t>, </w:t>
      </w:r>
      <w:r w:rsidRPr="00EF401B">
        <w:rPr>
          <w:rFonts w:asciiTheme="minorBidi" w:eastAsia="Arial" w:hAnsiTheme="minorBidi" w:cstheme="minorBidi"/>
          <w:i/>
          <w:iCs/>
          <w:sz w:val="22"/>
          <w:szCs w:val="22"/>
        </w:rPr>
        <w:t>46</w:t>
      </w:r>
      <w:r w:rsidRPr="00EF401B">
        <w:rPr>
          <w:rFonts w:asciiTheme="minorBidi" w:eastAsia="Arial" w:hAnsiTheme="minorBidi" w:cstheme="minorBidi"/>
          <w:sz w:val="22"/>
          <w:szCs w:val="22"/>
        </w:rPr>
        <w:t>(4), 259-274.</w:t>
      </w:r>
    </w:p>
    <w:p w14:paraId="3F393269" w14:textId="77777777" w:rsidR="002760D6" w:rsidRPr="00361848" w:rsidRDefault="002760D6" w:rsidP="00EF401B">
      <w:pPr>
        <w:spacing w:line="360" w:lineRule="auto"/>
        <w:rPr>
          <w:rFonts w:asciiTheme="minorBidi" w:eastAsia="Arial" w:hAnsiTheme="minorBidi" w:cstheme="minorBidi"/>
          <w:sz w:val="22"/>
          <w:szCs w:val="22"/>
        </w:rPr>
      </w:pPr>
    </w:p>
    <w:sectPr w:rsidR="002760D6" w:rsidRPr="00361848" w:rsidSect="00361848">
      <w:footerReference w:type="default" r:id="rId12"/>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AA694" w14:textId="77777777" w:rsidR="002A17A1" w:rsidRDefault="002A17A1">
      <w:pPr>
        <w:spacing w:after="0" w:line="240" w:lineRule="auto"/>
      </w:pPr>
      <w:r>
        <w:separator/>
      </w:r>
    </w:p>
  </w:endnote>
  <w:endnote w:type="continuationSeparator" w:id="0">
    <w:p w14:paraId="0AEF8357" w14:textId="77777777" w:rsidR="002A17A1" w:rsidRDefault="002A1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339146"/>
      <w:docPartObj>
        <w:docPartGallery w:val="Page Numbers (Bottom of Page)"/>
        <w:docPartUnique/>
      </w:docPartObj>
    </w:sdtPr>
    <w:sdtEndPr>
      <w:rPr>
        <w:noProof/>
      </w:rPr>
    </w:sdtEndPr>
    <w:sdtContent>
      <w:p w14:paraId="50E9BFA8" w14:textId="391B8E49" w:rsidR="00361848" w:rsidRDefault="003618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58A28C" w14:textId="77777777" w:rsidR="00361848" w:rsidRDefault="00361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8CBF7" w14:textId="77777777" w:rsidR="002A17A1" w:rsidRDefault="002A17A1">
      <w:pPr>
        <w:spacing w:after="0" w:line="240" w:lineRule="auto"/>
      </w:pPr>
      <w:r>
        <w:rPr>
          <w:color w:val="000000"/>
        </w:rPr>
        <w:separator/>
      </w:r>
    </w:p>
  </w:footnote>
  <w:footnote w:type="continuationSeparator" w:id="0">
    <w:p w14:paraId="238AAB63" w14:textId="77777777" w:rsidR="002A17A1" w:rsidRDefault="002A17A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8mtj1ijJtWecVO" int2:id="B8qvaLG6">
      <int2:state int2:value="Rejected" int2:type="spell"/>
    </int2:textHash>
    <int2:textHash int2:hashCode="U7ChsvrfTgQM3C" int2:id="MdWEI1bU">
      <int2:state int2:value="Rejected" int2:type="spell"/>
    </int2:textHash>
    <int2:textHash int2:hashCode="8g18JlF8F7HLll" int2:id="jPElskHD">
      <int2:state int2:value="Rejected" int2:type="spell"/>
    </int2:textHash>
    <int2:textHash int2:hashCode="B8BhPbadfPaBtk" int2:id="xmmFzDQQ">
      <int2:state int2:value="Rejected" int2:type="spell"/>
    </int2:textHash>
    <int2:textHash int2:hashCode="IEA2oe9uc2DlNj" int2:id="3tH5MlAQ">
      <int2:state int2:value="Rejected" int2:type="spell"/>
    </int2:textHash>
    <int2:textHash int2:hashCode="7sSE5KvNh+KzTX" int2:id="FFXKeEVN">
      <int2:state int2:value="Rejected" int2:type="spell"/>
    </int2:textHash>
    <int2:textHash int2:hashCode="DHg06Wb6PRSaQl" int2:id="O5bKHdR8">
      <int2:state int2:value="Rejected" int2:type="spell"/>
    </int2:textHash>
    <int2:textHash int2:hashCode="PG3ht92RRl1Dfv" int2:id="seUQemYb">
      <int2:state int2:value="Rejected" int2:type="spell"/>
    </int2:textHash>
    <int2:textHash int2:hashCode="kv4UVae7TQCfC0" int2:id="FVUB7oe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3A4A8A"/>
    <w:multiLevelType w:val="hybridMultilevel"/>
    <w:tmpl w:val="C1521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3815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0D6"/>
    <w:rsid w:val="00066FC2"/>
    <w:rsid w:val="001E616B"/>
    <w:rsid w:val="00210D84"/>
    <w:rsid w:val="00212C2B"/>
    <w:rsid w:val="002760D6"/>
    <w:rsid w:val="002A17A1"/>
    <w:rsid w:val="002B052A"/>
    <w:rsid w:val="003057B2"/>
    <w:rsid w:val="00355281"/>
    <w:rsid w:val="00361848"/>
    <w:rsid w:val="00573B34"/>
    <w:rsid w:val="00581B68"/>
    <w:rsid w:val="005A5D3B"/>
    <w:rsid w:val="005B7F62"/>
    <w:rsid w:val="00611286"/>
    <w:rsid w:val="006129B0"/>
    <w:rsid w:val="0064799F"/>
    <w:rsid w:val="006E68A2"/>
    <w:rsid w:val="008959E1"/>
    <w:rsid w:val="008F0532"/>
    <w:rsid w:val="008F3821"/>
    <w:rsid w:val="00921D28"/>
    <w:rsid w:val="00952888"/>
    <w:rsid w:val="00A75335"/>
    <w:rsid w:val="00AE3710"/>
    <w:rsid w:val="00B04662"/>
    <w:rsid w:val="00B62882"/>
    <w:rsid w:val="00BD77FE"/>
    <w:rsid w:val="00C513AF"/>
    <w:rsid w:val="00CC27D6"/>
    <w:rsid w:val="00CF576E"/>
    <w:rsid w:val="00D6185E"/>
    <w:rsid w:val="00D62402"/>
    <w:rsid w:val="00DA65B9"/>
    <w:rsid w:val="00ED2DE2"/>
    <w:rsid w:val="00EE41E0"/>
    <w:rsid w:val="00EF401B"/>
    <w:rsid w:val="00F1764D"/>
    <w:rsid w:val="022D9C0C"/>
    <w:rsid w:val="0323F212"/>
    <w:rsid w:val="0764DCE6"/>
    <w:rsid w:val="07754DE6"/>
    <w:rsid w:val="0AAF2C69"/>
    <w:rsid w:val="0E67CC4C"/>
    <w:rsid w:val="1211B3C5"/>
    <w:rsid w:val="12C1A0D7"/>
    <w:rsid w:val="13FD4029"/>
    <w:rsid w:val="1670BBA5"/>
    <w:rsid w:val="1734D94E"/>
    <w:rsid w:val="17C69888"/>
    <w:rsid w:val="1810690A"/>
    <w:rsid w:val="192E5DAC"/>
    <w:rsid w:val="1B14E894"/>
    <w:rsid w:val="1B218072"/>
    <w:rsid w:val="1B5AAEB1"/>
    <w:rsid w:val="1C815C2A"/>
    <w:rsid w:val="1E50CA53"/>
    <w:rsid w:val="21287E06"/>
    <w:rsid w:val="21497F3A"/>
    <w:rsid w:val="215EADF5"/>
    <w:rsid w:val="22FBA339"/>
    <w:rsid w:val="26E1EF93"/>
    <w:rsid w:val="29291722"/>
    <w:rsid w:val="2953BA70"/>
    <w:rsid w:val="2B4B7FEE"/>
    <w:rsid w:val="321297F4"/>
    <w:rsid w:val="3386DD35"/>
    <w:rsid w:val="3405E0CD"/>
    <w:rsid w:val="34729299"/>
    <w:rsid w:val="34E21094"/>
    <w:rsid w:val="35CFF522"/>
    <w:rsid w:val="388CFB39"/>
    <w:rsid w:val="3A834FF1"/>
    <w:rsid w:val="3ABEFD3D"/>
    <w:rsid w:val="3BA94B8D"/>
    <w:rsid w:val="3DBBB1AD"/>
    <w:rsid w:val="417FFA3C"/>
    <w:rsid w:val="43C33A5C"/>
    <w:rsid w:val="467A2DBC"/>
    <w:rsid w:val="46FB12A7"/>
    <w:rsid w:val="49727A43"/>
    <w:rsid w:val="49FE901B"/>
    <w:rsid w:val="4C12821A"/>
    <w:rsid w:val="4D3D6178"/>
    <w:rsid w:val="4EBEE3EB"/>
    <w:rsid w:val="4EE1F99B"/>
    <w:rsid w:val="4F841266"/>
    <w:rsid w:val="52C20729"/>
    <w:rsid w:val="544A0A26"/>
    <w:rsid w:val="556D5515"/>
    <w:rsid w:val="5D59B25A"/>
    <w:rsid w:val="5E76CA97"/>
    <w:rsid w:val="6089BD0F"/>
    <w:rsid w:val="60E0EE65"/>
    <w:rsid w:val="61F14554"/>
    <w:rsid w:val="641A88B6"/>
    <w:rsid w:val="64CA3B8F"/>
    <w:rsid w:val="65388564"/>
    <w:rsid w:val="667F7993"/>
    <w:rsid w:val="6788EA80"/>
    <w:rsid w:val="6A2A6639"/>
    <w:rsid w:val="6C205B0B"/>
    <w:rsid w:val="6ED92FDD"/>
    <w:rsid w:val="73936793"/>
    <w:rsid w:val="7435320A"/>
    <w:rsid w:val="74441AA0"/>
    <w:rsid w:val="758B7E81"/>
    <w:rsid w:val="76EF0CDF"/>
    <w:rsid w:val="79BB3FBF"/>
    <w:rsid w:val="79C2FC23"/>
    <w:rsid w:val="7A34E718"/>
    <w:rsid w:val="7B9A0E6B"/>
    <w:rsid w:val="7CCD8E31"/>
    <w:rsid w:val="7E256AE5"/>
    <w:rsid w:val="7F00AC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22FC"/>
  <w15:docId w15:val="{B1A2D70A-A562-4E39-ADFD-2DF2F746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paragraph" w:styleId="TOC2">
    <w:name w:val="toc 2"/>
    <w:basedOn w:val="Normal"/>
    <w:next w:val="Normal"/>
    <w:uiPriority w:val="39"/>
    <w:pPr>
      <w:spacing w:after="100"/>
      <w:ind w:left="220"/>
    </w:pPr>
  </w:style>
  <w:style w:type="paragraph" w:styleId="TOCHeading">
    <w:name w:val="TOC Heading"/>
    <w:basedOn w:val="Heading1"/>
    <w:next w:val="Normal"/>
    <w:uiPriority w:val="39"/>
    <w:unhideWhenUsed/>
    <w:qFormat/>
    <w:rsid w:val="00D62402"/>
    <w:pPr>
      <w:suppressAutoHyphens w:val="0"/>
      <w:autoSpaceDN/>
      <w:spacing w:before="240" w:after="0" w:line="259" w:lineRule="auto"/>
      <w:textAlignment w:val="auto"/>
      <w:outlineLvl w:val="9"/>
    </w:pPr>
    <w:rPr>
      <w:rFonts w:asciiTheme="majorHAnsi" w:eastAsiaTheme="majorEastAsia" w:hAnsiTheme="majorHAnsi" w:cstheme="majorBidi"/>
      <w:color w:val="2F5496" w:themeColor="accent1" w:themeShade="BF"/>
      <w:kern w:val="0"/>
      <w:sz w:val="32"/>
      <w:szCs w:val="32"/>
      <w:lang w:eastAsia="zh-CN"/>
    </w:rPr>
  </w:style>
  <w:style w:type="paragraph" w:styleId="Header">
    <w:name w:val="header"/>
    <w:basedOn w:val="Normal"/>
    <w:link w:val="HeaderChar"/>
    <w:uiPriority w:val="99"/>
    <w:unhideWhenUsed/>
    <w:rsid w:val="00361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848"/>
  </w:style>
  <w:style w:type="paragraph" w:styleId="Footer">
    <w:name w:val="footer"/>
    <w:basedOn w:val="Normal"/>
    <w:link w:val="FooterChar"/>
    <w:uiPriority w:val="99"/>
    <w:unhideWhenUsed/>
    <w:rsid w:val="00361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848"/>
  </w:style>
  <w:style w:type="character" w:styleId="UnresolvedMention">
    <w:name w:val="Unresolved Mention"/>
    <w:basedOn w:val="DefaultParagraphFont"/>
    <w:uiPriority w:val="99"/>
    <w:semiHidden/>
    <w:unhideWhenUsed/>
    <w:rsid w:val="008F0532"/>
    <w:rPr>
      <w:color w:val="605E5C"/>
      <w:shd w:val="clear" w:color="auto" w:fill="E1DFDD"/>
    </w:rPr>
  </w:style>
  <w:style w:type="character" w:styleId="FollowedHyperlink">
    <w:name w:val="FollowedHyperlink"/>
    <w:basedOn w:val="DefaultParagraphFont"/>
    <w:uiPriority w:val="99"/>
    <w:semiHidden/>
    <w:unhideWhenUsed/>
    <w:rsid w:val="008F05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0" ma:contentTypeDescription="Create a new document." ma:contentTypeScope="" ma:versionID="76cff634665d97efc043a0b3f146d4e7">
  <xsd:schema xmlns:xsd="http://www.w3.org/2001/XMLSchema" xmlns:xs="http://www.w3.org/2001/XMLSchema" xmlns:p="http://schemas.microsoft.com/office/2006/metadata/properties" xmlns:ns3="a653a6be-78ee-4b80-ae82-fa43b262699b" targetNamespace="http://schemas.microsoft.com/office/2006/metadata/properties" ma:root="true" ma:fieldsID="1e1a5310bf2f4b0ab303670fdbb01f6f" ns3:_="">
    <xsd:import namespace="a653a6be-78ee-4b80-ae82-fa43b262699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FA32F-F61F-4879-BEFC-93D8A51089E1}">
  <ds:schemaRefs>
    <ds:schemaRef ds:uri="http://schemas.microsoft.com/sharepoint/v3/contenttype/forms"/>
  </ds:schemaRefs>
</ds:datastoreItem>
</file>

<file path=customXml/itemProps2.xml><?xml version="1.0" encoding="utf-8"?>
<ds:datastoreItem xmlns:ds="http://schemas.openxmlformats.org/officeDocument/2006/customXml" ds:itemID="{66FF7A51-91C5-4DA0-9495-C4547D067B7C}">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D4ADA684-E7AE-4B47-8A98-A763FA95F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97C315-4562-4E4E-A01B-EDD2B1E8C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4629</Words>
  <Characters>26390</Characters>
  <Application>Microsoft Office Word</Application>
  <DocSecurity>0</DocSecurity>
  <Lines>219</Lines>
  <Paragraphs>61</Paragraphs>
  <ScaleCrop>false</ScaleCrop>
  <Company/>
  <LinksUpToDate>false</LinksUpToDate>
  <CharactersWithSpaces>30958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Bianca-Mihaela Pletea (2323235)</dc:creator>
  <cp:keywords/>
  <dc:description/>
  <cp:lastModifiedBy>Bianca-Mihaela Pletea (2323235)</cp:lastModifiedBy>
  <cp:revision>2</cp:revision>
  <dcterms:created xsi:type="dcterms:W3CDTF">2025-11-09T19:30:00Z</dcterms:created>
  <dcterms:modified xsi:type="dcterms:W3CDTF">2025-11-09T19:30:00Z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