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EA2CF" w14:textId="2EA23AF9" w:rsidR="00D959EE" w:rsidRDefault="00234883" w:rsidP="00234883">
      <w:pPr>
        <w:jc w:val="center"/>
        <w:rPr>
          <w:b/>
          <w:bCs/>
          <w:sz w:val="28"/>
          <w:szCs w:val="28"/>
          <w:u w:val="single"/>
          <w:lang w:val="en-GB"/>
        </w:rPr>
      </w:pPr>
      <w:r>
        <w:rPr>
          <w:b/>
          <w:bCs/>
          <w:sz w:val="28"/>
          <w:szCs w:val="28"/>
          <w:u w:val="single"/>
          <w:lang w:val="en-GB"/>
        </w:rPr>
        <w:t>Task 2 Literature Review</w:t>
      </w:r>
    </w:p>
    <w:p w14:paraId="130D4BD5" w14:textId="77777777" w:rsidR="00234883" w:rsidRDefault="00234883" w:rsidP="00234883">
      <w:pPr>
        <w:jc w:val="center"/>
        <w:rPr>
          <w:b/>
          <w:bCs/>
          <w:sz w:val="28"/>
          <w:szCs w:val="28"/>
          <w:u w:val="single"/>
          <w:lang w:val="en-GB"/>
        </w:rPr>
      </w:pPr>
    </w:p>
    <w:p w14:paraId="715B7E59" w14:textId="5506A823" w:rsidR="00234883" w:rsidRDefault="00234883" w:rsidP="00234883">
      <w:pPr>
        <w:jc w:val="center"/>
        <w:rPr>
          <w:b/>
          <w:bCs/>
          <w:lang w:val="en-GB"/>
        </w:rPr>
      </w:pPr>
      <w:r>
        <w:rPr>
          <w:b/>
          <w:bCs/>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present as evidence.</w:t>
      </w:r>
    </w:p>
    <w:p w14:paraId="273B7A18" w14:textId="77777777" w:rsidR="00234883" w:rsidRDefault="00234883" w:rsidP="008E1078">
      <w:pPr>
        <w:rPr>
          <w:b/>
          <w:bCs/>
          <w:lang w:val="en-GB"/>
        </w:rPr>
      </w:pPr>
    </w:p>
    <w:p w14:paraId="04D4A65D" w14:textId="0F33E4CA" w:rsidR="00D013A1" w:rsidRDefault="00D013A1" w:rsidP="008E1078">
      <w:pPr>
        <w:rPr>
          <w:b/>
          <w:bCs/>
          <w:lang w:val="en-GB"/>
        </w:rPr>
      </w:pPr>
      <w:r>
        <w:rPr>
          <w:b/>
          <w:bCs/>
          <w:lang w:val="en-GB"/>
        </w:rPr>
        <w:t>Reference 1</w:t>
      </w:r>
    </w:p>
    <w:p w14:paraId="026CA30E" w14:textId="528C1BCD" w:rsidR="008E1078" w:rsidRDefault="00000000" w:rsidP="008E1078">
      <w:pPr>
        <w:rPr>
          <w:b/>
          <w:bCs/>
          <w:lang w:val="en-GB"/>
        </w:rPr>
      </w:pPr>
      <w:sdt>
        <w:sdtPr>
          <w:rPr>
            <w:b/>
            <w:bCs/>
            <w:lang w:val="en-GB"/>
          </w:rPr>
          <w:id w:val="1981409443"/>
          <w:citation/>
        </w:sdtPr>
        <w:sdtContent>
          <w:r w:rsidR="008E1078">
            <w:rPr>
              <w:b/>
              <w:bCs/>
              <w:lang w:val="en-GB"/>
            </w:rPr>
            <w:fldChar w:fldCharType="begin"/>
          </w:r>
          <w:r w:rsidR="008E1078">
            <w:rPr>
              <w:b/>
              <w:bCs/>
              <w:lang w:val="en-GB"/>
            </w:rPr>
            <w:instrText xml:space="preserve"> CITATION Fin181 \l 2057 </w:instrText>
          </w:r>
          <w:r w:rsidR="008E1078">
            <w:rPr>
              <w:b/>
              <w:bCs/>
              <w:lang w:val="en-GB"/>
            </w:rPr>
            <w:fldChar w:fldCharType="separate"/>
          </w:r>
          <w:r w:rsidR="00635418" w:rsidRPr="00635418">
            <w:rPr>
              <w:noProof/>
              <w:lang w:val="en-GB"/>
            </w:rPr>
            <w:t>(Finley &amp; Koyama, 2018)</w:t>
          </w:r>
          <w:r w:rsidR="008E1078">
            <w:rPr>
              <w:b/>
              <w:bCs/>
              <w:lang w:val="en-GB"/>
            </w:rPr>
            <w:fldChar w:fldCharType="end"/>
          </w:r>
        </w:sdtContent>
      </w:sdt>
    </w:p>
    <w:p w14:paraId="75B9C453" w14:textId="77777777" w:rsidR="00047A58" w:rsidRDefault="00895872" w:rsidP="00047A58">
      <w:pPr>
        <w:rPr>
          <w:lang w:val="en-GB"/>
        </w:rPr>
      </w:pPr>
      <w:r>
        <w:rPr>
          <w:lang w:val="en-GB"/>
        </w:rPr>
        <w:t xml:space="preserve">Written by </w:t>
      </w:r>
      <w:r w:rsidRPr="00895872">
        <w:rPr>
          <w:lang w:val="en-GB"/>
        </w:rPr>
        <w:t xml:space="preserve">Assistant </w:t>
      </w:r>
      <w:r w:rsidR="00B75978">
        <w:rPr>
          <w:lang w:val="en-GB"/>
        </w:rPr>
        <w:t xml:space="preserve">Economic </w:t>
      </w:r>
      <w:r w:rsidRPr="00895872">
        <w:rPr>
          <w:lang w:val="en-GB"/>
        </w:rPr>
        <w:t>Professors Mark Koyama</w:t>
      </w:r>
      <w:r>
        <w:rPr>
          <w:lang w:val="en-GB"/>
        </w:rPr>
        <w:t xml:space="preserve"> and </w:t>
      </w:r>
      <w:r w:rsidRPr="00895872">
        <w:rPr>
          <w:lang w:val="en-GB"/>
        </w:rPr>
        <w:t>Theresa Finley</w:t>
      </w:r>
      <w:r>
        <w:rPr>
          <w:lang w:val="en-GB"/>
        </w:rPr>
        <w:t>,</w:t>
      </w:r>
      <w:r w:rsidR="00047A58">
        <w:rPr>
          <w:lang w:val="en-GB"/>
        </w:rPr>
        <w:t xml:space="preserve"> of </w:t>
      </w:r>
      <w:r w:rsidR="00047A58" w:rsidRPr="00047A58">
        <w:rPr>
          <w:lang w:val="en-GB"/>
        </w:rPr>
        <w:t>Susquehanna University</w:t>
      </w:r>
      <w:r w:rsidR="00047A58">
        <w:rPr>
          <w:lang w:val="en-GB"/>
        </w:rPr>
        <w:t xml:space="preserve"> and </w:t>
      </w:r>
      <w:r w:rsidR="00047A58" w:rsidRPr="00047A58">
        <w:rPr>
          <w:lang w:val="en-GB"/>
        </w:rPr>
        <w:t>George Mason University</w:t>
      </w:r>
      <w:r w:rsidR="00047A58">
        <w:rPr>
          <w:lang w:val="en-GB"/>
        </w:rPr>
        <w:t>.</w:t>
      </w:r>
    </w:p>
    <w:p w14:paraId="311AFCA3" w14:textId="06E7627B" w:rsidR="002B279B" w:rsidRDefault="00047A58" w:rsidP="00047A58">
      <w:pPr>
        <w:rPr>
          <w:lang w:val="en-GB"/>
        </w:rPr>
      </w:pPr>
      <w:r>
        <w:rPr>
          <w:lang w:val="en-GB"/>
        </w:rPr>
        <w:t>T</w:t>
      </w:r>
      <w:r w:rsidR="00895872">
        <w:rPr>
          <w:lang w:val="en-GB"/>
        </w:rPr>
        <w:t>his article breaks down how the political situation in the H</w:t>
      </w:r>
      <w:r w:rsidR="00B75978">
        <w:rPr>
          <w:lang w:val="en-GB"/>
        </w:rPr>
        <w:t xml:space="preserve">oly </w:t>
      </w:r>
      <w:r w:rsidR="00895872">
        <w:rPr>
          <w:lang w:val="en-GB"/>
        </w:rPr>
        <w:t>R</w:t>
      </w:r>
      <w:r w:rsidR="00B75978">
        <w:rPr>
          <w:lang w:val="en-GB"/>
        </w:rPr>
        <w:t xml:space="preserve">oman </w:t>
      </w:r>
      <w:r w:rsidR="00895872">
        <w:rPr>
          <w:lang w:val="en-GB"/>
        </w:rPr>
        <w:t>E</w:t>
      </w:r>
      <w:r w:rsidR="00B75978">
        <w:rPr>
          <w:lang w:val="en-GB"/>
        </w:rPr>
        <w:t>mpire</w:t>
      </w:r>
      <w:r w:rsidR="00895872">
        <w:rPr>
          <w:lang w:val="en-GB"/>
        </w:rPr>
        <w:t xml:space="preserve"> had potential ramifications on the Jewish communities during the black death. </w:t>
      </w:r>
    </w:p>
    <w:p w14:paraId="3A72E45F" w14:textId="77777777" w:rsidR="002B279B" w:rsidRDefault="00895872" w:rsidP="00895872">
      <w:pPr>
        <w:rPr>
          <w:lang w:val="en-GB"/>
        </w:rPr>
      </w:pPr>
      <w:r>
        <w:rPr>
          <w:lang w:val="en-GB"/>
        </w:rPr>
        <w:t xml:space="preserve">Their article argues that territories not directly controlled by the </w:t>
      </w:r>
      <w:r w:rsidR="006870EF">
        <w:rPr>
          <w:lang w:val="en-GB"/>
        </w:rPr>
        <w:t>emperor</w:t>
      </w:r>
      <w:r>
        <w:rPr>
          <w:lang w:val="en-GB"/>
        </w:rPr>
        <w:t xml:space="preserve"> were often more </w:t>
      </w:r>
      <w:r w:rsidR="006870EF">
        <w:rPr>
          <w:lang w:val="en-GB"/>
        </w:rPr>
        <w:t xml:space="preserve">discriminatory against Jews, especially those governed by </w:t>
      </w:r>
      <w:r w:rsidR="006870EF" w:rsidRPr="006870EF">
        <w:rPr>
          <w:lang w:val="en-GB"/>
        </w:rPr>
        <w:t>archbishoprics</w:t>
      </w:r>
      <w:r w:rsidR="006870EF">
        <w:rPr>
          <w:lang w:val="en-GB"/>
        </w:rPr>
        <w:t xml:space="preserve"> and </w:t>
      </w:r>
      <w:r w:rsidR="006870EF" w:rsidRPr="006870EF">
        <w:rPr>
          <w:lang w:val="en-GB"/>
        </w:rPr>
        <w:t>bishoprics</w:t>
      </w:r>
      <w:r w:rsidR="006870EF">
        <w:rPr>
          <w:lang w:val="en-GB"/>
        </w:rPr>
        <w:t>. They present their evidence in terms of economics to show the Jewish moneylenders and landowners</w:t>
      </w:r>
      <w:r w:rsidR="004B5C58">
        <w:rPr>
          <w:lang w:val="en-GB"/>
        </w:rPr>
        <w:t xml:space="preserve"> in these non-imperial controlled lands</w:t>
      </w:r>
      <w:r w:rsidR="006870EF">
        <w:rPr>
          <w:lang w:val="en-GB"/>
        </w:rPr>
        <w:t xml:space="preserve"> during the of plague drastically dropped while reported cases of land </w:t>
      </w:r>
      <w:r w:rsidR="00B75978">
        <w:rPr>
          <w:lang w:val="en-GB"/>
        </w:rPr>
        <w:t>being seized</w:t>
      </w:r>
      <w:r w:rsidR="006870EF">
        <w:rPr>
          <w:lang w:val="en-GB"/>
        </w:rPr>
        <w:t xml:space="preserve"> and </w:t>
      </w:r>
      <w:r w:rsidR="00B75978">
        <w:rPr>
          <w:lang w:val="en-GB"/>
        </w:rPr>
        <w:t xml:space="preserve">human </w:t>
      </w:r>
      <w:r w:rsidR="006870EF">
        <w:rPr>
          <w:lang w:val="en-GB"/>
        </w:rPr>
        <w:t>burnings rose</w:t>
      </w:r>
      <w:r w:rsidR="004B5C58">
        <w:rPr>
          <w:lang w:val="en-GB"/>
        </w:rPr>
        <w:t xml:space="preserve">, when more directly controlled lands such as Luxembourg were </w:t>
      </w:r>
      <w:r w:rsidR="002B279B">
        <w:rPr>
          <w:lang w:val="en-GB"/>
        </w:rPr>
        <w:t>relatively</w:t>
      </w:r>
      <w:r w:rsidR="004B5C58">
        <w:rPr>
          <w:lang w:val="en-GB"/>
        </w:rPr>
        <w:t xml:space="preserve"> more </w:t>
      </w:r>
      <w:r w:rsidR="002B279B">
        <w:rPr>
          <w:lang w:val="en-GB"/>
        </w:rPr>
        <w:t>stable to the Jews</w:t>
      </w:r>
      <w:r w:rsidR="006870EF">
        <w:rPr>
          <w:lang w:val="en-GB"/>
        </w:rPr>
        <w:t>.</w:t>
      </w:r>
      <w:r w:rsidR="00390714">
        <w:rPr>
          <w:lang w:val="en-GB"/>
        </w:rPr>
        <w:t xml:space="preserve"> </w:t>
      </w:r>
      <w:r w:rsidR="002B279B">
        <w:rPr>
          <w:lang w:val="en-GB"/>
        </w:rPr>
        <w:t>The pair</w:t>
      </w:r>
      <w:r w:rsidR="00390714">
        <w:rPr>
          <w:lang w:val="en-GB"/>
        </w:rPr>
        <w:t xml:space="preserve"> also present other alternatives from other researchers to reveal how the Jewish community was used as a scapegoat, listing from Jewish members of the community were somehow poisoning the money they were leading out with the plague</w:t>
      </w:r>
      <w:r w:rsidR="00B75978">
        <w:rPr>
          <w:lang w:val="en-GB"/>
        </w:rPr>
        <w:t xml:space="preserve">. </w:t>
      </w:r>
    </w:p>
    <w:p w14:paraId="1F27920A" w14:textId="75DC2559" w:rsidR="00B75978" w:rsidRDefault="00B75978" w:rsidP="00895872">
      <w:pPr>
        <w:rPr>
          <w:lang w:val="en-GB"/>
        </w:rPr>
      </w:pPr>
      <w:r>
        <w:rPr>
          <w:lang w:val="en-GB"/>
        </w:rPr>
        <w:t>However, they also detail other factors affecting the HRE in the run up to the plague arriving, such as the collapse of several or the smaller states</w:t>
      </w:r>
      <w:r w:rsidR="00047A58">
        <w:rPr>
          <w:lang w:val="en-GB"/>
        </w:rPr>
        <w:t>.</w:t>
      </w:r>
    </w:p>
    <w:p w14:paraId="2F35CFE8" w14:textId="63EB06F7" w:rsidR="00895872" w:rsidRPr="006870EF" w:rsidRDefault="00B75978" w:rsidP="00895872">
      <w:pPr>
        <w:rPr>
          <w:lang w:val="en-GB"/>
        </w:rPr>
      </w:pPr>
      <w:r>
        <w:rPr>
          <w:lang w:val="en-GB"/>
        </w:rPr>
        <w:t xml:space="preserve"> While not entirely useful to the overall research on how the plague was </w:t>
      </w:r>
      <w:r w:rsidR="00047A58">
        <w:rPr>
          <w:lang w:val="en-GB"/>
        </w:rPr>
        <w:t>affecting communities</w:t>
      </w:r>
      <w:r>
        <w:rPr>
          <w:lang w:val="en-GB"/>
        </w:rPr>
        <w:t xml:space="preserve"> across Europe. It does help reveal the social aspects of the people at the time who let fear control their rational thoughts</w:t>
      </w:r>
      <w:r w:rsidR="00047A58">
        <w:rPr>
          <w:lang w:val="en-GB"/>
        </w:rPr>
        <w:t>.</w:t>
      </w:r>
      <w:r>
        <w:rPr>
          <w:lang w:val="en-GB"/>
        </w:rPr>
        <w:t xml:space="preserve"> </w:t>
      </w:r>
      <w:r w:rsidR="00047A58">
        <w:rPr>
          <w:lang w:val="en-GB"/>
        </w:rPr>
        <w:t>Though this article only focuses on Jews and fails to mention the other groups targeted at the time which would have made the piece much more essential than it was.</w:t>
      </w:r>
    </w:p>
    <w:p w14:paraId="1A7C51EF" w14:textId="3E75D039" w:rsidR="00895872" w:rsidRPr="00895872" w:rsidRDefault="00895872" w:rsidP="00895872">
      <w:pPr>
        <w:rPr>
          <w:lang w:val="en-GB"/>
        </w:rPr>
      </w:pPr>
    </w:p>
    <w:p w14:paraId="42D15F3E" w14:textId="01DC4CCE" w:rsidR="00895872" w:rsidRDefault="00D013A1" w:rsidP="00895872">
      <w:pPr>
        <w:rPr>
          <w:b/>
          <w:bCs/>
          <w:lang w:val="en-GB"/>
        </w:rPr>
      </w:pPr>
      <w:r>
        <w:rPr>
          <w:b/>
          <w:bCs/>
          <w:lang w:val="en-GB"/>
        </w:rPr>
        <w:t>Reference 2</w:t>
      </w:r>
    </w:p>
    <w:p w14:paraId="3F114BB8" w14:textId="2AA67911" w:rsidR="00D013A1" w:rsidRDefault="00000000" w:rsidP="00895872">
      <w:pPr>
        <w:rPr>
          <w:lang w:val="en-GB"/>
        </w:rPr>
      </w:pPr>
      <w:sdt>
        <w:sdtPr>
          <w:rPr>
            <w:lang w:val="en-GB"/>
          </w:rPr>
          <w:id w:val="1444884630"/>
          <w:citation/>
        </w:sdtPr>
        <w:sdtContent>
          <w:r w:rsidR="000F40C4">
            <w:rPr>
              <w:lang w:val="en-GB"/>
            </w:rPr>
            <w:fldChar w:fldCharType="begin"/>
          </w:r>
          <w:r w:rsidR="000F40C4">
            <w:rPr>
              <w:lang w:val="en-GB"/>
            </w:rPr>
            <w:instrText xml:space="preserve"> CITATION Jed191 \l 2057 </w:instrText>
          </w:r>
          <w:r w:rsidR="000F40C4">
            <w:rPr>
              <w:lang w:val="en-GB"/>
            </w:rPr>
            <w:fldChar w:fldCharType="separate"/>
          </w:r>
          <w:r w:rsidR="00635418" w:rsidRPr="00635418">
            <w:rPr>
              <w:noProof/>
              <w:lang w:val="en-GB"/>
            </w:rPr>
            <w:t>(Jedwab, et al., 2019)</w:t>
          </w:r>
          <w:r w:rsidR="000F40C4">
            <w:rPr>
              <w:lang w:val="en-GB"/>
            </w:rPr>
            <w:fldChar w:fldCharType="end"/>
          </w:r>
        </w:sdtContent>
      </w:sdt>
    </w:p>
    <w:p w14:paraId="304D1AD5" w14:textId="77777777" w:rsidR="00066710" w:rsidRDefault="000F40C4" w:rsidP="00895872">
      <w:pPr>
        <w:rPr>
          <w:lang w:val="en-GB"/>
        </w:rPr>
      </w:pPr>
      <w:r>
        <w:rPr>
          <w:lang w:val="en-GB"/>
        </w:rPr>
        <w:lastRenderedPageBreak/>
        <w:t xml:space="preserve">Written by Assistant Professors of Economics, Mark Koyama and Noel D. Johnson alongside Remi Jedwab of the department of Economics for </w:t>
      </w:r>
      <w:r w:rsidRPr="00066710">
        <w:rPr>
          <w:lang w:val="en-GB"/>
        </w:rPr>
        <w:t>George Washington University</w:t>
      </w:r>
      <w:r w:rsidR="00066710">
        <w:rPr>
          <w:lang w:val="en-GB"/>
        </w:rPr>
        <w:t xml:space="preserve">. </w:t>
      </w:r>
    </w:p>
    <w:p w14:paraId="39F2215E" w14:textId="23844CA9" w:rsidR="000F40C4" w:rsidRDefault="00066710" w:rsidP="00895872">
      <w:pPr>
        <w:rPr>
          <w:lang w:val="en-GB"/>
        </w:rPr>
      </w:pPr>
      <w:r>
        <w:rPr>
          <w:lang w:val="en-GB"/>
        </w:rPr>
        <w:t xml:space="preserve">This article explores the probability of minority groups being </w:t>
      </w:r>
      <w:r w:rsidRPr="00066710">
        <w:rPr>
          <w:lang w:val="en-GB"/>
        </w:rPr>
        <w:t>persecut</w:t>
      </w:r>
      <w:r>
        <w:rPr>
          <w:lang w:val="en-GB"/>
        </w:rPr>
        <w:t>ed during the ravages of the plague spreading throughout Europe</w:t>
      </w:r>
      <w:r w:rsidR="00870AEA">
        <w:rPr>
          <w:lang w:val="en-GB"/>
        </w:rPr>
        <w:t xml:space="preserve">. They evaluate their findings in terms of “Shocks” used to measure the severity of the mistreatment of certain groups at the time. Their findings to lean more towards cities that more heavily hit by the plague tended to be less likely to </w:t>
      </w:r>
      <w:r w:rsidR="00870AEA" w:rsidRPr="00870AEA">
        <w:rPr>
          <w:lang w:val="en-GB"/>
        </w:rPr>
        <w:t>persecute</w:t>
      </w:r>
      <w:r w:rsidR="00870AEA">
        <w:rPr>
          <w:lang w:val="en-GB"/>
        </w:rPr>
        <w:t xml:space="preserve"> minorities, while their “shocks” revealed that smaller communities, where the residents weren’t as well educated had conspiracies run wild and persecutions were much more common.</w:t>
      </w:r>
    </w:p>
    <w:p w14:paraId="133A603E" w14:textId="4BCF6AB1" w:rsidR="00870AEA" w:rsidRDefault="00870AEA" w:rsidP="00870AEA">
      <w:pPr>
        <w:spacing w:line="480" w:lineRule="auto"/>
        <w:rPr>
          <w:lang w:val="en-GB"/>
        </w:rPr>
      </w:pPr>
      <w:r>
        <w:rPr>
          <w:lang w:val="en-GB"/>
        </w:rPr>
        <w:t>The main method of gathering the data to determine these “shocks” was gathered by the mortality rates from several major cities across</w:t>
      </w:r>
      <w:r w:rsidR="007C2B9F">
        <w:rPr>
          <w:lang w:val="en-GB"/>
        </w:rPr>
        <w:t xml:space="preserve"> England, France, and other nations across Europe</w:t>
      </w:r>
      <w:r>
        <w:rPr>
          <w:lang w:val="en-GB"/>
        </w:rPr>
        <w:t xml:space="preserve"> and comparing them the collected census data o</w:t>
      </w:r>
      <w:r w:rsidR="00C0359E">
        <w:rPr>
          <w:lang w:val="en-GB"/>
        </w:rPr>
        <w:t>f which groups were active where pre and post plague.</w:t>
      </w:r>
      <w:r w:rsidR="007C2B9F">
        <w:rPr>
          <w:lang w:val="en-GB"/>
        </w:rPr>
        <w:t xml:space="preserve"> While also comparing market records and logs reported at the time before and after the plague swept through the areas marked on their created maps.</w:t>
      </w:r>
    </w:p>
    <w:p w14:paraId="61622539" w14:textId="20F432DF" w:rsidR="00870AEA" w:rsidRPr="00870AEA" w:rsidRDefault="00870AEA" w:rsidP="00895872">
      <w:pPr>
        <w:rPr>
          <w:lang w:val="en-GB"/>
        </w:rPr>
      </w:pPr>
      <w:r>
        <w:rPr>
          <w:lang w:val="en-GB"/>
        </w:rPr>
        <w:t>This information presented is much more useful to the research I was looking than the reference listed above as it more broadly covers more minority groups during this troubled than solely focusing on just the biggest group that was targeted.</w:t>
      </w:r>
      <w:r w:rsidR="00C0359E">
        <w:rPr>
          <w:lang w:val="en-GB"/>
        </w:rPr>
        <w:t xml:space="preserve"> Though as it shares an author with the previous reference a lot of cross over on the segments on the Jewish community can be noted in the work.</w:t>
      </w:r>
    </w:p>
    <w:p w14:paraId="1EFA27B6" w14:textId="753F96E0" w:rsidR="008E1078" w:rsidRDefault="008E1078" w:rsidP="008E1078">
      <w:pPr>
        <w:rPr>
          <w:lang w:val="en-GB"/>
        </w:rPr>
      </w:pPr>
    </w:p>
    <w:p w14:paraId="0FD8B871" w14:textId="7B0DB000" w:rsidR="007C2B9F" w:rsidRDefault="007C2B9F" w:rsidP="008E1078">
      <w:pPr>
        <w:rPr>
          <w:b/>
          <w:bCs/>
          <w:lang w:val="en-GB"/>
        </w:rPr>
      </w:pPr>
      <w:r>
        <w:rPr>
          <w:b/>
          <w:bCs/>
          <w:lang w:val="en-GB"/>
        </w:rPr>
        <w:t xml:space="preserve">Reference 3 </w:t>
      </w:r>
      <w:r w:rsidR="00C27D81">
        <w:rPr>
          <w:b/>
          <w:bCs/>
          <w:lang w:val="en-GB"/>
        </w:rPr>
        <w:t>-</w:t>
      </w:r>
    </w:p>
    <w:p w14:paraId="3E1A27F9" w14:textId="178E6FEC" w:rsidR="007C2B9F" w:rsidRDefault="00BF17A2" w:rsidP="008E1078">
      <w:pPr>
        <w:rPr>
          <w:lang w:val="en-GB"/>
        </w:rPr>
      </w:pPr>
      <w:sdt>
        <w:sdtPr>
          <w:rPr>
            <w:lang w:val="en-GB"/>
          </w:rPr>
          <w:id w:val="1349070950"/>
          <w:citation/>
        </w:sdtPr>
        <w:sdtContent>
          <w:r>
            <w:rPr>
              <w:lang w:val="en-GB"/>
            </w:rPr>
            <w:fldChar w:fldCharType="begin"/>
          </w:r>
          <w:r>
            <w:rPr>
              <w:lang w:val="en-GB"/>
            </w:rPr>
            <w:instrText xml:space="preserve"> CITATION Dan241 \l 2057 </w:instrText>
          </w:r>
          <w:r>
            <w:rPr>
              <w:lang w:val="en-GB"/>
            </w:rPr>
            <w:fldChar w:fldCharType="separate"/>
          </w:r>
          <w:r w:rsidR="00635418" w:rsidRPr="00635418">
            <w:rPr>
              <w:noProof/>
              <w:lang w:val="en-GB"/>
            </w:rPr>
            <w:t>(Curtis, 2024)</w:t>
          </w:r>
          <w:r>
            <w:rPr>
              <w:lang w:val="en-GB"/>
            </w:rPr>
            <w:fldChar w:fldCharType="end"/>
          </w:r>
        </w:sdtContent>
      </w:sdt>
    </w:p>
    <w:p w14:paraId="23D49975" w14:textId="4BC405A1" w:rsidR="00C27D81" w:rsidRDefault="00C27D81" w:rsidP="00C27D81">
      <w:pPr>
        <w:rPr>
          <w:lang w:val="en-GB"/>
        </w:rPr>
      </w:pPr>
      <w:r>
        <w:rPr>
          <w:lang w:val="en-GB"/>
        </w:rPr>
        <w:t xml:space="preserve">Written by Dr Daniel R. Curtis, </w:t>
      </w:r>
      <w:r w:rsidRPr="00C27D81">
        <w:rPr>
          <w:lang w:val="en-GB"/>
        </w:rPr>
        <w:t>Associate professor</w:t>
      </w:r>
      <w:r>
        <w:rPr>
          <w:lang w:val="en-GB"/>
        </w:rPr>
        <w:t xml:space="preserve"> at </w:t>
      </w:r>
      <w:r w:rsidRPr="00C27D81">
        <w:rPr>
          <w:lang w:val="en-GB"/>
        </w:rPr>
        <w:t>Erasmus School of History, Culture and Communication</w:t>
      </w:r>
      <w:r>
        <w:rPr>
          <w:lang w:val="en-GB"/>
        </w:rPr>
        <w:t xml:space="preserve">. </w:t>
      </w:r>
      <w:r w:rsidR="00A55038">
        <w:rPr>
          <w:lang w:val="en-GB"/>
        </w:rPr>
        <w:t>The article referenced is a review of how the plague affected the Netherland’s low countries</w:t>
      </w:r>
      <w:r w:rsidR="00E41571">
        <w:rPr>
          <w:lang w:val="en-GB"/>
        </w:rPr>
        <w:t>. Unlike the others referenced this focuses less on the communities themselves that were affected and more so on the generalised numbers of the dead and how was tallied. While also monitoring the prices of grain in the Netherlands at the time to see how the plague may have affected the food markets in the area.</w:t>
      </w:r>
      <w:r w:rsidR="008A24E0">
        <w:rPr>
          <w:lang w:val="en-GB"/>
        </w:rPr>
        <w:t xml:space="preserve"> The death rates in this certain part of Europe remain murky due to other records only focusing on urban areas and the administration at the time being highly dysfunctional leaving behind unreliable records. </w:t>
      </w:r>
    </w:p>
    <w:p w14:paraId="2B5AC22B" w14:textId="0A48ED12" w:rsidR="00672CBB" w:rsidRDefault="00672CBB" w:rsidP="00C27D81">
      <w:pPr>
        <w:rPr>
          <w:lang w:val="en-GB"/>
        </w:rPr>
      </w:pPr>
      <w:r>
        <w:rPr>
          <w:lang w:val="en-GB"/>
        </w:rPr>
        <w:lastRenderedPageBreak/>
        <w:t>Based on the results of the findings from the article shows the Black Death wasn’t as all-encompassing as previously believed, with</w:t>
      </w:r>
      <w:r w:rsidR="00065498">
        <w:rPr>
          <w:lang w:val="en-GB"/>
        </w:rPr>
        <w:t xml:space="preserve"> areas across the Netherlands being left completely untouched as shown by the rising birth rates in those areas as opposed to the ones across plague zones.</w:t>
      </w:r>
    </w:p>
    <w:p w14:paraId="6C62A7DC" w14:textId="77777777" w:rsidR="00B57A70" w:rsidRDefault="00B57A70" w:rsidP="00C27D81">
      <w:pPr>
        <w:rPr>
          <w:lang w:val="en-GB"/>
        </w:rPr>
      </w:pPr>
    </w:p>
    <w:p w14:paraId="26EA4549" w14:textId="0DDAE902" w:rsidR="008A24E0" w:rsidRDefault="008A24E0" w:rsidP="00C27D81">
      <w:pPr>
        <w:rPr>
          <w:lang w:val="en-GB"/>
        </w:rPr>
      </w:pPr>
      <w:r>
        <w:rPr>
          <w:lang w:val="en-GB"/>
        </w:rPr>
        <w:t xml:space="preserve">This is different from the rest of my research but </w:t>
      </w:r>
      <w:r w:rsidR="00A5708D">
        <w:rPr>
          <w:lang w:val="en-GB"/>
        </w:rPr>
        <w:t>nevertheless</w:t>
      </w:r>
      <w:r>
        <w:rPr>
          <w:lang w:val="en-GB"/>
        </w:rPr>
        <w:t xml:space="preserve"> more than helpful due to being able to show me a new way to gain </w:t>
      </w:r>
      <w:r w:rsidR="00A5708D">
        <w:rPr>
          <w:lang w:val="en-GB"/>
        </w:rPr>
        <w:t>information out of shoddy records by looking for something else that could be affected by the plague ravaging the region with things like looking food prices.</w:t>
      </w:r>
      <w:r w:rsidR="00B57A70">
        <w:rPr>
          <w:lang w:val="en-GB"/>
        </w:rPr>
        <w:t xml:space="preserve"> </w:t>
      </w:r>
      <w:r w:rsidR="00A17927">
        <w:rPr>
          <w:lang w:val="en-GB"/>
        </w:rPr>
        <w:t>However,</w:t>
      </w:r>
      <w:r w:rsidR="00B57A70">
        <w:rPr>
          <w:lang w:val="en-GB"/>
        </w:rPr>
        <w:t xml:space="preserve"> there is the drawback of the article only having the first segment </w:t>
      </w:r>
      <w:r w:rsidR="00A17927">
        <w:rPr>
          <w:lang w:val="en-GB"/>
        </w:rPr>
        <w:t>being about the Black Death and the second and third following the pattern of later plagues in the area.</w:t>
      </w:r>
    </w:p>
    <w:p w14:paraId="259D0F16" w14:textId="77777777" w:rsidR="00C27D81" w:rsidRDefault="00C27D81" w:rsidP="00C27D81">
      <w:pPr>
        <w:rPr>
          <w:lang w:val="en-GB"/>
        </w:rPr>
      </w:pPr>
    </w:p>
    <w:p w14:paraId="7E79A843" w14:textId="6A19CE56" w:rsidR="00C27D81" w:rsidRPr="00C27D81" w:rsidRDefault="00C27D81" w:rsidP="00C27D81">
      <w:pPr>
        <w:rPr>
          <w:b/>
          <w:bCs/>
          <w:lang w:val="en-GB"/>
        </w:rPr>
      </w:pPr>
      <w:r>
        <w:rPr>
          <w:b/>
          <w:bCs/>
          <w:lang w:val="en-GB"/>
        </w:rPr>
        <w:t>Reference 4 -</w:t>
      </w:r>
    </w:p>
    <w:p w14:paraId="58E1DD17" w14:textId="6A0E97D8" w:rsidR="00BF17A2" w:rsidRPr="00C27D81" w:rsidRDefault="00C27D81" w:rsidP="00C27D81">
      <w:pPr>
        <w:rPr>
          <w:lang w:val="en-GB"/>
        </w:rPr>
      </w:pPr>
      <w:sdt>
        <w:sdtPr>
          <w:rPr>
            <w:lang w:val="en-GB"/>
          </w:rPr>
          <w:id w:val="-782193923"/>
          <w:citation/>
        </w:sdtPr>
        <w:sdtContent>
          <w:r>
            <w:rPr>
              <w:lang w:val="en-GB"/>
            </w:rPr>
            <w:fldChar w:fldCharType="begin"/>
          </w:r>
          <w:r>
            <w:rPr>
              <w:lang w:val="en-GB"/>
            </w:rPr>
            <w:instrText xml:space="preserve"> CITATION Cur171 \l 2057 </w:instrText>
          </w:r>
          <w:r>
            <w:rPr>
              <w:lang w:val="en-GB"/>
            </w:rPr>
            <w:fldChar w:fldCharType="separate"/>
          </w:r>
          <w:r w:rsidR="00635418" w:rsidRPr="00635418">
            <w:rPr>
              <w:noProof/>
              <w:lang w:val="en-GB"/>
            </w:rPr>
            <w:t>(Curtis &amp; Roosen, 2017)</w:t>
          </w:r>
          <w:r>
            <w:rPr>
              <w:lang w:val="en-GB"/>
            </w:rPr>
            <w:fldChar w:fldCharType="end"/>
          </w:r>
        </w:sdtContent>
      </w:sdt>
    </w:p>
    <w:p w14:paraId="361CEF9D" w14:textId="74C8F21C" w:rsidR="00635418" w:rsidRDefault="00C27D81" w:rsidP="00C27D81">
      <w:pPr>
        <w:rPr>
          <w:lang w:val="en-GB"/>
        </w:rPr>
      </w:pPr>
      <w:r>
        <w:rPr>
          <w:lang w:val="en-GB"/>
        </w:rPr>
        <w:t xml:space="preserve">Written by Dr Daniel R. Curtis, </w:t>
      </w:r>
      <w:r w:rsidRPr="00C27D81">
        <w:rPr>
          <w:lang w:val="en-GB"/>
        </w:rPr>
        <w:t>Associate professor</w:t>
      </w:r>
      <w:r>
        <w:rPr>
          <w:lang w:val="en-GB"/>
        </w:rPr>
        <w:t xml:space="preserve"> at </w:t>
      </w:r>
      <w:r w:rsidRPr="00C27D81">
        <w:rPr>
          <w:lang w:val="en-GB"/>
        </w:rPr>
        <w:t>Erasmus School of History, Culture and Communication</w:t>
      </w:r>
      <w:r>
        <w:rPr>
          <w:lang w:val="en-GB"/>
        </w:rPr>
        <w:t xml:space="preserve"> and </w:t>
      </w:r>
      <w:r w:rsidR="001217BD">
        <w:rPr>
          <w:lang w:val="en-GB"/>
        </w:rPr>
        <w:t xml:space="preserve">Joris Roosen </w:t>
      </w:r>
      <w:r w:rsidR="001217BD" w:rsidRPr="001217BD">
        <w:rPr>
          <w:lang w:val="en-GB"/>
        </w:rPr>
        <w:t>is head of research and vice-director at the Centre for the Social History of Limburg</w:t>
      </w:r>
      <w:r w:rsidR="001217BD">
        <w:rPr>
          <w:lang w:val="en-GB"/>
        </w:rPr>
        <w:t>.</w:t>
      </w:r>
      <w:r w:rsidR="0077434A">
        <w:rPr>
          <w:lang w:val="en-GB"/>
        </w:rPr>
        <w:t xml:space="preserve"> </w:t>
      </w:r>
      <w:r w:rsidR="008C1820">
        <w:rPr>
          <w:lang w:val="en-GB"/>
        </w:rPr>
        <w:t xml:space="preserve">Again, using Dr Curtis’s works, this article breaks down how the plague affected people by age and sex to try to determine who was most at risk of dying. The information they gathered this time comes from Belgium rather than the Netherlands and the two admit they are not the first to research these findings, citing </w:t>
      </w:r>
      <w:r w:rsidR="008C1820" w:rsidRPr="008C1820">
        <w:rPr>
          <w:lang w:val="en-GB"/>
        </w:rPr>
        <w:t xml:space="preserve"> </w:t>
      </w:r>
    </w:p>
    <w:p w14:paraId="0637BC6A" w14:textId="2D50E4C5" w:rsidR="00635418" w:rsidRDefault="00635418" w:rsidP="00C27D81">
      <w:pPr>
        <w:rPr>
          <w:lang w:val="en-GB"/>
        </w:rPr>
      </w:pPr>
      <w:sdt>
        <w:sdtPr>
          <w:rPr>
            <w:lang w:val="en-GB"/>
          </w:rPr>
          <w:id w:val="707687792"/>
          <w:citation/>
        </w:sdtPr>
        <w:sdtContent>
          <w:r>
            <w:rPr>
              <w:lang w:val="en-GB"/>
            </w:rPr>
            <w:fldChar w:fldCharType="begin"/>
          </w:r>
          <w:r>
            <w:rPr>
              <w:lang w:val="en-GB"/>
            </w:rPr>
            <w:instrText xml:space="preserve"> CITATION Alf17 \l 2057 </w:instrText>
          </w:r>
          <w:r>
            <w:rPr>
              <w:lang w:val="en-GB"/>
            </w:rPr>
            <w:fldChar w:fldCharType="separate"/>
          </w:r>
          <w:r w:rsidRPr="00635418">
            <w:rPr>
              <w:noProof/>
              <w:lang w:val="en-GB"/>
            </w:rPr>
            <w:t>(Alfani, 2017)</w:t>
          </w:r>
          <w:r>
            <w:rPr>
              <w:lang w:val="en-GB"/>
            </w:rPr>
            <w:fldChar w:fldCharType="end"/>
          </w:r>
        </w:sdtContent>
      </w:sdt>
    </w:p>
    <w:p w14:paraId="1BD4776F" w14:textId="3C0AA93A" w:rsidR="00DC146A" w:rsidRDefault="00635418" w:rsidP="00C27D81">
      <w:pPr>
        <w:rPr>
          <w:lang w:val="en-GB"/>
        </w:rPr>
      </w:pPr>
      <w:sdt>
        <w:sdtPr>
          <w:rPr>
            <w:lang w:val="en-GB"/>
          </w:rPr>
          <w:id w:val="-1969044889"/>
          <w:citation/>
        </w:sdtPr>
        <w:sdtContent>
          <w:r>
            <w:rPr>
              <w:lang w:val="en-GB"/>
            </w:rPr>
            <w:fldChar w:fldCharType="begin"/>
          </w:r>
          <w:r>
            <w:rPr>
              <w:lang w:val="en-GB"/>
            </w:rPr>
            <w:instrText xml:space="preserve"> CITATION Whi16 \l 2057 </w:instrText>
          </w:r>
          <w:r>
            <w:rPr>
              <w:lang w:val="en-GB"/>
            </w:rPr>
            <w:fldChar w:fldCharType="separate"/>
          </w:r>
          <w:r w:rsidRPr="00635418">
            <w:rPr>
              <w:noProof/>
              <w:lang w:val="en-GB"/>
            </w:rPr>
            <w:t>(Whittles, 2016)</w:t>
          </w:r>
          <w:r>
            <w:rPr>
              <w:lang w:val="en-GB"/>
            </w:rPr>
            <w:fldChar w:fldCharType="end"/>
          </w:r>
        </w:sdtContent>
      </w:sdt>
      <w:r>
        <w:rPr>
          <w:lang w:val="en-GB"/>
        </w:rPr>
        <w:t xml:space="preserve"> </w:t>
      </w:r>
      <w:r w:rsidR="00DC146A">
        <w:rPr>
          <w:lang w:val="en-GB"/>
        </w:rPr>
        <w:t xml:space="preserve">as their inspirations. </w:t>
      </w:r>
    </w:p>
    <w:p w14:paraId="0C0B9EE6" w14:textId="193D50E1" w:rsidR="00C27D81" w:rsidRPr="008C1820" w:rsidRDefault="00DC146A" w:rsidP="00C27D81">
      <w:pPr>
        <w:rPr>
          <w:lang w:val="en-GB"/>
        </w:rPr>
      </w:pPr>
      <w:r>
        <w:rPr>
          <w:lang w:val="en-GB"/>
        </w:rPr>
        <w:t>The method they used in this analysis comes from a new database in Hainaut, Belgium covering the mortality information of the years the plague was active and the next few decades afterwards. While helping them comply their findings the two admit to a flaw in their analysis, that being the database providing too small of a sample base to accurately reveal a clear distinction between which gender was targeted more.</w:t>
      </w:r>
    </w:p>
    <w:p w14:paraId="70A158E0" w14:textId="6EF68838" w:rsidR="008E1078" w:rsidRPr="00DC146A" w:rsidRDefault="00DC146A" w:rsidP="008E1078">
      <w:pPr>
        <w:rPr>
          <w:lang w:val="en-GB"/>
        </w:rPr>
      </w:pPr>
      <w:r>
        <w:rPr>
          <w:lang w:val="en-GB"/>
        </w:rPr>
        <w:t>Though hindered by a small focus group, the two did manage to find signs that in some areas of Belgium, women were more often the victims of the plague. This information can be useful in my research going forward</w:t>
      </w:r>
      <w:r w:rsidR="00F41D49">
        <w:rPr>
          <w:lang w:val="en-GB"/>
        </w:rPr>
        <w:t>,</w:t>
      </w:r>
      <w:r>
        <w:rPr>
          <w:lang w:val="en-GB"/>
        </w:rPr>
        <w:t xml:space="preserve"> as it can be added with the other methods discovered in these reviews on how to track which of the minority groups was affected</w:t>
      </w:r>
      <w:r w:rsidR="00F41D49">
        <w:rPr>
          <w:lang w:val="en-GB"/>
        </w:rPr>
        <w:t xml:space="preserve"> by persecution</w:t>
      </w:r>
      <w:r>
        <w:rPr>
          <w:lang w:val="en-GB"/>
        </w:rPr>
        <w:t xml:space="preserve"> along with gender</w:t>
      </w:r>
      <w:r w:rsidR="00F41D49">
        <w:rPr>
          <w:lang w:val="en-GB"/>
        </w:rPr>
        <w:t xml:space="preserve"> of victims</w:t>
      </w:r>
      <w:r>
        <w:rPr>
          <w:lang w:val="en-GB"/>
        </w:rPr>
        <w:t xml:space="preserve"> as well as location in certain countries across Europe.</w:t>
      </w:r>
    </w:p>
    <w:sdt>
      <w:sdtPr>
        <w:rPr>
          <w:rFonts w:asciiTheme="minorHAnsi" w:eastAsiaTheme="minorHAnsi" w:hAnsiTheme="minorHAnsi" w:cstheme="minorBidi"/>
          <w:color w:val="auto"/>
          <w:sz w:val="24"/>
          <w:szCs w:val="24"/>
        </w:rPr>
        <w:id w:val="-466899168"/>
        <w:docPartObj>
          <w:docPartGallery w:val="Bibliographies"/>
          <w:docPartUnique/>
        </w:docPartObj>
      </w:sdtPr>
      <w:sdtContent>
        <w:p w14:paraId="2148D305" w14:textId="185E3B50" w:rsidR="00895872" w:rsidRPr="00895872" w:rsidRDefault="00895872">
          <w:pPr>
            <w:pStyle w:val="Heading1"/>
            <w:rPr>
              <w:lang w:val="en-GB"/>
            </w:rPr>
          </w:pPr>
          <w:r w:rsidRPr="00895872">
            <w:rPr>
              <w:lang w:val="en-GB"/>
            </w:rPr>
            <w:t>Bibliography</w:t>
          </w:r>
        </w:p>
        <w:sdt>
          <w:sdtPr>
            <w:id w:val="111145805"/>
            <w:bibliography/>
          </w:sdtPr>
          <w:sdtContent>
            <w:p w14:paraId="58BCC8B1" w14:textId="77777777" w:rsidR="00635418" w:rsidRDefault="00895872" w:rsidP="00635418">
              <w:pPr>
                <w:pStyle w:val="Bibliography"/>
                <w:rPr>
                  <w:noProof/>
                  <w:kern w:val="0"/>
                  <w:lang w:val="en-GB"/>
                  <w14:ligatures w14:val="none"/>
                </w:rPr>
              </w:pPr>
              <w:r>
                <w:fldChar w:fldCharType="begin"/>
              </w:r>
              <w:r w:rsidRPr="00895872">
                <w:rPr>
                  <w:lang w:val="en-GB"/>
                </w:rPr>
                <w:instrText xml:space="preserve"> BIBLIOGRAPHY </w:instrText>
              </w:r>
              <w:r>
                <w:fldChar w:fldCharType="separate"/>
              </w:r>
              <w:r w:rsidR="00635418">
                <w:rPr>
                  <w:noProof/>
                  <w:lang w:val="en-GB"/>
                </w:rPr>
                <w:t xml:space="preserve">Alfani, G. &amp;. M. T., 2017. Plague and lethal epidemics in the pre-industrial world. </w:t>
              </w:r>
              <w:r w:rsidR="00635418">
                <w:rPr>
                  <w:i/>
                  <w:iCs/>
                  <w:noProof/>
                  <w:lang w:val="en-GB"/>
                </w:rPr>
                <w:t xml:space="preserve">Journal of Economic History, </w:t>
              </w:r>
              <w:r w:rsidR="00635418">
                <w:rPr>
                  <w:noProof/>
                  <w:lang w:val="en-GB"/>
                </w:rPr>
                <w:t>Volume 77, p. 314–343.</w:t>
              </w:r>
            </w:p>
            <w:p w14:paraId="5D6C1E2B" w14:textId="77777777" w:rsidR="00635418" w:rsidRDefault="00635418" w:rsidP="00635418">
              <w:pPr>
                <w:pStyle w:val="Bibliography"/>
                <w:rPr>
                  <w:noProof/>
                  <w:lang w:val="en-GB"/>
                </w:rPr>
              </w:pPr>
              <w:r>
                <w:rPr>
                  <w:noProof/>
                  <w:lang w:val="en-GB"/>
                </w:rPr>
                <w:t xml:space="preserve">Curtis, D. R., 2024. Plague and Epidemic Disease in the Northern Parts of the Low Countries, 1349-1450. </w:t>
              </w:r>
              <w:r>
                <w:rPr>
                  <w:i/>
                  <w:iCs/>
                  <w:noProof/>
                  <w:lang w:val="en-GB"/>
                </w:rPr>
                <w:t xml:space="preserve">openjournals.nl; Tijdschrift voor sociale en economische geschiedenis, </w:t>
              </w:r>
              <w:r>
                <w:rPr>
                  <w:noProof/>
                  <w:lang w:val="en-GB"/>
                </w:rPr>
                <w:t>21(2), pp. 75-104.</w:t>
              </w:r>
            </w:p>
            <w:p w14:paraId="17CE38BB" w14:textId="77777777" w:rsidR="00635418" w:rsidRDefault="00635418" w:rsidP="00635418">
              <w:pPr>
                <w:pStyle w:val="Bibliography"/>
                <w:rPr>
                  <w:noProof/>
                  <w:lang w:val="en-GB"/>
                </w:rPr>
              </w:pPr>
              <w:r>
                <w:rPr>
                  <w:noProof/>
                  <w:lang w:val="en-GB"/>
                </w:rPr>
                <w:t>Curtis, D. R. &amp; Roosen, J., 2017. The sex</w:t>
              </w:r>
              <w:r>
                <w:rPr>
                  <w:rFonts w:ascii="Cambria Math" w:hAnsi="Cambria Math" w:cs="Cambria Math"/>
                  <w:noProof/>
                  <w:lang w:val="en-GB"/>
                </w:rPr>
                <w:t>‐</w:t>
              </w:r>
              <w:r>
                <w:rPr>
                  <w:noProof/>
                  <w:lang w:val="en-GB"/>
                </w:rPr>
                <w:t>selective impact of the Black Death and recurring plagues in the Southern Netherlands, 1349</w:t>
              </w:r>
              <w:r>
                <w:rPr>
                  <w:rFonts w:ascii="Aptos" w:hAnsi="Aptos" w:cs="Aptos"/>
                  <w:noProof/>
                  <w:lang w:val="en-GB"/>
                </w:rPr>
                <w:t>–</w:t>
              </w:r>
              <w:r>
                <w:rPr>
                  <w:noProof/>
                  <w:lang w:val="en-GB"/>
                </w:rPr>
                <w:t xml:space="preserve">1450. </w:t>
              </w:r>
              <w:r>
                <w:rPr>
                  <w:i/>
                  <w:iCs/>
                  <w:noProof/>
                  <w:lang w:val="en-GB"/>
                </w:rPr>
                <w:t xml:space="preserve">United States: Wiley Subscription Services, Inc; American journal of physical anthropology, </w:t>
              </w:r>
              <w:r>
                <w:rPr>
                  <w:noProof/>
                  <w:lang w:val="en-GB"/>
                </w:rPr>
                <w:t>164(2), pp. 246-259.</w:t>
              </w:r>
            </w:p>
            <w:p w14:paraId="5D6320FE" w14:textId="77777777" w:rsidR="00635418" w:rsidRDefault="00635418" w:rsidP="00635418">
              <w:pPr>
                <w:pStyle w:val="Bibliography"/>
                <w:rPr>
                  <w:noProof/>
                  <w:lang w:val="en-GB"/>
                </w:rPr>
              </w:pPr>
              <w:r>
                <w:rPr>
                  <w:noProof/>
                  <w:lang w:val="en-GB"/>
                </w:rPr>
                <w:t xml:space="preserve">Finley, T. &amp; Koyama, M., 2018. Plague, Politics, and Pogroms: The Black Death, the Rule of Law, and the Persecution of Jews in the Holy Roman Empire. </w:t>
              </w:r>
              <w:r>
                <w:rPr>
                  <w:i/>
                  <w:iCs/>
                  <w:noProof/>
                  <w:lang w:val="en-GB"/>
                </w:rPr>
                <w:t xml:space="preserve">Chicago: University of Chicago Press; The Journal of law &amp; economics, </w:t>
              </w:r>
              <w:r>
                <w:rPr>
                  <w:noProof/>
                  <w:lang w:val="en-GB"/>
                </w:rPr>
                <w:t>61(2), pp. 253-277.</w:t>
              </w:r>
            </w:p>
            <w:p w14:paraId="3EF59FEB" w14:textId="77777777" w:rsidR="00635418" w:rsidRDefault="00635418" w:rsidP="00635418">
              <w:pPr>
                <w:pStyle w:val="Bibliography"/>
                <w:rPr>
                  <w:noProof/>
                  <w:lang w:val="en-GB"/>
                </w:rPr>
              </w:pPr>
              <w:r>
                <w:rPr>
                  <w:noProof/>
                  <w:lang w:val="en-GB"/>
                </w:rPr>
                <w:t xml:space="preserve">Jedwab, R., Johnson, N. D. &amp; Koyama, M., 2019. Negative shocks and mass persecutions: evidence fromthe Black Death. </w:t>
              </w:r>
              <w:r>
                <w:rPr>
                  <w:i/>
                  <w:iCs/>
                  <w:noProof/>
                  <w:lang w:val="en-GB"/>
                </w:rPr>
                <w:t xml:space="preserve">New York: Springer Science + Business Media; Journal of economic growth , </w:t>
              </w:r>
              <w:r>
                <w:rPr>
                  <w:noProof/>
                  <w:lang w:val="en-GB"/>
                </w:rPr>
                <w:t>24(4), pp. 345-395.</w:t>
              </w:r>
            </w:p>
            <w:p w14:paraId="7004C692" w14:textId="77777777" w:rsidR="00635418" w:rsidRDefault="00635418" w:rsidP="00635418">
              <w:pPr>
                <w:pStyle w:val="Bibliography"/>
                <w:rPr>
                  <w:noProof/>
                  <w:lang w:val="en-GB"/>
                </w:rPr>
              </w:pPr>
              <w:r>
                <w:rPr>
                  <w:noProof/>
                  <w:lang w:val="en-GB"/>
                </w:rPr>
                <w:t xml:space="preserve">Whittles, L. K. &amp;. D. X., 2016. Epidemiological analysis of the Eyam plague outbreak of 1665–1666. </w:t>
              </w:r>
              <w:r>
                <w:rPr>
                  <w:i/>
                  <w:iCs/>
                  <w:noProof/>
                  <w:lang w:val="en-GB"/>
                </w:rPr>
                <w:t xml:space="preserve">Proceedings of the Royal Society B: Biological Sciences, </w:t>
              </w:r>
              <w:r>
                <w:rPr>
                  <w:noProof/>
                  <w:lang w:val="en-GB"/>
                </w:rPr>
                <w:t>Volume 283.</w:t>
              </w:r>
            </w:p>
            <w:p w14:paraId="01D43233" w14:textId="6F3D2917" w:rsidR="00895872" w:rsidRDefault="00895872" w:rsidP="00635418">
              <w:r>
                <w:rPr>
                  <w:b/>
                  <w:bCs/>
                  <w:noProof/>
                </w:rPr>
                <w:fldChar w:fldCharType="end"/>
              </w:r>
            </w:p>
          </w:sdtContent>
        </w:sdt>
      </w:sdtContent>
    </w:sdt>
    <w:p w14:paraId="17065DDD" w14:textId="77777777" w:rsidR="008E1078" w:rsidRDefault="008E1078" w:rsidP="008E1078">
      <w:pPr>
        <w:rPr>
          <w:b/>
          <w:bCs/>
          <w:lang w:val="en-GB"/>
        </w:rPr>
      </w:pPr>
    </w:p>
    <w:p w14:paraId="18A22F1D" w14:textId="77777777" w:rsidR="00234883" w:rsidRPr="00234883" w:rsidRDefault="00234883" w:rsidP="00234883">
      <w:pPr>
        <w:jc w:val="center"/>
        <w:rPr>
          <w:lang w:val="en-GB"/>
        </w:rPr>
      </w:pPr>
    </w:p>
    <w:sectPr w:rsidR="00234883" w:rsidRPr="00234883">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D15AA2"/>
    <w:multiLevelType w:val="multilevel"/>
    <w:tmpl w:val="61242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1813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9EE"/>
    <w:rsid w:val="00047A58"/>
    <w:rsid w:val="00065498"/>
    <w:rsid w:val="00066710"/>
    <w:rsid w:val="000F40C4"/>
    <w:rsid w:val="001217BD"/>
    <w:rsid w:val="001D261E"/>
    <w:rsid w:val="00234883"/>
    <w:rsid w:val="002B279B"/>
    <w:rsid w:val="00390714"/>
    <w:rsid w:val="004B5C58"/>
    <w:rsid w:val="00635418"/>
    <w:rsid w:val="00672CBB"/>
    <w:rsid w:val="006870EF"/>
    <w:rsid w:val="0077434A"/>
    <w:rsid w:val="007C2B9F"/>
    <w:rsid w:val="00870AEA"/>
    <w:rsid w:val="00895872"/>
    <w:rsid w:val="008A24E0"/>
    <w:rsid w:val="008C1820"/>
    <w:rsid w:val="008E1078"/>
    <w:rsid w:val="00A17927"/>
    <w:rsid w:val="00A36B51"/>
    <w:rsid w:val="00A55038"/>
    <w:rsid w:val="00A5708D"/>
    <w:rsid w:val="00B57A70"/>
    <w:rsid w:val="00B75978"/>
    <w:rsid w:val="00B94102"/>
    <w:rsid w:val="00BF17A2"/>
    <w:rsid w:val="00C0359E"/>
    <w:rsid w:val="00C27D81"/>
    <w:rsid w:val="00D013A1"/>
    <w:rsid w:val="00D959EE"/>
    <w:rsid w:val="00DC146A"/>
    <w:rsid w:val="00E059AB"/>
    <w:rsid w:val="00E41571"/>
    <w:rsid w:val="00F41D4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5AF6"/>
  <w15:chartTrackingRefBased/>
  <w15:docId w15:val="{21F5E724-385C-4614-BB64-1B4D5F7C6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D81"/>
  </w:style>
  <w:style w:type="paragraph" w:styleId="Heading1">
    <w:name w:val="heading 1"/>
    <w:basedOn w:val="Normal"/>
    <w:next w:val="Normal"/>
    <w:link w:val="Heading1Char"/>
    <w:uiPriority w:val="9"/>
    <w:qFormat/>
    <w:rsid w:val="00D959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59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9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9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9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9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9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9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9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9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59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9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9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9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9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9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9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9EE"/>
    <w:rPr>
      <w:rFonts w:eastAsiaTheme="majorEastAsia" w:cstheme="majorBidi"/>
      <w:color w:val="272727" w:themeColor="text1" w:themeTint="D8"/>
    </w:rPr>
  </w:style>
  <w:style w:type="paragraph" w:styleId="Title">
    <w:name w:val="Title"/>
    <w:basedOn w:val="Normal"/>
    <w:next w:val="Normal"/>
    <w:link w:val="TitleChar"/>
    <w:uiPriority w:val="10"/>
    <w:qFormat/>
    <w:rsid w:val="00D959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9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9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9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9EE"/>
    <w:pPr>
      <w:spacing w:before="160"/>
      <w:jc w:val="center"/>
    </w:pPr>
    <w:rPr>
      <w:i/>
      <w:iCs/>
      <w:color w:val="404040" w:themeColor="text1" w:themeTint="BF"/>
    </w:rPr>
  </w:style>
  <w:style w:type="character" w:customStyle="1" w:styleId="QuoteChar">
    <w:name w:val="Quote Char"/>
    <w:basedOn w:val="DefaultParagraphFont"/>
    <w:link w:val="Quote"/>
    <w:uiPriority w:val="29"/>
    <w:rsid w:val="00D959EE"/>
    <w:rPr>
      <w:i/>
      <w:iCs/>
      <w:color w:val="404040" w:themeColor="text1" w:themeTint="BF"/>
    </w:rPr>
  </w:style>
  <w:style w:type="paragraph" w:styleId="ListParagraph">
    <w:name w:val="List Paragraph"/>
    <w:basedOn w:val="Normal"/>
    <w:uiPriority w:val="34"/>
    <w:qFormat/>
    <w:rsid w:val="00D959EE"/>
    <w:pPr>
      <w:ind w:left="720"/>
      <w:contextualSpacing/>
    </w:pPr>
  </w:style>
  <w:style w:type="character" w:styleId="IntenseEmphasis">
    <w:name w:val="Intense Emphasis"/>
    <w:basedOn w:val="DefaultParagraphFont"/>
    <w:uiPriority w:val="21"/>
    <w:qFormat/>
    <w:rsid w:val="00D959EE"/>
    <w:rPr>
      <w:i/>
      <w:iCs/>
      <w:color w:val="0F4761" w:themeColor="accent1" w:themeShade="BF"/>
    </w:rPr>
  </w:style>
  <w:style w:type="paragraph" w:styleId="IntenseQuote">
    <w:name w:val="Intense Quote"/>
    <w:basedOn w:val="Normal"/>
    <w:next w:val="Normal"/>
    <w:link w:val="IntenseQuoteChar"/>
    <w:uiPriority w:val="30"/>
    <w:qFormat/>
    <w:rsid w:val="00D959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9EE"/>
    <w:rPr>
      <w:i/>
      <w:iCs/>
      <w:color w:val="0F4761" w:themeColor="accent1" w:themeShade="BF"/>
    </w:rPr>
  </w:style>
  <w:style w:type="character" w:styleId="IntenseReference">
    <w:name w:val="Intense Reference"/>
    <w:basedOn w:val="DefaultParagraphFont"/>
    <w:uiPriority w:val="32"/>
    <w:qFormat/>
    <w:rsid w:val="00D959EE"/>
    <w:rPr>
      <w:b/>
      <w:bCs/>
      <w:smallCaps/>
      <w:color w:val="0F4761" w:themeColor="accent1" w:themeShade="BF"/>
      <w:spacing w:val="5"/>
    </w:rPr>
  </w:style>
  <w:style w:type="character" w:styleId="Hyperlink">
    <w:name w:val="Hyperlink"/>
    <w:basedOn w:val="DefaultParagraphFont"/>
    <w:uiPriority w:val="99"/>
    <w:unhideWhenUsed/>
    <w:rsid w:val="008E1078"/>
    <w:rPr>
      <w:color w:val="467886" w:themeColor="hyperlink"/>
      <w:u w:val="single"/>
    </w:rPr>
  </w:style>
  <w:style w:type="character" w:styleId="UnresolvedMention">
    <w:name w:val="Unresolved Mention"/>
    <w:basedOn w:val="DefaultParagraphFont"/>
    <w:uiPriority w:val="99"/>
    <w:semiHidden/>
    <w:unhideWhenUsed/>
    <w:rsid w:val="008E1078"/>
    <w:rPr>
      <w:color w:val="605E5C"/>
      <w:shd w:val="clear" w:color="auto" w:fill="E1DFDD"/>
    </w:rPr>
  </w:style>
  <w:style w:type="paragraph" w:styleId="Bibliography">
    <w:name w:val="Bibliography"/>
    <w:basedOn w:val="Normal"/>
    <w:next w:val="Normal"/>
    <w:uiPriority w:val="37"/>
    <w:unhideWhenUsed/>
    <w:rsid w:val="00895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3252">
      <w:bodyDiv w:val="1"/>
      <w:marLeft w:val="0"/>
      <w:marRight w:val="0"/>
      <w:marTop w:val="0"/>
      <w:marBottom w:val="0"/>
      <w:divBdr>
        <w:top w:val="none" w:sz="0" w:space="0" w:color="auto"/>
        <w:left w:val="none" w:sz="0" w:space="0" w:color="auto"/>
        <w:bottom w:val="none" w:sz="0" w:space="0" w:color="auto"/>
        <w:right w:val="none" w:sz="0" w:space="0" w:color="auto"/>
      </w:divBdr>
    </w:div>
    <w:div w:id="13070883">
      <w:bodyDiv w:val="1"/>
      <w:marLeft w:val="0"/>
      <w:marRight w:val="0"/>
      <w:marTop w:val="0"/>
      <w:marBottom w:val="0"/>
      <w:divBdr>
        <w:top w:val="none" w:sz="0" w:space="0" w:color="auto"/>
        <w:left w:val="none" w:sz="0" w:space="0" w:color="auto"/>
        <w:bottom w:val="none" w:sz="0" w:space="0" w:color="auto"/>
        <w:right w:val="none" w:sz="0" w:space="0" w:color="auto"/>
      </w:divBdr>
    </w:div>
    <w:div w:id="21244693">
      <w:bodyDiv w:val="1"/>
      <w:marLeft w:val="0"/>
      <w:marRight w:val="0"/>
      <w:marTop w:val="0"/>
      <w:marBottom w:val="0"/>
      <w:divBdr>
        <w:top w:val="none" w:sz="0" w:space="0" w:color="auto"/>
        <w:left w:val="none" w:sz="0" w:space="0" w:color="auto"/>
        <w:bottom w:val="none" w:sz="0" w:space="0" w:color="auto"/>
        <w:right w:val="none" w:sz="0" w:space="0" w:color="auto"/>
      </w:divBdr>
    </w:div>
    <w:div w:id="110133091">
      <w:bodyDiv w:val="1"/>
      <w:marLeft w:val="0"/>
      <w:marRight w:val="0"/>
      <w:marTop w:val="0"/>
      <w:marBottom w:val="0"/>
      <w:divBdr>
        <w:top w:val="none" w:sz="0" w:space="0" w:color="auto"/>
        <w:left w:val="none" w:sz="0" w:space="0" w:color="auto"/>
        <w:bottom w:val="none" w:sz="0" w:space="0" w:color="auto"/>
        <w:right w:val="none" w:sz="0" w:space="0" w:color="auto"/>
      </w:divBdr>
    </w:div>
    <w:div w:id="190073368">
      <w:bodyDiv w:val="1"/>
      <w:marLeft w:val="0"/>
      <w:marRight w:val="0"/>
      <w:marTop w:val="0"/>
      <w:marBottom w:val="0"/>
      <w:divBdr>
        <w:top w:val="none" w:sz="0" w:space="0" w:color="auto"/>
        <w:left w:val="none" w:sz="0" w:space="0" w:color="auto"/>
        <w:bottom w:val="none" w:sz="0" w:space="0" w:color="auto"/>
        <w:right w:val="none" w:sz="0" w:space="0" w:color="auto"/>
      </w:divBdr>
    </w:div>
    <w:div w:id="203948484">
      <w:bodyDiv w:val="1"/>
      <w:marLeft w:val="0"/>
      <w:marRight w:val="0"/>
      <w:marTop w:val="0"/>
      <w:marBottom w:val="0"/>
      <w:divBdr>
        <w:top w:val="none" w:sz="0" w:space="0" w:color="auto"/>
        <w:left w:val="none" w:sz="0" w:space="0" w:color="auto"/>
        <w:bottom w:val="none" w:sz="0" w:space="0" w:color="auto"/>
        <w:right w:val="none" w:sz="0" w:space="0" w:color="auto"/>
      </w:divBdr>
    </w:div>
    <w:div w:id="207647827">
      <w:bodyDiv w:val="1"/>
      <w:marLeft w:val="0"/>
      <w:marRight w:val="0"/>
      <w:marTop w:val="0"/>
      <w:marBottom w:val="0"/>
      <w:divBdr>
        <w:top w:val="none" w:sz="0" w:space="0" w:color="auto"/>
        <w:left w:val="none" w:sz="0" w:space="0" w:color="auto"/>
        <w:bottom w:val="none" w:sz="0" w:space="0" w:color="auto"/>
        <w:right w:val="none" w:sz="0" w:space="0" w:color="auto"/>
      </w:divBdr>
    </w:div>
    <w:div w:id="230310636">
      <w:bodyDiv w:val="1"/>
      <w:marLeft w:val="0"/>
      <w:marRight w:val="0"/>
      <w:marTop w:val="0"/>
      <w:marBottom w:val="0"/>
      <w:divBdr>
        <w:top w:val="none" w:sz="0" w:space="0" w:color="auto"/>
        <w:left w:val="none" w:sz="0" w:space="0" w:color="auto"/>
        <w:bottom w:val="none" w:sz="0" w:space="0" w:color="auto"/>
        <w:right w:val="none" w:sz="0" w:space="0" w:color="auto"/>
      </w:divBdr>
    </w:div>
    <w:div w:id="279460241">
      <w:bodyDiv w:val="1"/>
      <w:marLeft w:val="0"/>
      <w:marRight w:val="0"/>
      <w:marTop w:val="0"/>
      <w:marBottom w:val="0"/>
      <w:divBdr>
        <w:top w:val="none" w:sz="0" w:space="0" w:color="auto"/>
        <w:left w:val="none" w:sz="0" w:space="0" w:color="auto"/>
        <w:bottom w:val="none" w:sz="0" w:space="0" w:color="auto"/>
        <w:right w:val="none" w:sz="0" w:space="0" w:color="auto"/>
      </w:divBdr>
    </w:div>
    <w:div w:id="328872510">
      <w:bodyDiv w:val="1"/>
      <w:marLeft w:val="0"/>
      <w:marRight w:val="0"/>
      <w:marTop w:val="0"/>
      <w:marBottom w:val="0"/>
      <w:divBdr>
        <w:top w:val="none" w:sz="0" w:space="0" w:color="auto"/>
        <w:left w:val="none" w:sz="0" w:space="0" w:color="auto"/>
        <w:bottom w:val="none" w:sz="0" w:space="0" w:color="auto"/>
        <w:right w:val="none" w:sz="0" w:space="0" w:color="auto"/>
      </w:divBdr>
    </w:div>
    <w:div w:id="374236848">
      <w:bodyDiv w:val="1"/>
      <w:marLeft w:val="0"/>
      <w:marRight w:val="0"/>
      <w:marTop w:val="0"/>
      <w:marBottom w:val="0"/>
      <w:divBdr>
        <w:top w:val="none" w:sz="0" w:space="0" w:color="auto"/>
        <w:left w:val="none" w:sz="0" w:space="0" w:color="auto"/>
        <w:bottom w:val="none" w:sz="0" w:space="0" w:color="auto"/>
        <w:right w:val="none" w:sz="0" w:space="0" w:color="auto"/>
      </w:divBdr>
    </w:div>
    <w:div w:id="552472368">
      <w:bodyDiv w:val="1"/>
      <w:marLeft w:val="0"/>
      <w:marRight w:val="0"/>
      <w:marTop w:val="0"/>
      <w:marBottom w:val="0"/>
      <w:divBdr>
        <w:top w:val="none" w:sz="0" w:space="0" w:color="auto"/>
        <w:left w:val="none" w:sz="0" w:space="0" w:color="auto"/>
        <w:bottom w:val="none" w:sz="0" w:space="0" w:color="auto"/>
        <w:right w:val="none" w:sz="0" w:space="0" w:color="auto"/>
      </w:divBdr>
    </w:div>
    <w:div w:id="611860572">
      <w:bodyDiv w:val="1"/>
      <w:marLeft w:val="0"/>
      <w:marRight w:val="0"/>
      <w:marTop w:val="0"/>
      <w:marBottom w:val="0"/>
      <w:divBdr>
        <w:top w:val="none" w:sz="0" w:space="0" w:color="auto"/>
        <w:left w:val="none" w:sz="0" w:space="0" w:color="auto"/>
        <w:bottom w:val="none" w:sz="0" w:space="0" w:color="auto"/>
        <w:right w:val="none" w:sz="0" w:space="0" w:color="auto"/>
      </w:divBdr>
    </w:div>
    <w:div w:id="722755171">
      <w:bodyDiv w:val="1"/>
      <w:marLeft w:val="0"/>
      <w:marRight w:val="0"/>
      <w:marTop w:val="0"/>
      <w:marBottom w:val="0"/>
      <w:divBdr>
        <w:top w:val="none" w:sz="0" w:space="0" w:color="auto"/>
        <w:left w:val="none" w:sz="0" w:space="0" w:color="auto"/>
        <w:bottom w:val="none" w:sz="0" w:space="0" w:color="auto"/>
        <w:right w:val="none" w:sz="0" w:space="0" w:color="auto"/>
      </w:divBdr>
    </w:div>
    <w:div w:id="753748120">
      <w:bodyDiv w:val="1"/>
      <w:marLeft w:val="0"/>
      <w:marRight w:val="0"/>
      <w:marTop w:val="0"/>
      <w:marBottom w:val="0"/>
      <w:divBdr>
        <w:top w:val="none" w:sz="0" w:space="0" w:color="auto"/>
        <w:left w:val="none" w:sz="0" w:space="0" w:color="auto"/>
        <w:bottom w:val="none" w:sz="0" w:space="0" w:color="auto"/>
        <w:right w:val="none" w:sz="0" w:space="0" w:color="auto"/>
      </w:divBdr>
    </w:div>
    <w:div w:id="767770531">
      <w:bodyDiv w:val="1"/>
      <w:marLeft w:val="0"/>
      <w:marRight w:val="0"/>
      <w:marTop w:val="0"/>
      <w:marBottom w:val="0"/>
      <w:divBdr>
        <w:top w:val="none" w:sz="0" w:space="0" w:color="auto"/>
        <w:left w:val="none" w:sz="0" w:space="0" w:color="auto"/>
        <w:bottom w:val="none" w:sz="0" w:space="0" w:color="auto"/>
        <w:right w:val="none" w:sz="0" w:space="0" w:color="auto"/>
      </w:divBdr>
    </w:div>
    <w:div w:id="797650819">
      <w:bodyDiv w:val="1"/>
      <w:marLeft w:val="0"/>
      <w:marRight w:val="0"/>
      <w:marTop w:val="0"/>
      <w:marBottom w:val="0"/>
      <w:divBdr>
        <w:top w:val="none" w:sz="0" w:space="0" w:color="auto"/>
        <w:left w:val="none" w:sz="0" w:space="0" w:color="auto"/>
        <w:bottom w:val="none" w:sz="0" w:space="0" w:color="auto"/>
        <w:right w:val="none" w:sz="0" w:space="0" w:color="auto"/>
      </w:divBdr>
    </w:div>
    <w:div w:id="803546374">
      <w:bodyDiv w:val="1"/>
      <w:marLeft w:val="0"/>
      <w:marRight w:val="0"/>
      <w:marTop w:val="0"/>
      <w:marBottom w:val="0"/>
      <w:divBdr>
        <w:top w:val="none" w:sz="0" w:space="0" w:color="auto"/>
        <w:left w:val="none" w:sz="0" w:space="0" w:color="auto"/>
        <w:bottom w:val="none" w:sz="0" w:space="0" w:color="auto"/>
        <w:right w:val="none" w:sz="0" w:space="0" w:color="auto"/>
      </w:divBdr>
    </w:div>
    <w:div w:id="836769057">
      <w:bodyDiv w:val="1"/>
      <w:marLeft w:val="0"/>
      <w:marRight w:val="0"/>
      <w:marTop w:val="0"/>
      <w:marBottom w:val="0"/>
      <w:divBdr>
        <w:top w:val="none" w:sz="0" w:space="0" w:color="auto"/>
        <w:left w:val="none" w:sz="0" w:space="0" w:color="auto"/>
        <w:bottom w:val="none" w:sz="0" w:space="0" w:color="auto"/>
        <w:right w:val="none" w:sz="0" w:space="0" w:color="auto"/>
      </w:divBdr>
    </w:div>
    <w:div w:id="913003417">
      <w:bodyDiv w:val="1"/>
      <w:marLeft w:val="0"/>
      <w:marRight w:val="0"/>
      <w:marTop w:val="0"/>
      <w:marBottom w:val="0"/>
      <w:divBdr>
        <w:top w:val="none" w:sz="0" w:space="0" w:color="auto"/>
        <w:left w:val="none" w:sz="0" w:space="0" w:color="auto"/>
        <w:bottom w:val="none" w:sz="0" w:space="0" w:color="auto"/>
        <w:right w:val="none" w:sz="0" w:space="0" w:color="auto"/>
      </w:divBdr>
    </w:div>
    <w:div w:id="938180001">
      <w:bodyDiv w:val="1"/>
      <w:marLeft w:val="0"/>
      <w:marRight w:val="0"/>
      <w:marTop w:val="0"/>
      <w:marBottom w:val="0"/>
      <w:divBdr>
        <w:top w:val="none" w:sz="0" w:space="0" w:color="auto"/>
        <w:left w:val="none" w:sz="0" w:space="0" w:color="auto"/>
        <w:bottom w:val="none" w:sz="0" w:space="0" w:color="auto"/>
        <w:right w:val="none" w:sz="0" w:space="0" w:color="auto"/>
      </w:divBdr>
    </w:div>
    <w:div w:id="946238170">
      <w:bodyDiv w:val="1"/>
      <w:marLeft w:val="0"/>
      <w:marRight w:val="0"/>
      <w:marTop w:val="0"/>
      <w:marBottom w:val="0"/>
      <w:divBdr>
        <w:top w:val="none" w:sz="0" w:space="0" w:color="auto"/>
        <w:left w:val="none" w:sz="0" w:space="0" w:color="auto"/>
        <w:bottom w:val="none" w:sz="0" w:space="0" w:color="auto"/>
        <w:right w:val="none" w:sz="0" w:space="0" w:color="auto"/>
      </w:divBdr>
    </w:div>
    <w:div w:id="970549013">
      <w:bodyDiv w:val="1"/>
      <w:marLeft w:val="0"/>
      <w:marRight w:val="0"/>
      <w:marTop w:val="0"/>
      <w:marBottom w:val="0"/>
      <w:divBdr>
        <w:top w:val="none" w:sz="0" w:space="0" w:color="auto"/>
        <w:left w:val="none" w:sz="0" w:space="0" w:color="auto"/>
        <w:bottom w:val="none" w:sz="0" w:space="0" w:color="auto"/>
        <w:right w:val="none" w:sz="0" w:space="0" w:color="auto"/>
      </w:divBdr>
    </w:div>
    <w:div w:id="988050683">
      <w:bodyDiv w:val="1"/>
      <w:marLeft w:val="0"/>
      <w:marRight w:val="0"/>
      <w:marTop w:val="0"/>
      <w:marBottom w:val="0"/>
      <w:divBdr>
        <w:top w:val="none" w:sz="0" w:space="0" w:color="auto"/>
        <w:left w:val="none" w:sz="0" w:space="0" w:color="auto"/>
        <w:bottom w:val="none" w:sz="0" w:space="0" w:color="auto"/>
        <w:right w:val="none" w:sz="0" w:space="0" w:color="auto"/>
      </w:divBdr>
    </w:div>
    <w:div w:id="1129513421">
      <w:bodyDiv w:val="1"/>
      <w:marLeft w:val="0"/>
      <w:marRight w:val="0"/>
      <w:marTop w:val="0"/>
      <w:marBottom w:val="0"/>
      <w:divBdr>
        <w:top w:val="none" w:sz="0" w:space="0" w:color="auto"/>
        <w:left w:val="none" w:sz="0" w:space="0" w:color="auto"/>
        <w:bottom w:val="none" w:sz="0" w:space="0" w:color="auto"/>
        <w:right w:val="none" w:sz="0" w:space="0" w:color="auto"/>
      </w:divBdr>
    </w:div>
    <w:div w:id="1150638969">
      <w:bodyDiv w:val="1"/>
      <w:marLeft w:val="0"/>
      <w:marRight w:val="0"/>
      <w:marTop w:val="0"/>
      <w:marBottom w:val="0"/>
      <w:divBdr>
        <w:top w:val="none" w:sz="0" w:space="0" w:color="auto"/>
        <w:left w:val="none" w:sz="0" w:space="0" w:color="auto"/>
        <w:bottom w:val="none" w:sz="0" w:space="0" w:color="auto"/>
        <w:right w:val="none" w:sz="0" w:space="0" w:color="auto"/>
      </w:divBdr>
    </w:div>
    <w:div w:id="1203593522">
      <w:bodyDiv w:val="1"/>
      <w:marLeft w:val="0"/>
      <w:marRight w:val="0"/>
      <w:marTop w:val="0"/>
      <w:marBottom w:val="0"/>
      <w:divBdr>
        <w:top w:val="none" w:sz="0" w:space="0" w:color="auto"/>
        <w:left w:val="none" w:sz="0" w:space="0" w:color="auto"/>
        <w:bottom w:val="none" w:sz="0" w:space="0" w:color="auto"/>
        <w:right w:val="none" w:sz="0" w:space="0" w:color="auto"/>
      </w:divBdr>
    </w:div>
    <w:div w:id="1274752520">
      <w:bodyDiv w:val="1"/>
      <w:marLeft w:val="0"/>
      <w:marRight w:val="0"/>
      <w:marTop w:val="0"/>
      <w:marBottom w:val="0"/>
      <w:divBdr>
        <w:top w:val="none" w:sz="0" w:space="0" w:color="auto"/>
        <w:left w:val="none" w:sz="0" w:space="0" w:color="auto"/>
        <w:bottom w:val="none" w:sz="0" w:space="0" w:color="auto"/>
        <w:right w:val="none" w:sz="0" w:space="0" w:color="auto"/>
      </w:divBdr>
    </w:div>
    <w:div w:id="1363165700">
      <w:bodyDiv w:val="1"/>
      <w:marLeft w:val="0"/>
      <w:marRight w:val="0"/>
      <w:marTop w:val="0"/>
      <w:marBottom w:val="0"/>
      <w:divBdr>
        <w:top w:val="none" w:sz="0" w:space="0" w:color="auto"/>
        <w:left w:val="none" w:sz="0" w:space="0" w:color="auto"/>
        <w:bottom w:val="none" w:sz="0" w:space="0" w:color="auto"/>
        <w:right w:val="none" w:sz="0" w:space="0" w:color="auto"/>
      </w:divBdr>
    </w:div>
    <w:div w:id="1391029503">
      <w:bodyDiv w:val="1"/>
      <w:marLeft w:val="0"/>
      <w:marRight w:val="0"/>
      <w:marTop w:val="0"/>
      <w:marBottom w:val="0"/>
      <w:divBdr>
        <w:top w:val="none" w:sz="0" w:space="0" w:color="auto"/>
        <w:left w:val="none" w:sz="0" w:space="0" w:color="auto"/>
        <w:bottom w:val="none" w:sz="0" w:space="0" w:color="auto"/>
        <w:right w:val="none" w:sz="0" w:space="0" w:color="auto"/>
      </w:divBdr>
    </w:div>
    <w:div w:id="1413890295">
      <w:bodyDiv w:val="1"/>
      <w:marLeft w:val="0"/>
      <w:marRight w:val="0"/>
      <w:marTop w:val="0"/>
      <w:marBottom w:val="0"/>
      <w:divBdr>
        <w:top w:val="none" w:sz="0" w:space="0" w:color="auto"/>
        <w:left w:val="none" w:sz="0" w:space="0" w:color="auto"/>
        <w:bottom w:val="none" w:sz="0" w:space="0" w:color="auto"/>
        <w:right w:val="none" w:sz="0" w:space="0" w:color="auto"/>
      </w:divBdr>
    </w:div>
    <w:div w:id="1430155470">
      <w:bodyDiv w:val="1"/>
      <w:marLeft w:val="0"/>
      <w:marRight w:val="0"/>
      <w:marTop w:val="0"/>
      <w:marBottom w:val="0"/>
      <w:divBdr>
        <w:top w:val="none" w:sz="0" w:space="0" w:color="auto"/>
        <w:left w:val="none" w:sz="0" w:space="0" w:color="auto"/>
        <w:bottom w:val="none" w:sz="0" w:space="0" w:color="auto"/>
        <w:right w:val="none" w:sz="0" w:space="0" w:color="auto"/>
      </w:divBdr>
    </w:div>
    <w:div w:id="1466698531">
      <w:bodyDiv w:val="1"/>
      <w:marLeft w:val="0"/>
      <w:marRight w:val="0"/>
      <w:marTop w:val="0"/>
      <w:marBottom w:val="0"/>
      <w:divBdr>
        <w:top w:val="none" w:sz="0" w:space="0" w:color="auto"/>
        <w:left w:val="none" w:sz="0" w:space="0" w:color="auto"/>
        <w:bottom w:val="none" w:sz="0" w:space="0" w:color="auto"/>
        <w:right w:val="none" w:sz="0" w:space="0" w:color="auto"/>
      </w:divBdr>
    </w:div>
    <w:div w:id="1552841822">
      <w:bodyDiv w:val="1"/>
      <w:marLeft w:val="0"/>
      <w:marRight w:val="0"/>
      <w:marTop w:val="0"/>
      <w:marBottom w:val="0"/>
      <w:divBdr>
        <w:top w:val="none" w:sz="0" w:space="0" w:color="auto"/>
        <w:left w:val="none" w:sz="0" w:space="0" w:color="auto"/>
        <w:bottom w:val="none" w:sz="0" w:space="0" w:color="auto"/>
        <w:right w:val="none" w:sz="0" w:space="0" w:color="auto"/>
      </w:divBdr>
    </w:div>
    <w:div w:id="1580168350">
      <w:bodyDiv w:val="1"/>
      <w:marLeft w:val="0"/>
      <w:marRight w:val="0"/>
      <w:marTop w:val="0"/>
      <w:marBottom w:val="0"/>
      <w:divBdr>
        <w:top w:val="none" w:sz="0" w:space="0" w:color="auto"/>
        <w:left w:val="none" w:sz="0" w:space="0" w:color="auto"/>
        <w:bottom w:val="none" w:sz="0" w:space="0" w:color="auto"/>
        <w:right w:val="none" w:sz="0" w:space="0" w:color="auto"/>
      </w:divBdr>
    </w:div>
    <w:div w:id="1586063254">
      <w:bodyDiv w:val="1"/>
      <w:marLeft w:val="0"/>
      <w:marRight w:val="0"/>
      <w:marTop w:val="0"/>
      <w:marBottom w:val="0"/>
      <w:divBdr>
        <w:top w:val="none" w:sz="0" w:space="0" w:color="auto"/>
        <w:left w:val="none" w:sz="0" w:space="0" w:color="auto"/>
        <w:bottom w:val="none" w:sz="0" w:space="0" w:color="auto"/>
        <w:right w:val="none" w:sz="0" w:space="0" w:color="auto"/>
      </w:divBdr>
    </w:div>
    <w:div w:id="1663658662">
      <w:bodyDiv w:val="1"/>
      <w:marLeft w:val="0"/>
      <w:marRight w:val="0"/>
      <w:marTop w:val="0"/>
      <w:marBottom w:val="0"/>
      <w:divBdr>
        <w:top w:val="none" w:sz="0" w:space="0" w:color="auto"/>
        <w:left w:val="none" w:sz="0" w:space="0" w:color="auto"/>
        <w:bottom w:val="none" w:sz="0" w:space="0" w:color="auto"/>
        <w:right w:val="none" w:sz="0" w:space="0" w:color="auto"/>
      </w:divBdr>
    </w:div>
    <w:div w:id="1680621613">
      <w:bodyDiv w:val="1"/>
      <w:marLeft w:val="0"/>
      <w:marRight w:val="0"/>
      <w:marTop w:val="0"/>
      <w:marBottom w:val="0"/>
      <w:divBdr>
        <w:top w:val="none" w:sz="0" w:space="0" w:color="auto"/>
        <w:left w:val="none" w:sz="0" w:space="0" w:color="auto"/>
        <w:bottom w:val="none" w:sz="0" w:space="0" w:color="auto"/>
        <w:right w:val="none" w:sz="0" w:space="0" w:color="auto"/>
      </w:divBdr>
    </w:div>
    <w:div w:id="1733234898">
      <w:bodyDiv w:val="1"/>
      <w:marLeft w:val="0"/>
      <w:marRight w:val="0"/>
      <w:marTop w:val="0"/>
      <w:marBottom w:val="0"/>
      <w:divBdr>
        <w:top w:val="none" w:sz="0" w:space="0" w:color="auto"/>
        <w:left w:val="none" w:sz="0" w:space="0" w:color="auto"/>
        <w:bottom w:val="none" w:sz="0" w:space="0" w:color="auto"/>
        <w:right w:val="none" w:sz="0" w:space="0" w:color="auto"/>
      </w:divBdr>
    </w:div>
    <w:div w:id="1818112947">
      <w:bodyDiv w:val="1"/>
      <w:marLeft w:val="0"/>
      <w:marRight w:val="0"/>
      <w:marTop w:val="0"/>
      <w:marBottom w:val="0"/>
      <w:divBdr>
        <w:top w:val="none" w:sz="0" w:space="0" w:color="auto"/>
        <w:left w:val="none" w:sz="0" w:space="0" w:color="auto"/>
        <w:bottom w:val="none" w:sz="0" w:space="0" w:color="auto"/>
        <w:right w:val="none" w:sz="0" w:space="0" w:color="auto"/>
      </w:divBdr>
    </w:div>
    <w:div w:id="1858886230">
      <w:bodyDiv w:val="1"/>
      <w:marLeft w:val="0"/>
      <w:marRight w:val="0"/>
      <w:marTop w:val="0"/>
      <w:marBottom w:val="0"/>
      <w:divBdr>
        <w:top w:val="none" w:sz="0" w:space="0" w:color="auto"/>
        <w:left w:val="none" w:sz="0" w:space="0" w:color="auto"/>
        <w:bottom w:val="none" w:sz="0" w:space="0" w:color="auto"/>
        <w:right w:val="none" w:sz="0" w:space="0" w:color="auto"/>
      </w:divBdr>
    </w:div>
    <w:div w:id="1905875970">
      <w:bodyDiv w:val="1"/>
      <w:marLeft w:val="0"/>
      <w:marRight w:val="0"/>
      <w:marTop w:val="0"/>
      <w:marBottom w:val="0"/>
      <w:divBdr>
        <w:top w:val="none" w:sz="0" w:space="0" w:color="auto"/>
        <w:left w:val="none" w:sz="0" w:space="0" w:color="auto"/>
        <w:bottom w:val="none" w:sz="0" w:space="0" w:color="auto"/>
        <w:right w:val="none" w:sz="0" w:space="0" w:color="auto"/>
      </w:divBdr>
    </w:div>
    <w:div w:id="2013994462">
      <w:bodyDiv w:val="1"/>
      <w:marLeft w:val="0"/>
      <w:marRight w:val="0"/>
      <w:marTop w:val="0"/>
      <w:marBottom w:val="0"/>
      <w:divBdr>
        <w:top w:val="none" w:sz="0" w:space="0" w:color="auto"/>
        <w:left w:val="none" w:sz="0" w:space="0" w:color="auto"/>
        <w:bottom w:val="none" w:sz="0" w:space="0" w:color="auto"/>
        <w:right w:val="none" w:sz="0" w:space="0" w:color="auto"/>
      </w:divBdr>
    </w:div>
    <w:div w:id="2021618755">
      <w:bodyDiv w:val="1"/>
      <w:marLeft w:val="0"/>
      <w:marRight w:val="0"/>
      <w:marTop w:val="0"/>
      <w:marBottom w:val="0"/>
      <w:divBdr>
        <w:top w:val="none" w:sz="0" w:space="0" w:color="auto"/>
        <w:left w:val="none" w:sz="0" w:space="0" w:color="auto"/>
        <w:bottom w:val="none" w:sz="0" w:space="0" w:color="auto"/>
        <w:right w:val="none" w:sz="0" w:space="0" w:color="auto"/>
      </w:divBdr>
    </w:div>
    <w:div w:id="2025744807">
      <w:bodyDiv w:val="1"/>
      <w:marLeft w:val="0"/>
      <w:marRight w:val="0"/>
      <w:marTop w:val="0"/>
      <w:marBottom w:val="0"/>
      <w:divBdr>
        <w:top w:val="none" w:sz="0" w:space="0" w:color="auto"/>
        <w:left w:val="none" w:sz="0" w:space="0" w:color="auto"/>
        <w:bottom w:val="none" w:sz="0" w:space="0" w:color="auto"/>
        <w:right w:val="none" w:sz="0" w:space="0" w:color="auto"/>
      </w:divBdr>
    </w:div>
    <w:div w:id="2063207142">
      <w:bodyDiv w:val="1"/>
      <w:marLeft w:val="0"/>
      <w:marRight w:val="0"/>
      <w:marTop w:val="0"/>
      <w:marBottom w:val="0"/>
      <w:divBdr>
        <w:top w:val="none" w:sz="0" w:space="0" w:color="auto"/>
        <w:left w:val="none" w:sz="0" w:space="0" w:color="auto"/>
        <w:bottom w:val="none" w:sz="0" w:space="0" w:color="auto"/>
        <w:right w:val="none" w:sz="0" w:space="0" w:color="auto"/>
      </w:divBdr>
    </w:div>
    <w:div w:id="210095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Fin181</b:Tag>
    <b:SourceType>JournalArticle</b:SourceType>
    <b:Guid>{CC426562-13FC-4E1B-9F32-D63096A9C9CB}</b:Guid>
    <b:Author>
      <b:Author>
        <b:NameList>
          <b:Person>
            <b:Last>Finley</b:Last>
            <b:First>Theresa</b:First>
          </b:Person>
          <b:Person>
            <b:Last>Koyama</b:Last>
            <b:First>Mark</b:First>
          </b:Person>
        </b:NameList>
      </b:Author>
    </b:Author>
    <b:Title>Plague, Politics, and Pogroms: The Black Death, the Rule of Law, and the Persecution of Jews in the Holy Roman Empire</b:Title>
    <b:JournalName>Chicago: University of Chicago Press; The Journal of law &amp; economics</b:JournalName>
    <b:Year>2018</b:Year>
    <b:Pages>253-277</b:Pages>
    <b:Volume>61</b:Volume>
    <b:Issue>2</b:Issue>
    <b:RefOrder>1</b:RefOrder>
  </b:Source>
  <b:Source>
    <b:Tag>Jed191</b:Tag>
    <b:SourceType>JournalArticle</b:SourceType>
    <b:Guid>{C05953BF-1A3B-4D11-ABEC-8A40DAEB1F42}</b:Guid>
    <b:Author>
      <b:Author>
        <b:NameList>
          <b:Person>
            <b:Last>Jedwab</b:Last>
            <b:First>Remi</b:First>
          </b:Person>
          <b:Person>
            <b:Last>Johnson</b:Last>
            <b:First>Noel</b:First>
            <b:Middle>D.</b:Middle>
          </b:Person>
          <b:Person>
            <b:Last>Koyama</b:Last>
            <b:First>Mark</b:First>
          </b:Person>
        </b:NameList>
      </b:Author>
    </b:Author>
    <b:Title>Negative shocks and mass persecutions: evidence fromthe Black Death</b:Title>
    <b:JournalName>New York: Springer Science + Business Media; Journal of economic growth </b:JournalName>
    <b:Year>2019</b:Year>
    <b:Pages>345-395</b:Pages>
    <b:Volume>24</b:Volume>
    <b:Issue>4</b:Issue>
    <b:RefOrder>2</b:RefOrder>
  </b:Source>
  <b:Source>
    <b:Tag>Dan241</b:Tag>
    <b:SourceType>JournalArticle</b:SourceType>
    <b:Guid>{4F3625ED-A7A7-4351-8FDE-A2C87214F0D9}</b:Guid>
    <b:Author>
      <b:Author>
        <b:NameList>
          <b:Person>
            <b:Last>Curtis</b:Last>
            <b:First>Daniel</b:First>
            <b:Middle>R.</b:Middle>
          </b:Person>
        </b:NameList>
      </b:Author>
    </b:Author>
    <b:Title>Plague and Epidemic Disease in the Northern Parts of the Low Countries, 1349-1450</b:Title>
    <b:JournalName>openjournals.nl; Tijdschrift voor sociale en economische geschiedenis</b:JournalName>
    <b:Year>2024</b:Year>
    <b:Pages>75-104</b:Pages>
    <b:Volume>21</b:Volume>
    <b:Issue>2</b:Issue>
    <b:RefOrder>3</b:RefOrder>
  </b:Source>
  <b:Source>
    <b:Tag>Cur171</b:Tag>
    <b:SourceType>JournalArticle</b:SourceType>
    <b:Guid>{B53F2D04-7CD5-49BD-BF7A-7842025EE272}</b:Guid>
    <b:Author>
      <b:Author>
        <b:NameList>
          <b:Person>
            <b:Last>Curtis</b:Last>
            <b:First>Daniel</b:First>
            <b:Middle>R.</b:Middle>
          </b:Person>
          <b:Person>
            <b:Last>Roosen</b:Last>
            <b:First>Joris</b:First>
          </b:Person>
        </b:NameList>
      </b:Author>
    </b:Author>
    <b:Title>The sex‐selective impact of the Black Death and recurring plagues in the Southern Netherlands, 1349–1450</b:Title>
    <b:JournalName>United States: Wiley Subscription Services, Inc; American journal of physical anthropology</b:JournalName>
    <b:Year>2017</b:Year>
    <b:Pages>246-259</b:Pages>
    <b:Volume>164</b:Volume>
    <b:Issue>2</b:Issue>
    <b:RefOrder>4</b:RefOrder>
  </b:Source>
  <b:Source>
    <b:Tag>Alf17</b:Tag>
    <b:SourceType>JournalArticle</b:SourceType>
    <b:Guid>{F62546A5-AA5D-4FFA-B7E2-C0F6B12E6F62}</b:Guid>
    <b:Author>
      <b:Author>
        <b:NameList>
          <b:Person>
            <b:Last>Alfani</b:Last>
            <b:First>G.,</b:First>
            <b:Middle>&amp; Murphy, T.</b:Middle>
          </b:Person>
        </b:NameList>
      </b:Author>
    </b:Author>
    <b:Title>Plague and lethal epidemics in the pre-industrial world</b:Title>
    <b:JournalName>Journal of Economic History</b:JournalName>
    <b:Year>2017</b:Year>
    <b:Pages>314–343</b:Pages>
    <b:Volume>77</b:Volume>
    <b:RefOrder>5</b:RefOrder>
  </b:Source>
  <b:Source>
    <b:Tag>Whi16</b:Tag>
    <b:SourceType>JournalArticle</b:SourceType>
    <b:Guid>{09658AFF-BB6B-47EF-8D47-E1585123F32A}</b:Guid>
    <b:Author>
      <b:Author>
        <b:NameList>
          <b:Person>
            <b:Last>Whittles</b:Last>
            <b:First>L.</b:First>
            <b:Middle>K., &amp; Didelot, X.</b:Middle>
          </b:Person>
        </b:NameList>
      </b:Author>
    </b:Author>
    <b:Title>Epidemiological analysis of the Eyam plague outbreak of 1665–1666</b:Title>
    <b:JournalName>Proceedings of the Royal Society B: Biological Sciences</b:JournalName>
    <b:Year>2016</b:Year>
    <b:Volume>283</b:Volume>
    <b:RefOrder>6</b:RefOrder>
  </b:Source>
</b:Sources>
</file>

<file path=customXml/itemProps1.xml><?xml version="1.0" encoding="utf-8"?>
<ds:datastoreItem xmlns:ds="http://schemas.openxmlformats.org/officeDocument/2006/customXml" ds:itemID="{F72D8166-375A-4E75-AA8A-C26C9E915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4</Pages>
  <Words>1117</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16</cp:revision>
  <dcterms:created xsi:type="dcterms:W3CDTF">2024-11-24T12:29:00Z</dcterms:created>
  <dcterms:modified xsi:type="dcterms:W3CDTF">2024-11-24T21:12:00Z</dcterms:modified>
</cp:coreProperties>
</file>