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90E70" w14:textId="77777777" w:rsidR="00D45C20" w:rsidRDefault="00D45C20" w:rsidP="00D45C20">
      <w:pPr>
        <w:jc w:val="center"/>
      </w:pPr>
      <w:r>
        <w:rPr>
          <w:noProof/>
        </w:rPr>
        <w:drawing>
          <wp:inline distT="0" distB="0" distL="0" distR="0" wp14:anchorId="3601F489" wp14:editId="040EF92D">
            <wp:extent cx="2969260" cy="1292225"/>
            <wp:effectExtent l="0" t="0" r="2540" b="3175"/>
            <wp:docPr id="1156121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0D3B8D09" w14:textId="77777777" w:rsidR="00D45C20" w:rsidRDefault="00D45C20" w:rsidP="00D45C20">
      <w:pPr>
        <w:jc w:val="center"/>
      </w:pPr>
    </w:p>
    <w:p w14:paraId="409E3FCA" w14:textId="77777777" w:rsidR="00D45C20" w:rsidRDefault="00D45C20" w:rsidP="00D45C20">
      <w:pPr>
        <w:jc w:val="center"/>
      </w:pPr>
    </w:p>
    <w:p w14:paraId="1201FC58" w14:textId="77777777" w:rsidR="00D45C20" w:rsidRDefault="00D45C20" w:rsidP="00D45C20">
      <w:pPr>
        <w:jc w:val="center"/>
      </w:pPr>
    </w:p>
    <w:p w14:paraId="713A7091" w14:textId="77777777" w:rsidR="00D45C20" w:rsidRDefault="00D45C20" w:rsidP="00D45C20">
      <w:pPr>
        <w:jc w:val="center"/>
      </w:pPr>
    </w:p>
    <w:p w14:paraId="69FD5825" w14:textId="77777777" w:rsidR="00D45C20" w:rsidRPr="00D45C20" w:rsidRDefault="00D45C20" w:rsidP="00D45C20">
      <w:pPr>
        <w:jc w:val="center"/>
        <w:rPr>
          <w:rFonts w:ascii="Arial" w:hAnsi="Arial" w:cs="Arial"/>
          <w:sz w:val="24"/>
          <w:szCs w:val="24"/>
        </w:rPr>
      </w:pPr>
    </w:p>
    <w:p w14:paraId="372B6BD1" w14:textId="77777777" w:rsidR="00D45C20" w:rsidRPr="00D45C20" w:rsidRDefault="00D45C20" w:rsidP="00D45C20">
      <w:pPr>
        <w:jc w:val="center"/>
        <w:rPr>
          <w:rFonts w:ascii="Arial" w:hAnsi="Arial" w:cs="Arial"/>
          <w:sz w:val="24"/>
          <w:szCs w:val="24"/>
        </w:rPr>
      </w:pPr>
      <w:r w:rsidRPr="00D45C20">
        <w:rPr>
          <w:rFonts w:ascii="Arial" w:hAnsi="Arial" w:cs="Arial"/>
          <w:sz w:val="24"/>
          <w:szCs w:val="24"/>
        </w:rPr>
        <w:t>Assignment 2 Menu</w:t>
      </w:r>
    </w:p>
    <w:p w14:paraId="17D40BBE" w14:textId="77777777" w:rsidR="00D45C20" w:rsidRPr="00D45C20" w:rsidRDefault="00D45C20" w:rsidP="00D45C20">
      <w:pPr>
        <w:jc w:val="center"/>
        <w:rPr>
          <w:rFonts w:ascii="Arial" w:hAnsi="Arial" w:cs="Arial"/>
          <w:sz w:val="24"/>
          <w:szCs w:val="24"/>
        </w:rPr>
      </w:pPr>
      <w:r w:rsidRPr="00D45C20">
        <w:rPr>
          <w:rFonts w:ascii="Arial" w:hAnsi="Arial" w:cs="Arial"/>
          <w:sz w:val="24"/>
          <w:szCs w:val="24"/>
        </w:rPr>
        <w:t>Engineering (Practical Task).</w:t>
      </w:r>
    </w:p>
    <w:p w14:paraId="3CD33132" w14:textId="77777777" w:rsidR="00D45C20" w:rsidRPr="00D45C20" w:rsidRDefault="00D45C20" w:rsidP="00D45C20">
      <w:pPr>
        <w:jc w:val="center"/>
        <w:rPr>
          <w:rFonts w:ascii="Arial" w:hAnsi="Arial" w:cs="Arial"/>
          <w:sz w:val="24"/>
          <w:szCs w:val="24"/>
        </w:rPr>
      </w:pPr>
      <w:r w:rsidRPr="00D45C20">
        <w:rPr>
          <w:rFonts w:ascii="Arial" w:hAnsi="Arial" w:cs="Arial"/>
          <w:sz w:val="24"/>
          <w:szCs w:val="24"/>
        </w:rPr>
        <w:t xml:space="preserve">   </w:t>
      </w:r>
    </w:p>
    <w:p w14:paraId="0D131559" w14:textId="77777777" w:rsidR="00D45C20" w:rsidRPr="00D45C20" w:rsidRDefault="00D45C20" w:rsidP="00D45C20">
      <w:pPr>
        <w:jc w:val="center"/>
        <w:rPr>
          <w:rFonts w:ascii="Arial" w:hAnsi="Arial" w:cs="Arial"/>
          <w:sz w:val="24"/>
          <w:szCs w:val="24"/>
        </w:rPr>
      </w:pPr>
    </w:p>
    <w:p w14:paraId="3026A411" w14:textId="77777777" w:rsidR="00D45C20" w:rsidRPr="00D45C20" w:rsidRDefault="00D45C20" w:rsidP="00D45C20">
      <w:pPr>
        <w:jc w:val="center"/>
        <w:rPr>
          <w:rFonts w:ascii="Arial" w:hAnsi="Arial" w:cs="Arial"/>
          <w:sz w:val="24"/>
          <w:szCs w:val="24"/>
        </w:rPr>
      </w:pPr>
    </w:p>
    <w:p w14:paraId="5570E482" w14:textId="77777777" w:rsidR="00D45C20" w:rsidRPr="00D45C20" w:rsidRDefault="00D45C20" w:rsidP="00D45C20">
      <w:pPr>
        <w:jc w:val="center"/>
        <w:rPr>
          <w:rFonts w:ascii="Arial" w:hAnsi="Arial" w:cs="Arial"/>
          <w:sz w:val="24"/>
          <w:szCs w:val="24"/>
        </w:rPr>
      </w:pPr>
    </w:p>
    <w:p w14:paraId="66FB423D" w14:textId="77777777" w:rsidR="00D45C20" w:rsidRPr="00D45C20" w:rsidRDefault="00D45C20" w:rsidP="00D45C20">
      <w:pPr>
        <w:jc w:val="center"/>
        <w:rPr>
          <w:rFonts w:ascii="Arial" w:hAnsi="Arial" w:cs="Arial"/>
          <w:sz w:val="24"/>
          <w:szCs w:val="24"/>
        </w:rPr>
      </w:pPr>
      <w:r w:rsidRPr="00D45C20">
        <w:rPr>
          <w:rFonts w:ascii="Arial" w:hAnsi="Arial" w:cs="Arial"/>
          <w:sz w:val="24"/>
          <w:szCs w:val="24"/>
        </w:rPr>
        <w:t>Student Name</w:t>
      </w:r>
    </w:p>
    <w:p w14:paraId="50291765" w14:textId="77777777" w:rsidR="00D45C20" w:rsidRPr="00D45C20" w:rsidRDefault="00D45C20" w:rsidP="00D45C20">
      <w:pPr>
        <w:jc w:val="center"/>
        <w:rPr>
          <w:rFonts w:ascii="Arial" w:hAnsi="Arial" w:cs="Arial"/>
          <w:sz w:val="24"/>
          <w:szCs w:val="24"/>
        </w:rPr>
      </w:pPr>
    </w:p>
    <w:p w14:paraId="5373537C" w14:textId="77777777" w:rsidR="00D45C20" w:rsidRPr="00D45C20" w:rsidRDefault="00D45C20" w:rsidP="00D45C20">
      <w:pPr>
        <w:jc w:val="center"/>
        <w:rPr>
          <w:rFonts w:ascii="Arial" w:hAnsi="Arial" w:cs="Arial"/>
          <w:sz w:val="24"/>
          <w:szCs w:val="24"/>
        </w:rPr>
      </w:pPr>
      <w:r w:rsidRPr="00D45C20">
        <w:rPr>
          <w:rFonts w:ascii="Arial" w:hAnsi="Arial" w:cs="Arial"/>
          <w:sz w:val="24"/>
          <w:szCs w:val="24"/>
        </w:rPr>
        <w:t xml:space="preserve">Rebeca A. </w:t>
      </w:r>
      <w:proofErr w:type="spellStart"/>
      <w:r w:rsidRPr="00D45C20">
        <w:rPr>
          <w:rFonts w:ascii="Arial" w:hAnsi="Arial" w:cs="Arial"/>
          <w:sz w:val="24"/>
          <w:szCs w:val="24"/>
        </w:rPr>
        <w:t>Baccela</w:t>
      </w:r>
      <w:proofErr w:type="spellEnd"/>
    </w:p>
    <w:p w14:paraId="0A569511" w14:textId="77777777" w:rsidR="00D45C20" w:rsidRPr="00D45C20" w:rsidRDefault="00D45C20" w:rsidP="00D45C20">
      <w:pPr>
        <w:jc w:val="center"/>
        <w:rPr>
          <w:rFonts w:ascii="Arial" w:hAnsi="Arial" w:cs="Arial"/>
          <w:sz w:val="24"/>
          <w:szCs w:val="24"/>
        </w:rPr>
      </w:pPr>
    </w:p>
    <w:p w14:paraId="36A1588F" w14:textId="77777777" w:rsidR="00D45C20" w:rsidRPr="00D45C20" w:rsidRDefault="00D45C20" w:rsidP="00D45C20">
      <w:pPr>
        <w:jc w:val="center"/>
        <w:rPr>
          <w:rFonts w:ascii="Arial" w:hAnsi="Arial" w:cs="Arial"/>
          <w:sz w:val="24"/>
          <w:szCs w:val="24"/>
        </w:rPr>
      </w:pPr>
      <w:r w:rsidRPr="00D45C20">
        <w:rPr>
          <w:rFonts w:ascii="Arial" w:hAnsi="Arial" w:cs="Arial"/>
          <w:sz w:val="24"/>
          <w:szCs w:val="24"/>
        </w:rPr>
        <w:t>Student ID number</w:t>
      </w:r>
    </w:p>
    <w:p w14:paraId="66CF464E" w14:textId="77777777" w:rsidR="00D45C20" w:rsidRPr="00D45C20" w:rsidRDefault="00D45C20" w:rsidP="00D45C20">
      <w:pPr>
        <w:jc w:val="center"/>
        <w:rPr>
          <w:rFonts w:ascii="Arial" w:hAnsi="Arial" w:cs="Arial"/>
          <w:sz w:val="24"/>
          <w:szCs w:val="24"/>
        </w:rPr>
      </w:pPr>
      <w:r w:rsidRPr="00D45C20">
        <w:rPr>
          <w:rFonts w:ascii="Arial" w:hAnsi="Arial" w:cs="Arial"/>
          <w:sz w:val="24"/>
          <w:szCs w:val="24"/>
        </w:rPr>
        <w:t>2230716</w:t>
      </w:r>
    </w:p>
    <w:p w14:paraId="38C90ECE" w14:textId="77777777" w:rsidR="00D45C20" w:rsidRPr="00D45C20" w:rsidRDefault="00D45C20" w:rsidP="00D45C20">
      <w:pPr>
        <w:jc w:val="center"/>
        <w:rPr>
          <w:rFonts w:ascii="Arial" w:hAnsi="Arial" w:cs="Arial"/>
          <w:sz w:val="24"/>
          <w:szCs w:val="24"/>
        </w:rPr>
      </w:pPr>
    </w:p>
    <w:p w14:paraId="1449C0F7" w14:textId="77777777" w:rsidR="00D45C20" w:rsidRPr="00D45C20" w:rsidRDefault="00D45C20" w:rsidP="00D45C20">
      <w:pPr>
        <w:jc w:val="center"/>
        <w:rPr>
          <w:rFonts w:ascii="Arial" w:hAnsi="Arial" w:cs="Arial"/>
          <w:sz w:val="24"/>
          <w:szCs w:val="24"/>
        </w:rPr>
      </w:pPr>
      <w:r w:rsidRPr="00D45C20">
        <w:rPr>
          <w:rFonts w:ascii="Arial" w:hAnsi="Arial" w:cs="Arial"/>
          <w:sz w:val="24"/>
          <w:szCs w:val="24"/>
        </w:rPr>
        <w:t>Food &amp; Beverage Operations (BMIH4002).</w:t>
      </w:r>
    </w:p>
    <w:p w14:paraId="6C7C8C2F" w14:textId="77777777" w:rsidR="00D45C20" w:rsidRDefault="00D45C20" w:rsidP="00D45C20">
      <w:pPr>
        <w:jc w:val="center"/>
        <w:rPr>
          <w:rFonts w:ascii="Arial" w:hAnsi="Arial" w:cs="Arial"/>
          <w:sz w:val="24"/>
          <w:szCs w:val="24"/>
        </w:rPr>
      </w:pPr>
      <w:r w:rsidRPr="00D45C20">
        <w:rPr>
          <w:rFonts w:ascii="Arial" w:hAnsi="Arial" w:cs="Arial"/>
          <w:sz w:val="24"/>
          <w:szCs w:val="24"/>
        </w:rPr>
        <w:t xml:space="preserve">Lecturer: Muhammad </w:t>
      </w:r>
      <w:proofErr w:type="spellStart"/>
      <w:r w:rsidRPr="00D45C20">
        <w:rPr>
          <w:rFonts w:ascii="Arial" w:hAnsi="Arial" w:cs="Arial"/>
          <w:sz w:val="24"/>
          <w:szCs w:val="24"/>
        </w:rPr>
        <w:t>Cassamo</w:t>
      </w:r>
      <w:proofErr w:type="spellEnd"/>
      <w:r>
        <w:rPr>
          <w:rFonts w:ascii="Arial" w:hAnsi="Arial" w:cs="Arial"/>
          <w:sz w:val="24"/>
          <w:szCs w:val="24"/>
        </w:rPr>
        <w:t>.</w:t>
      </w:r>
    </w:p>
    <w:p w14:paraId="011AD9B8" w14:textId="77777777" w:rsidR="00D45C20" w:rsidRDefault="00D45C20" w:rsidP="00D45C20">
      <w:pPr>
        <w:jc w:val="center"/>
        <w:rPr>
          <w:rFonts w:ascii="Arial" w:hAnsi="Arial" w:cs="Arial"/>
          <w:sz w:val="24"/>
          <w:szCs w:val="24"/>
        </w:rPr>
      </w:pPr>
    </w:p>
    <w:p w14:paraId="7E1F1805" w14:textId="77777777" w:rsidR="00D45C20" w:rsidRDefault="00D45C20" w:rsidP="00D45C20">
      <w:pPr>
        <w:jc w:val="center"/>
        <w:rPr>
          <w:rFonts w:ascii="Arial" w:hAnsi="Arial" w:cs="Arial"/>
          <w:sz w:val="24"/>
          <w:szCs w:val="24"/>
        </w:rPr>
      </w:pPr>
    </w:p>
    <w:p w14:paraId="09E97028" w14:textId="77777777" w:rsidR="00D45C20" w:rsidRDefault="00D45C20" w:rsidP="00D45C20">
      <w:pPr>
        <w:jc w:val="center"/>
        <w:rPr>
          <w:rFonts w:ascii="Arial" w:hAnsi="Arial" w:cs="Arial"/>
          <w:sz w:val="24"/>
          <w:szCs w:val="24"/>
        </w:rPr>
      </w:pPr>
    </w:p>
    <w:p w14:paraId="5B80629B" w14:textId="77777777" w:rsidR="00D45C20" w:rsidRDefault="00D45C20" w:rsidP="00D45C20">
      <w:pPr>
        <w:jc w:val="center"/>
        <w:rPr>
          <w:rFonts w:ascii="Arial" w:hAnsi="Arial" w:cs="Arial"/>
          <w:sz w:val="24"/>
          <w:szCs w:val="24"/>
        </w:rPr>
      </w:pPr>
    </w:p>
    <w:p w14:paraId="6753B75D" w14:textId="77777777" w:rsidR="00D45C20" w:rsidRDefault="00D45C20" w:rsidP="00D45C20">
      <w:pPr>
        <w:jc w:val="center"/>
        <w:rPr>
          <w:rFonts w:ascii="Arial" w:hAnsi="Arial" w:cs="Arial"/>
          <w:sz w:val="24"/>
          <w:szCs w:val="24"/>
        </w:rPr>
      </w:pPr>
    </w:p>
    <w:p w14:paraId="11AE4993" w14:textId="77777777" w:rsidR="00D45C20" w:rsidRDefault="00D45C20" w:rsidP="00D45C20">
      <w:pPr>
        <w:jc w:val="center"/>
        <w:rPr>
          <w:rFonts w:ascii="Arial" w:hAnsi="Arial" w:cs="Arial"/>
          <w:sz w:val="24"/>
          <w:szCs w:val="24"/>
        </w:rPr>
      </w:pPr>
    </w:p>
    <w:p w14:paraId="66493742" w14:textId="77777777" w:rsidR="00D45C20" w:rsidRPr="00D45C20" w:rsidRDefault="00D45C20" w:rsidP="00D45C20">
      <w:pPr>
        <w:jc w:val="both"/>
        <w:rPr>
          <w:rFonts w:ascii="Arial" w:hAnsi="Arial" w:cs="Arial"/>
          <w:sz w:val="24"/>
          <w:szCs w:val="24"/>
        </w:rPr>
      </w:pPr>
      <w:r w:rsidRPr="00D45C20">
        <w:rPr>
          <w:rFonts w:ascii="Arial" w:hAnsi="Arial" w:cs="Arial"/>
          <w:sz w:val="24"/>
          <w:szCs w:val="24"/>
        </w:rPr>
        <w:lastRenderedPageBreak/>
        <w:t>Green Bites is an eco-friendly restaurant concept designed to be introduced to the Hotel Trinity Hotel Chain. Green Bites is an innovative and eco-friendly restaurant concept that embraces sustainability and promotes responsible practices (</w:t>
      </w:r>
      <w:proofErr w:type="spellStart"/>
      <w:r w:rsidRPr="00D45C20">
        <w:rPr>
          <w:rFonts w:ascii="Arial" w:hAnsi="Arial" w:cs="Arial"/>
          <w:sz w:val="24"/>
          <w:szCs w:val="24"/>
        </w:rPr>
        <w:t>DeMicco</w:t>
      </w:r>
      <w:proofErr w:type="spellEnd"/>
      <w:r w:rsidRPr="00D45C20">
        <w:rPr>
          <w:rFonts w:ascii="Arial" w:hAnsi="Arial" w:cs="Arial"/>
          <w:sz w:val="24"/>
          <w:szCs w:val="24"/>
        </w:rPr>
        <w:t xml:space="preserve"> et al., 2014). Drawing inspiration from a case study on entrepreneurial incubators and educational models focused on eco-friendly restaurants, Green Bites aims to minimize resource and energy consumption while promoting waste recycling.</w:t>
      </w:r>
    </w:p>
    <w:p w14:paraId="21D9DB49" w14:textId="77777777" w:rsidR="00D45C20" w:rsidRPr="00D45C20" w:rsidRDefault="00D45C20" w:rsidP="00D45C20">
      <w:pPr>
        <w:jc w:val="both"/>
        <w:rPr>
          <w:rFonts w:ascii="Arial" w:hAnsi="Arial" w:cs="Arial"/>
          <w:sz w:val="24"/>
          <w:szCs w:val="24"/>
        </w:rPr>
      </w:pPr>
    </w:p>
    <w:p w14:paraId="3DBE401C" w14:textId="77777777" w:rsidR="00D45C20" w:rsidRPr="00D45C20" w:rsidRDefault="00D45C20" w:rsidP="00D45C20">
      <w:pPr>
        <w:jc w:val="both"/>
        <w:rPr>
          <w:rFonts w:ascii="Arial" w:hAnsi="Arial" w:cs="Arial"/>
          <w:sz w:val="24"/>
          <w:szCs w:val="24"/>
        </w:rPr>
      </w:pPr>
      <w:r w:rsidRPr="00D45C20">
        <w:rPr>
          <w:rFonts w:ascii="Arial" w:hAnsi="Arial" w:cs="Arial"/>
          <w:sz w:val="24"/>
          <w:szCs w:val="24"/>
        </w:rPr>
        <w:t>To better understand consumer behaviours in real meal contexts, Green Bites conducts extensive research beyond lab settings, exploring meal components, evaluation factors, and research methods (</w:t>
      </w:r>
      <w:proofErr w:type="spellStart"/>
      <w:r w:rsidRPr="00D45C20">
        <w:rPr>
          <w:rFonts w:ascii="Arial" w:hAnsi="Arial" w:cs="Arial"/>
          <w:sz w:val="24"/>
          <w:szCs w:val="24"/>
        </w:rPr>
        <w:t>Galiñanes</w:t>
      </w:r>
      <w:proofErr w:type="spellEnd"/>
      <w:r w:rsidRPr="00D45C20">
        <w:rPr>
          <w:rFonts w:ascii="Arial" w:hAnsi="Arial" w:cs="Arial"/>
          <w:sz w:val="24"/>
          <w:szCs w:val="24"/>
        </w:rPr>
        <w:t xml:space="preserve">-Plaza &amp; </w:t>
      </w:r>
      <w:proofErr w:type="spellStart"/>
      <w:r w:rsidRPr="00D45C20">
        <w:rPr>
          <w:rFonts w:ascii="Arial" w:hAnsi="Arial" w:cs="Arial"/>
          <w:sz w:val="24"/>
          <w:szCs w:val="24"/>
        </w:rPr>
        <w:t>Giboreau</w:t>
      </w:r>
      <w:proofErr w:type="spellEnd"/>
      <w:r w:rsidRPr="00D45C20">
        <w:rPr>
          <w:rFonts w:ascii="Arial" w:hAnsi="Arial" w:cs="Arial"/>
          <w:sz w:val="24"/>
          <w:szCs w:val="24"/>
        </w:rPr>
        <w:t>, 2023). We recognize the influence of digital platforms like Instagram, Snapchat, TikTok, and YouTube in food marketing, especially among teenagers, and therefore employ visual style, special offers, and themes as effective persuasive techniques (Elliott, Truman, &amp; Black, 2023, p. 106550).</w:t>
      </w:r>
    </w:p>
    <w:p w14:paraId="46AE3BAD" w14:textId="77777777" w:rsidR="00D45C20" w:rsidRPr="00D45C20" w:rsidRDefault="00D45C20" w:rsidP="00D45C20">
      <w:pPr>
        <w:jc w:val="both"/>
        <w:rPr>
          <w:rFonts w:ascii="Arial" w:hAnsi="Arial" w:cs="Arial"/>
          <w:sz w:val="24"/>
          <w:szCs w:val="24"/>
        </w:rPr>
      </w:pPr>
    </w:p>
    <w:p w14:paraId="25343CF5" w14:textId="77777777" w:rsidR="00D45C20" w:rsidRPr="00D45C20" w:rsidRDefault="00D45C20" w:rsidP="00D45C20">
      <w:pPr>
        <w:jc w:val="both"/>
        <w:rPr>
          <w:rFonts w:ascii="Arial" w:hAnsi="Arial" w:cs="Arial"/>
          <w:sz w:val="24"/>
          <w:szCs w:val="24"/>
        </w:rPr>
      </w:pPr>
      <w:r w:rsidRPr="00D45C20">
        <w:rPr>
          <w:rFonts w:ascii="Arial" w:hAnsi="Arial" w:cs="Arial"/>
          <w:sz w:val="24"/>
          <w:szCs w:val="24"/>
        </w:rPr>
        <w:t>In our commitment to combating obesity, Green Bites assesses the nutritional quality of our food service menus using the Menu Assessment Scoring Tool (MAST), which objectively evaluates nutrient-poor and nutritious options (</w:t>
      </w:r>
      <w:proofErr w:type="spellStart"/>
      <w:r w:rsidRPr="00D45C20">
        <w:rPr>
          <w:rFonts w:ascii="Arial" w:hAnsi="Arial" w:cs="Arial"/>
          <w:sz w:val="24"/>
          <w:szCs w:val="24"/>
        </w:rPr>
        <w:t>Pulker</w:t>
      </w:r>
      <w:proofErr w:type="spellEnd"/>
      <w:r w:rsidRPr="00D45C20">
        <w:rPr>
          <w:rFonts w:ascii="Arial" w:hAnsi="Arial" w:cs="Arial"/>
          <w:sz w:val="24"/>
          <w:szCs w:val="24"/>
        </w:rPr>
        <w:t xml:space="preserve"> et al., 2023, p. 3998). We strive to address the global issue of unhealthy diets high in sodium, sugar, and fat by promoting healthier choices and advocating for increased fruit and vegetable intake (World Health Organization, 2021).</w:t>
      </w:r>
    </w:p>
    <w:p w14:paraId="60134610" w14:textId="77777777" w:rsidR="00D45C20" w:rsidRPr="00D45C20" w:rsidRDefault="00D45C20" w:rsidP="00D45C20">
      <w:pPr>
        <w:jc w:val="both"/>
        <w:rPr>
          <w:rFonts w:ascii="Arial" w:hAnsi="Arial" w:cs="Arial"/>
          <w:sz w:val="24"/>
          <w:szCs w:val="24"/>
        </w:rPr>
      </w:pPr>
    </w:p>
    <w:p w14:paraId="5E73C374" w14:textId="77777777" w:rsidR="00D45C20" w:rsidRPr="00D45C20" w:rsidRDefault="00D45C20" w:rsidP="00D45C20">
      <w:pPr>
        <w:jc w:val="both"/>
        <w:rPr>
          <w:rFonts w:ascii="Arial" w:hAnsi="Arial" w:cs="Arial"/>
          <w:sz w:val="24"/>
          <w:szCs w:val="24"/>
        </w:rPr>
      </w:pPr>
      <w:r w:rsidRPr="00D45C20">
        <w:rPr>
          <w:rFonts w:ascii="Arial" w:hAnsi="Arial" w:cs="Arial"/>
          <w:sz w:val="24"/>
          <w:szCs w:val="24"/>
        </w:rPr>
        <w:t>At Green Bites, we recognize the importance of staying up to date with food trends and labelling practices. Our menu showcases a variety of recent food trends, including whole food, raw food, superfood, medicinal food, and handcrafted and fermented drinks (Si, 2020, p. 305). By incorporating these trends and emphasizing the importance of food labelling, we aim to provide our customers with informed choices.</w:t>
      </w:r>
    </w:p>
    <w:p w14:paraId="1A1E2BB5" w14:textId="77777777" w:rsidR="00D45C20" w:rsidRPr="00D45C20" w:rsidRDefault="00D45C20" w:rsidP="00D45C20">
      <w:pPr>
        <w:jc w:val="both"/>
        <w:rPr>
          <w:rFonts w:ascii="Arial" w:hAnsi="Arial" w:cs="Arial"/>
          <w:sz w:val="24"/>
          <w:szCs w:val="24"/>
        </w:rPr>
      </w:pPr>
    </w:p>
    <w:p w14:paraId="127F8E2E" w14:textId="77777777" w:rsidR="00D45C20" w:rsidRPr="00D45C20" w:rsidRDefault="00D45C20" w:rsidP="00D45C20">
      <w:pPr>
        <w:jc w:val="both"/>
        <w:rPr>
          <w:rFonts w:ascii="Arial" w:hAnsi="Arial" w:cs="Arial"/>
          <w:sz w:val="24"/>
          <w:szCs w:val="24"/>
        </w:rPr>
      </w:pPr>
      <w:r w:rsidRPr="00D45C20">
        <w:rPr>
          <w:rFonts w:ascii="Arial" w:hAnsi="Arial" w:cs="Arial"/>
          <w:sz w:val="24"/>
          <w:szCs w:val="24"/>
        </w:rPr>
        <w:t>In addition to our focus on sustainability and nutrition, Green Bites believes in creating a magical and memorable dining experience. Inspired by the historical presence of food and drink in magical performances, we integrate magical elements in our food design and menu presentation (Spence et al., 2020, p. 257). We also explore the principles of food and beverage pairing, considering perceptual, conceptual, and affective categories used by experts (</w:t>
      </w:r>
      <w:proofErr w:type="spellStart"/>
      <w:r w:rsidRPr="00D45C20">
        <w:rPr>
          <w:rFonts w:ascii="Arial" w:hAnsi="Arial" w:cs="Arial"/>
          <w:sz w:val="24"/>
          <w:szCs w:val="24"/>
        </w:rPr>
        <w:t>Eschevins</w:t>
      </w:r>
      <w:proofErr w:type="spellEnd"/>
      <w:r w:rsidRPr="00D45C20">
        <w:rPr>
          <w:rFonts w:ascii="Arial" w:hAnsi="Arial" w:cs="Arial"/>
          <w:sz w:val="24"/>
          <w:szCs w:val="24"/>
        </w:rPr>
        <w:t xml:space="preserve"> et al., 2019, p. 100144).</w:t>
      </w:r>
    </w:p>
    <w:p w14:paraId="427E42DE" w14:textId="77777777" w:rsidR="00D45C20" w:rsidRPr="00D45C20" w:rsidRDefault="00D45C20" w:rsidP="00D45C20">
      <w:pPr>
        <w:jc w:val="both"/>
        <w:rPr>
          <w:rFonts w:ascii="Arial" w:hAnsi="Arial" w:cs="Arial"/>
          <w:sz w:val="24"/>
          <w:szCs w:val="24"/>
        </w:rPr>
      </w:pPr>
    </w:p>
    <w:p w14:paraId="00D8156B" w14:textId="77777777" w:rsidR="00D45C20" w:rsidRPr="00D45C20" w:rsidRDefault="00D45C20" w:rsidP="00D45C20">
      <w:pPr>
        <w:jc w:val="both"/>
        <w:rPr>
          <w:rFonts w:ascii="Arial" w:hAnsi="Arial" w:cs="Arial"/>
          <w:sz w:val="24"/>
          <w:szCs w:val="24"/>
        </w:rPr>
      </w:pPr>
      <w:r w:rsidRPr="00D45C20">
        <w:rPr>
          <w:rFonts w:ascii="Arial" w:hAnsi="Arial" w:cs="Arial"/>
          <w:sz w:val="24"/>
          <w:szCs w:val="24"/>
        </w:rPr>
        <w:t>To enhance the dining experience, Green Bites proposes a smart service network that utilizes cutting-edge technologies such as sensors, artificial intelligence, and robotics. These innovations optimize interactions with customers and provide personalized recommendations, ensuring a seamless and enjoyable dining experience (Leung &amp; Loo, 2022, pp. 45-67).</w:t>
      </w:r>
    </w:p>
    <w:p w14:paraId="7CBA6A62" w14:textId="77777777" w:rsidR="00D45C20" w:rsidRPr="00D45C20" w:rsidRDefault="00D45C20" w:rsidP="00D45C20">
      <w:pPr>
        <w:jc w:val="both"/>
        <w:rPr>
          <w:rFonts w:ascii="Arial" w:hAnsi="Arial" w:cs="Arial"/>
          <w:sz w:val="24"/>
          <w:szCs w:val="24"/>
        </w:rPr>
      </w:pPr>
    </w:p>
    <w:p w14:paraId="16901A81" w14:textId="77777777" w:rsidR="00D45C20" w:rsidRPr="00D45C20" w:rsidRDefault="00D45C20" w:rsidP="00D45C20">
      <w:pPr>
        <w:jc w:val="both"/>
        <w:rPr>
          <w:rFonts w:ascii="Arial" w:hAnsi="Arial" w:cs="Arial"/>
          <w:sz w:val="24"/>
          <w:szCs w:val="24"/>
        </w:rPr>
      </w:pPr>
      <w:r w:rsidRPr="00D45C20">
        <w:rPr>
          <w:rFonts w:ascii="Arial" w:hAnsi="Arial" w:cs="Arial"/>
          <w:sz w:val="24"/>
          <w:szCs w:val="24"/>
        </w:rPr>
        <w:lastRenderedPageBreak/>
        <w:t>As a destination, Green Bites aims to attract chefs and restaurateurs with unique foodways, enhancing our competitive position in the food tourism industry. We employ strategies such as hosting special events, efficient destination management, and promoting local products to showcase our comparative advantage (Knollenberg et al., 2021, pp. 379-397).</w:t>
      </w:r>
    </w:p>
    <w:p w14:paraId="31559145" w14:textId="77777777" w:rsidR="00D45C20" w:rsidRPr="00D45C20" w:rsidRDefault="00D45C20" w:rsidP="00D45C20">
      <w:pPr>
        <w:jc w:val="both"/>
        <w:rPr>
          <w:rFonts w:ascii="Arial" w:hAnsi="Arial" w:cs="Arial"/>
          <w:sz w:val="24"/>
          <w:szCs w:val="24"/>
        </w:rPr>
      </w:pPr>
    </w:p>
    <w:p w14:paraId="3AB2C5B4" w14:textId="77777777" w:rsidR="00D45C20" w:rsidRDefault="00D45C20" w:rsidP="00D45C20">
      <w:pPr>
        <w:jc w:val="both"/>
        <w:rPr>
          <w:rFonts w:ascii="Arial" w:hAnsi="Arial" w:cs="Arial"/>
          <w:sz w:val="24"/>
          <w:szCs w:val="24"/>
        </w:rPr>
      </w:pPr>
      <w:r w:rsidRPr="00D45C20">
        <w:rPr>
          <w:rFonts w:ascii="Arial" w:hAnsi="Arial" w:cs="Arial"/>
          <w:sz w:val="24"/>
          <w:szCs w:val="24"/>
        </w:rPr>
        <w:t>Green Bites is not just a restaurant; it is a sustainable, nutrition-focused, and enchanting dining experience that caters to the evolving tastes and preferences of our customers. Green Bites aims to deliver a memorable and environmentally responsible dining experience within the Hotel Trinity Hotel Chain.</w:t>
      </w:r>
    </w:p>
    <w:p w14:paraId="775768B9" w14:textId="77777777" w:rsidR="00D45C20" w:rsidRDefault="00D45C20" w:rsidP="00D45C20">
      <w:pPr>
        <w:jc w:val="both"/>
        <w:rPr>
          <w:rFonts w:ascii="Arial" w:hAnsi="Arial" w:cs="Arial"/>
          <w:sz w:val="24"/>
          <w:szCs w:val="24"/>
        </w:rPr>
      </w:pPr>
    </w:p>
    <w:p w14:paraId="6F597558" w14:textId="77777777" w:rsidR="00D45C20" w:rsidRDefault="00D45C20" w:rsidP="00D45C20">
      <w:pPr>
        <w:jc w:val="both"/>
        <w:rPr>
          <w:rFonts w:ascii="Arial" w:hAnsi="Arial" w:cs="Arial"/>
          <w:sz w:val="24"/>
          <w:szCs w:val="24"/>
        </w:rPr>
      </w:pPr>
    </w:p>
    <w:p w14:paraId="55F79FC9" w14:textId="77777777" w:rsidR="00D45C20" w:rsidRDefault="00D45C20" w:rsidP="00D45C20">
      <w:pPr>
        <w:jc w:val="both"/>
        <w:rPr>
          <w:rFonts w:ascii="Arial" w:hAnsi="Arial" w:cs="Arial"/>
          <w:sz w:val="24"/>
          <w:szCs w:val="24"/>
        </w:rPr>
      </w:pPr>
    </w:p>
    <w:p w14:paraId="17B9D4BD" w14:textId="77777777" w:rsidR="00D45C20" w:rsidRDefault="00D45C20" w:rsidP="00D45C20">
      <w:pPr>
        <w:jc w:val="both"/>
        <w:rPr>
          <w:rFonts w:ascii="Arial" w:hAnsi="Arial" w:cs="Arial"/>
          <w:sz w:val="24"/>
          <w:szCs w:val="24"/>
        </w:rPr>
      </w:pPr>
    </w:p>
    <w:p w14:paraId="4F230DA8" w14:textId="77777777" w:rsidR="00D45C20" w:rsidRDefault="00D45C20" w:rsidP="00D45C20">
      <w:pPr>
        <w:jc w:val="both"/>
        <w:rPr>
          <w:rFonts w:ascii="Arial" w:hAnsi="Arial" w:cs="Arial"/>
          <w:sz w:val="24"/>
          <w:szCs w:val="24"/>
        </w:rPr>
      </w:pPr>
    </w:p>
    <w:p w14:paraId="0ECFCC50" w14:textId="77777777" w:rsidR="00D45C20" w:rsidRDefault="00D45C20" w:rsidP="00D45C20">
      <w:pPr>
        <w:jc w:val="both"/>
        <w:rPr>
          <w:rFonts w:ascii="Arial" w:hAnsi="Arial" w:cs="Arial"/>
          <w:sz w:val="24"/>
          <w:szCs w:val="24"/>
        </w:rPr>
      </w:pPr>
    </w:p>
    <w:p w14:paraId="54DDCA37" w14:textId="77777777" w:rsidR="00D45C20" w:rsidRDefault="00D45C20" w:rsidP="00D45C20">
      <w:pPr>
        <w:jc w:val="both"/>
        <w:rPr>
          <w:rFonts w:ascii="Arial" w:hAnsi="Arial" w:cs="Arial"/>
          <w:sz w:val="24"/>
          <w:szCs w:val="24"/>
        </w:rPr>
      </w:pPr>
    </w:p>
    <w:p w14:paraId="5BA37FD0" w14:textId="77777777" w:rsidR="00D45C20" w:rsidRDefault="00D45C20" w:rsidP="00D45C20">
      <w:pPr>
        <w:jc w:val="both"/>
        <w:rPr>
          <w:rFonts w:ascii="Arial" w:hAnsi="Arial" w:cs="Arial"/>
          <w:sz w:val="24"/>
          <w:szCs w:val="24"/>
        </w:rPr>
      </w:pPr>
    </w:p>
    <w:p w14:paraId="2A6B349E" w14:textId="77777777" w:rsidR="00D45C20" w:rsidRDefault="00D45C20" w:rsidP="00D45C20">
      <w:pPr>
        <w:jc w:val="both"/>
        <w:rPr>
          <w:rFonts w:ascii="Arial" w:hAnsi="Arial" w:cs="Arial"/>
          <w:sz w:val="24"/>
          <w:szCs w:val="24"/>
        </w:rPr>
      </w:pPr>
    </w:p>
    <w:p w14:paraId="6DCE5402" w14:textId="77777777" w:rsidR="00D45C20" w:rsidRDefault="00D45C20" w:rsidP="00D45C20">
      <w:pPr>
        <w:jc w:val="both"/>
        <w:rPr>
          <w:rFonts w:ascii="Arial" w:hAnsi="Arial" w:cs="Arial"/>
          <w:sz w:val="24"/>
          <w:szCs w:val="24"/>
        </w:rPr>
      </w:pPr>
    </w:p>
    <w:p w14:paraId="1F79BCED" w14:textId="77777777" w:rsidR="00D45C20" w:rsidRDefault="00D45C20" w:rsidP="00D45C20">
      <w:pPr>
        <w:jc w:val="both"/>
        <w:rPr>
          <w:rFonts w:ascii="Arial" w:hAnsi="Arial" w:cs="Arial"/>
          <w:sz w:val="24"/>
          <w:szCs w:val="24"/>
        </w:rPr>
      </w:pPr>
    </w:p>
    <w:p w14:paraId="1C518EAA" w14:textId="77777777" w:rsidR="00D45C20" w:rsidRDefault="00D45C20" w:rsidP="00D45C20">
      <w:pPr>
        <w:jc w:val="both"/>
        <w:rPr>
          <w:rFonts w:ascii="Arial" w:hAnsi="Arial" w:cs="Arial"/>
          <w:sz w:val="24"/>
          <w:szCs w:val="24"/>
        </w:rPr>
      </w:pPr>
    </w:p>
    <w:p w14:paraId="7FDADCEE" w14:textId="77777777" w:rsidR="00D45C20" w:rsidRDefault="00D45C20" w:rsidP="00D45C20">
      <w:pPr>
        <w:jc w:val="both"/>
        <w:rPr>
          <w:rFonts w:ascii="Arial" w:hAnsi="Arial" w:cs="Arial"/>
          <w:sz w:val="24"/>
          <w:szCs w:val="24"/>
        </w:rPr>
      </w:pPr>
    </w:p>
    <w:p w14:paraId="0A5A9A1D" w14:textId="77777777" w:rsidR="00D45C20" w:rsidRDefault="00D45C20" w:rsidP="00D45C20">
      <w:pPr>
        <w:jc w:val="both"/>
        <w:rPr>
          <w:rFonts w:ascii="Arial" w:hAnsi="Arial" w:cs="Arial"/>
          <w:sz w:val="24"/>
          <w:szCs w:val="24"/>
        </w:rPr>
      </w:pPr>
    </w:p>
    <w:p w14:paraId="50D7038E" w14:textId="77777777" w:rsidR="00D45C20" w:rsidRDefault="00D45C20" w:rsidP="00D45C20">
      <w:pPr>
        <w:jc w:val="both"/>
        <w:rPr>
          <w:rFonts w:ascii="Arial" w:hAnsi="Arial" w:cs="Arial"/>
          <w:sz w:val="24"/>
          <w:szCs w:val="24"/>
        </w:rPr>
      </w:pPr>
    </w:p>
    <w:p w14:paraId="63B04131" w14:textId="77777777" w:rsidR="00D45C20" w:rsidRDefault="00D45C20" w:rsidP="00D45C20">
      <w:pPr>
        <w:jc w:val="both"/>
        <w:rPr>
          <w:rFonts w:ascii="Arial" w:hAnsi="Arial" w:cs="Arial"/>
          <w:sz w:val="24"/>
          <w:szCs w:val="24"/>
        </w:rPr>
      </w:pPr>
    </w:p>
    <w:p w14:paraId="7BC1D023" w14:textId="77777777" w:rsidR="00D45C20" w:rsidRDefault="00D45C20" w:rsidP="00D45C20">
      <w:pPr>
        <w:jc w:val="both"/>
        <w:rPr>
          <w:rFonts w:ascii="Arial" w:hAnsi="Arial" w:cs="Arial"/>
          <w:sz w:val="24"/>
          <w:szCs w:val="24"/>
        </w:rPr>
      </w:pPr>
    </w:p>
    <w:p w14:paraId="555AB8AA" w14:textId="77777777" w:rsidR="00D45C20" w:rsidRDefault="00D45C20" w:rsidP="00D45C20">
      <w:pPr>
        <w:jc w:val="both"/>
        <w:rPr>
          <w:rFonts w:ascii="Arial" w:hAnsi="Arial" w:cs="Arial"/>
          <w:sz w:val="24"/>
          <w:szCs w:val="24"/>
        </w:rPr>
      </w:pPr>
    </w:p>
    <w:p w14:paraId="146B259B" w14:textId="77777777" w:rsidR="00D45C20" w:rsidRDefault="00D45C20" w:rsidP="00D45C20">
      <w:pPr>
        <w:jc w:val="both"/>
        <w:rPr>
          <w:rFonts w:ascii="Arial" w:hAnsi="Arial" w:cs="Arial"/>
          <w:sz w:val="24"/>
          <w:szCs w:val="24"/>
        </w:rPr>
      </w:pPr>
    </w:p>
    <w:p w14:paraId="6D8E6899" w14:textId="77777777" w:rsidR="00D45C20" w:rsidRDefault="00D45C20" w:rsidP="00D45C20">
      <w:pPr>
        <w:jc w:val="both"/>
        <w:rPr>
          <w:rFonts w:ascii="Arial" w:hAnsi="Arial" w:cs="Arial"/>
          <w:sz w:val="24"/>
          <w:szCs w:val="24"/>
        </w:rPr>
      </w:pPr>
    </w:p>
    <w:p w14:paraId="0B4FA5C1" w14:textId="77777777" w:rsidR="00D45C20" w:rsidRDefault="00D45C20" w:rsidP="00D45C20">
      <w:pPr>
        <w:jc w:val="both"/>
        <w:rPr>
          <w:rFonts w:ascii="Arial" w:hAnsi="Arial" w:cs="Arial"/>
          <w:sz w:val="24"/>
          <w:szCs w:val="24"/>
        </w:rPr>
      </w:pPr>
    </w:p>
    <w:p w14:paraId="09968D72" w14:textId="77777777" w:rsidR="00D45C20" w:rsidRDefault="00D45C20" w:rsidP="00D45C20">
      <w:pPr>
        <w:jc w:val="both"/>
        <w:rPr>
          <w:rFonts w:ascii="Arial" w:hAnsi="Arial" w:cs="Arial"/>
          <w:sz w:val="24"/>
          <w:szCs w:val="24"/>
        </w:rPr>
      </w:pPr>
    </w:p>
    <w:p w14:paraId="6FBD07F5" w14:textId="77777777" w:rsidR="00D45C20" w:rsidRDefault="00D45C20" w:rsidP="00D45C20">
      <w:pPr>
        <w:jc w:val="both"/>
        <w:rPr>
          <w:rFonts w:ascii="Arial" w:hAnsi="Arial" w:cs="Arial"/>
          <w:sz w:val="24"/>
          <w:szCs w:val="24"/>
        </w:rPr>
      </w:pPr>
    </w:p>
    <w:p w14:paraId="41E72F06" w14:textId="77777777" w:rsidR="00D45C20" w:rsidRPr="00D45C20" w:rsidRDefault="00D45C20" w:rsidP="00D45C20">
      <w:pPr>
        <w:jc w:val="center"/>
        <w:rPr>
          <w:rFonts w:ascii="Arial" w:hAnsi="Arial" w:cs="Arial"/>
          <w:sz w:val="24"/>
          <w:szCs w:val="24"/>
        </w:rPr>
      </w:pPr>
      <w:r w:rsidRPr="00D45C20">
        <w:rPr>
          <w:rFonts w:ascii="Arial" w:hAnsi="Arial" w:cs="Arial"/>
          <w:sz w:val="24"/>
          <w:szCs w:val="24"/>
        </w:rPr>
        <w:lastRenderedPageBreak/>
        <w:t>References list:</w:t>
      </w:r>
    </w:p>
    <w:p w14:paraId="5D03DE1B"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1.</w:t>
      </w:r>
      <w:r w:rsidRPr="00D45C20">
        <w:rPr>
          <w:rFonts w:ascii="Arial" w:hAnsi="Arial" w:cs="Arial"/>
          <w:sz w:val="24"/>
          <w:szCs w:val="24"/>
        </w:rPr>
        <w:tab/>
      </w:r>
      <w:proofErr w:type="spellStart"/>
      <w:r w:rsidRPr="00D45C20">
        <w:rPr>
          <w:rFonts w:ascii="Arial" w:hAnsi="Arial" w:cs="Arial"/>
          <w:sz w:val="24"/>
          <w:szCs w:val="24"/>
        </w:rPr>
        <w:t>DeMicco</w:t>
      </w:r>
      <w:proofErr w:type="spellEnd"/>
      <w:r w:rsidRPr="00D45C20">
        <w:rPr>
          <w:rFonts w:ascii="Arial" w:hAnsi="Arial" w:cs="Arial"/>
          <w:sz w:val="24"/>
          <w:szCs w:val="24"/>
        </w:rPr>
        <w:t xml:space="preserve">, F., </w:t>
      </w:r>
      <w:proofErr w:type="spellStart"/>
      <w:r w:rsidRPr="00D45C20">
        <w:rPr>
          <w:rFonts w:ascii="Arial" w:hAnsi="Arial" w:cs="Arial"/>
          <w:sz w:val="24"/>
          <w:szCs w:val="24"/>
        </w:rPr>
        <w:t>Seferis</w:t>
      </w:r>
      <w:proofErr w:type="spellEnd"/>
      <w:r w:rsidRPr="00D45C20">
        <w:rPr>
          <w:rFonts w:ascii="Arial" w:hAnsi="Arial" w:cs="Arial"/>
          <w:sz w:val="24"/>
          <w:szCs w:val="24"/>
        </w:rPr>
        <w:t>, J., Bao, Y., &amp; Scholz, M. E. (2014). The eco-restaurant of the future: A case study. Journal of foodservice business research, 17(4), 363-368.</w:t>
      </w:r>
    </w:p>
    <w:p w14:paraId="786CA558" w14:textId="77777777" w:rsidR="00D45C20" w:rsidRPr="00D45C20" w:rsidRDefault="00D45C20" w:rsidP="00D45C20">
      <w:pPr>
        <w:spacing w:line="360" w:lineRule="auto"/>
        <w:rPr>
          <w:rFonts w:ascii="Arial" w:hAnsi="Arial" w:cs="Arial"/>
          <w:sz w:val="24"/>
          <w:szCs w:val="24"/>
        </w:rPr>
      </w:pPr>
    </w:p>
    <w:p w14:paraId="7B10249D"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2.</w:t>
      </w:r>
      <w:r w:rsidRPr="00D45C20">
        <w:rPr>
          <w:rFonts w:ascii="Arial" w:hAnsi="Arial" w:cs="Arial"/>
          <w:sz w:val="24"/>
          <w:szCs w:val="24"/>
        </w:rPr>
        <w:tab/>
        <w:t>Elliott, C., Truman, E., &amp; Black, J. E. (2023). Tracking teen food marketing: Participatory research to examine persuasive power and platforms of exposure. Appetite, 186, 106550.</w:t>
      </w:r>
    </w:p>
    <w:p w14:paraId="3559A0C8" w14:textId="77777777" w:rsidR="00D45C20" w:rsidRPr="00D45C20" w:rsidRDefault="00D45C20" w:rsidP="00D45C20">
      <w:pPr>
        <w:spacing w:line="360" w:lineRule="auto"/>
        <w:rPr>
          <w:rFonts w:ascii="Arial" w:hAnsi="Arial" w:cs="Arial"/>
          <w:sz w:val="24"/>
          <w:szCs w:val="24"/>
        </w:rPr>
      </w:pPr>
    </w:p>
    <w:p w14:paraId="4A79FB56"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3.</w:t>
      </w:r>
      <w:r w:rsidRPr="00D45C20">
        <w:rPr>
          <w:rFonts w:ascii="Arial" w:hAnsi="Arial" w:cs="Arial"/>
          <w:sz w:val="24"/>
          <w:szCs w:val="24"/>
        </w:rPr>
        <w:tab/>
      </w:r>
      <w:proofErr w:type="spellStart"/>
      <w:r w:rsidRPr="00D45C20">
        <w:rPr>
          <w:rFonts w:ascii="Arial" w:hAnsi="Arial" w:cs="Arial"/>
          <w:sz w:val="24"/>
          <w:szCs w:val="24"/>
        </w:rPr>
        <w:t>Eschevins</w:t>
      </w:r>
      <w:proofErr w:type="spellEnd"/>
      <w:r w:rsidRPr="00D45C20">
        <w:rPr>
          <w:rFonts w:ascii="Arial" w:hAnsi="Arial" w:cs="Arial"/>
          <w:sz w:val="24"/>
          <w:szCs w:val="24"/>
        </w:rPr>
        <w:t xml:space="preserve">, A., </w:t>
      </w:r>
      <w:proofErr w:type="spellStart"/>
      <w:r w:rsidRPr="00D45C20">
        <w:rPr>
          <w:rFonts w:ascii="Arial" w:hAnsi="Arial" w:cs="Arial"/>
          <w:sz w:val="24"/>
          <w:szCs w:val="24"/>
        </w:rPr>
        <w:t>Giboreau</w:t>
      </w:r>
      <w:proofErr w:type="spellEnd"/>
      <w:r w:rsidRPr="00D45C20">
        <w:rPr>
          <w:rFonts w:ascii="Arial" w:hAnsi="Arial" w:cs="Arial"/>
          <w:sz w:val="24"/>
          <w:szCs w:val="24"/>
        </w:rPr>
        <w:t xml:space="preserve">, A., Julien, P., &amp; </w:t>
      </w:r>
      <w:proofErr w:type="spellStart"/>
      <w:r w:rsidRPr="00D45C20">
        <w:rPr>
          <w:rFonts w:ascii="Arial" w:hAnsi="Arial" w:cs="Arial"/>
          <w:sz w:val="24"/>
          <w:szCs w:val="24"/>
        </w:rPr>
        <w:t>Dacremont</w:t>
      </w:r>
      <w:proofErr w:type="spellEnd"/>
      <w:r w:rsidRPr="00D45C20">
        <w:rPr>
          <w:rFonts w:ascii="Arial" w:hAnsi="Arial" w:cs="Arial"/>
          <w:sz w:val="24"/>
          <w:szCs w:val="24"/>
        </w:rPr>
        <w:t>, C. (2019). From expert knowledge and sensory science to a general model of food and beverage pairing with wine and beer. International Journal of Gastronomy and Food Science, 17, 100144.</w:t>
      </w:r>
    </w:p>
    <w:p w14:paraId="44ABF48C" w14:textId="77777777" w:rsidR="00D45C20" w:rsidRPr="00D45C20" w:rsidRDefault="00D45C20" w:rsidP="00D45C20">
      <w:pPr>
        <w:spacing w:line="360" w:lineRule="auto"/>
        <w:rPr>
          <w:rFonts w:ascii="Arial" w:hAnsi="Arial" w:cs="Arial"/>
          <w:sz w:val="24"/>
          <w:szCs w:val="24"/>
        </w:rPr>
      </w:pPr>
    </w:p>
    <w:p w14:paraId="13D184B1"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4.</w:t>
      </w:r>
      <w:r w:rsidRPr="00D45C20">
        <w:rPr>
          <w:rFonts w:ascii="Arial" w:hAnsi="Arial" w:cs="Arial"/>
          <w:sz w:val="24"/>
          <w:szCs w:val="24"/>
        </w:rPr>
        <w:tab/>
      </w:r>
      <w:proofErr w:type="spellStart"/>
      <w:r w:rsidRPr="00D45C20">
        <w:rPr>
          <w:rFonts w:ascii="Arial" w:hAnsi="Arial" w:cs="Arial"/>
          <w:sz w:val="24"/>
          <w:szCs w:val="24"/>
        </w:rPr>
        <w:t>Galiñanes</w:t>
      </w:r>
      <w:proofErr w:type="spellEnd"/>
      <w:r w:rsidRPr="00D45C20">
        <w:rPr>
          <w:rFonts w:ascii="Arial" w:hAnsi="Arial" w:cs="Arial"/>
          <w:sz w:val="24"/>
          <w:szCs w:val="24"/>
        </w:rPr>
        <w:t xml:space="preserve">-Plaza, A., &amp; </w:t>
      </w:r>
      <w:proofErr w:type="spellStart"/>
      <w:r w:rsidRPr="00D45C20">
        <w:rPr>
          <w:rFonts w:ascii="Arial" w:hAnsi="Arial" w:cs="Arial"/>
          <w:sz w:val="24"/>
          <w:szCs w:val="24"/>
        </w:rPr>
        <w:t>Giboreau</w:t>
      </w:r>
      <w:proofErr w:type="spellEnd"/>
      <w:r w:rsidRPr="00D45C20">
        <w:rPr>
          <w:rFonts w:ascii="Arial" w:hAnsi="Arial" w:cs="Arial"/>
          <w:sz w:val="24"/>
          <w:szCs w:val="24"/>
        </w:rPr>
        <w:t>, A. (2023). Meal evaluations: studying foods and beverages in the meal context. In Consumer Research Methods in Food Science (pp. 433-447). New York, NY: Springer US.</w:t>
      </w:r>
    </w:p>
    <w:p w14:paraId="67DC2801" w14:textId="77777777" w:rsidR="00D45C20" w:rsidRPr="00D45C20" w:rsidRDefault="00D45C20" w:rsidP="00D45C20">
      <w:pPr>
        <w:spacing w:line="360" w:lineRule="auto"/>
        <w:rPr>
          <w:rFonts w:ascii="Arial" w:hAnsi="Arial" w:cs="Arial"/>
          <w:sz w:val="24"/>
          <w:szCs w:val="24"/>
        </w:rPr>
      </w:pPr>
    </w:p>
    <w:p w14:paraId="03F7A6ED"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5.</w:t>
      </w:r>
      <w:r w:rsidRPr="00D45C20">
        <w:rPr>
          <w:rFonts w:ascii="Arial" w:hAnsi="Arial" w:cs="Arial"/>
          <w:sz w:val="24"/>
          <w:szCs w:val="24"/>
        </w:rPr>
        <w:tab/>
        <w:t>Knollenberg, W., Duffy, L. N., Kline, C., &amp; Kim, G. (2021). Creating competitive advantage for food tourism destinations through food and beverage experiences. Tourism Planning &amp; Development, 18(4), 379-397.</w:t>
      </w:r>
    </w:p>
    <w:p w14:paraId="4ECB8F8A" w14:textId="77777777" w:rsidR="00D45C20" w:rsidRPr="00D45C20" w:rsidRDefault="00D45C20" w:rsidP="00D45C20">
      <w:pPr>
        <w:spacing w:line="360" w:lineRule="auto"/>
        <w:rPr>
          <w:rFonts w:ascii="Arial" w:hAnsi="Arial" w:cs="Arial"/>
          <w:sz w:val="24"/>
          <w:szCs w:val="24"/>
        </w:rPr>
      </w:pPr>
    </w:p>
    <w:p w14:paraId="724E78DF"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6.</w:t>
      </w:r>
      <w:r w:rsidRPr="00D45C20">
        <w:rPr>
          <w:rFonts w:ascii="Arial" w:hAnsi="Arial" w:cs="Arial"/>
          <w:sz w:val="24"/>
          <w:szCs w:val="24"/>
        </w:rPr>
        <w:tab/>
        <w:t>Leung, R., &amp; Loo, P. T. (2022). Co-creating interactive dining experiences via interconnected and interoperable smart technology. Asian Journal of Technology Innovation, 30(1), 45-67.</w:t>
      </w:r>
    </w:p>
    <w:p w14:paraId="477FF7C0" w14:textId="77777777" w:rsidR="00D45C20" w:rsidRPr="00D45C20" w:rsidRDefault="00D45C20" w:rsidP="00D45C20">
      <w:pPr>
        <w:spacing w:line="360" w:lineRule="auto"/>
        <w:rPr>
          <w:rFonts w:ascii="Arial" w:hAnsi="Arial" w:cs="Arial"/>
          <w:sz w:val="24"/>
          <w:szCs w:val="24"/>
        </w:rPr>
      </w:pPr>
    </w:p>
    <w:p w14:paraId="13505A98"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7.</w:t>
      </w:r>
      <w:r w:rsidRPr="00D45C20">
        <w:rPr>
          <w:rFonts w:ascii="Arial" w:hAnsi="Arial" w:cs="Arial"/>
          <w:sz w:val="24"/>
          <w:szCs w:val="24"/>
        </w:rPr>
        <w:tab/>
      </w:r>
      <w:proofErr w:type="spellStart"/>
      <w:r w:rsidRPr="00D45C20">
        <w:rPr>
          <w:rFonts w:ascii="Arial" w:hAnsi="Arial" w:cs="Arial"/>
          <w:sz w:val="24"/>
          <w:szCs w:val="24"/>
        </w:rPr>
        <w:t>Pulker</w:t>
      </w:r>
      <w:proofErr w:type="spellEnd"/>
      <w:r w:rsidRPr="00D45C20">
        <w:rPr>
          <w:rFonts w:ascii="Arial" w:hAnsi="Arial" w:cs="Arial"/>
          <w:sz w:val="24"/>
          <w:szCs w:val="24"/>
        </w:rPr>
        <w:t xml:space="preserve">, C. E., </w:t>
      </w:r>
      <w:proofErr w:type="spellStart"/>
      <w:r w:rsidRPr="00D45C20">
        <w:rPr>
          <w:rFonts w:ascii="Arial" w:hAnsi="Arial" w:cs="Arial"/>
          <w:sz w:val="24"/>
          <w:szCs w:val="24"/>
        </w:rPr>
        <w:t>Aberle</w:t>
      </w:r>
      <w:proofErr w:type="spellEnd"/>
      <w:r w:rsidRPr="00D45C20">
        <w:rPr>
          <w:rFonts w:ascii="Arial" w:hAnsi="Arial" w:cs="Arial"/>
          <w:sz w:val="24"/>
          <w:szCs w:val="24"/>
        </w:rPr>
        <w:t>, L. M., Butcher, L. M., Whitton, C., Law, K. K., Large, A. L., Pollard, C. M., &amp; Trapp, G. S. (2023). Development of the Menu Assessment Scoring Tool (MAST) to Assess the Nutritional Quality of Food Service Menus. International Journal of Environmental Research and Public Health, 20(5), 3998.</w:t>
      </w:r>
    </w:p>
    <w:p w14:paraId="0CB02488" w14:textId="77777777" w:rsidR="00D45C20" w:rsidRPr="00D45C20" w:rsidRDefault="00D45C20" w:rsidP="00D45C20">
      <w:pPr>
        <w:spacing w:line="360" w:lineRule="auto"/>
        <w:rPr>
          <w:rFonts w:ascii="Arial" w:hAnsi="Arial" w:cs="Arial"/>
          <w:sz w:val="24"/>
          <w:szCs w:val="24"/>
        </w:rPr>
      </w:pPr>
    </w:p>
    <w:p w14:paraId="5C76286E"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8.</w:t>
      </w:r>
      <w:r w:rsidRPr="00D45C20">
        <w:rPr>
          <w:rFonts w:ascii="Arial" w:hAnsi="Arial" w:cs="Arial"/>
          <w:sz w:val="24"/>
          <w:szCs w:val="24"/>
        </w:rPr>
        <w:tab/>
        <w:t>Si, L. W. (2020). Trending foods and beverages. In Food and society (pp. 305-321). Academic Press.</w:t>
      </w:r>
    </w:p>
    <w:p w14:paraId="3BF9F88D" w14:textId="77777777" w:rsidR="00D45C20" w:rsidRPr="00D45C20" w:rsidRDefault="00D45C20" w:rsidP="00D45C20">
      <w:pPr>
        <w:spacing w:line="360" w:lineRule="auto"/>
        <w:rPr>
          <w:rFonts w:ascii="Arial" w:hAnsi="Arial" w:cs="Arial"/>
          <w:sz w:val="24"/>
          <w:szCs w:val="24"/>
        </w:rPr>
      </w:pPr>
    </w:p>
    <w:p w14:paraId="7FC104F9" w14:textId="77777777" w:rsidR="00D45C20" w:rsidRPr="00D45C20" w:rsidRDefault="00D45C20" w:rsidP="00D45C20">
      <w:pPr>
        <w:spacing w:line="360" w:lineRule="auto"/>
        <w:rPr>
          <w:rFonts w:ascii="Arial" w:hAnsi="Arial" w:cs="Arial"/>
          <w:sz w:val="24"/>
          <w:szCs w:val="24"/>
        </w:rPr>
      </w:pPr>
      <w:r w:rsidRPr="00D45C20">
        <w:rPr>
          <w:rFonts w:ascii="Arial" w:hAnsi="Arial" w:cs="Arial"/>
          <w:sz w:val="24"/>
          <w:szCs w:val="24"/>
        </w:rPr>
        <w:t>9.</w:t>
      </w:r>
      <w:r w:rsidRPr="00D45C20">
        <w:rPr>
          <w:rFonts w:ascii="Arial" w:hAnsi="Arial" w:cs="Arial"/>
          <w:sz w:val="24"/>
          <w:szCs w:val="24"/>
        </w:rPr>
        <w:tab/>
        <w:t>Spence, C., Youssef, J., &amp; Kuhn, G. (2020). Magic on the menu: Where are all the magical food and beverage experiences? Foods, 9(3), 257.</w:t>
      </w:r>
    </w:p>
    <w:p w14:paraId="2AE8B6CD" w14:textId="77777777" w:rsidR="00D45C20" w:rsidRPr="00D45C20" w:rsidRDefault="00D45C20" w:rsidP="00D45C20">
      <w:pPr>
        <w:spacing w:line="360" w:lineRule="auto"/>
        <w:rPr>
          <w:rFonts w:ascii="Arial" w:hAnsi="Arial" w:cs="Arial"/>
          <w:sz w:val="24"/>
          <w:szCs w:val="24"/>
        </w:rPr>
      </w:pPr>
    </w:p>
    <w:p w14:paraId="3CB99124" w14:textId="77777777" w:rsidR="00D45C20" w:rsidRDefault="00D45C20" w:rsidP="00D45C20">
      <w:pPr>
        <w:spacing w:line="360" w:lineRule="auto"/>
        <w:rPr>
          <w:rFonts w:ascii="Arial" w:hAnsi="Arial" w:cs="Arial"/>
          <w:sz w:val="24"/>
          <w:szCs w:val="24"/>
        </w:rPr>
      </w:pPr>
      <w:r w:rsidRPr="00D45C20">
        <w:rPr>
          <w:rFonts w:ascii="Arial" w:hAnsi="Arial" w:cs="Arial"/>
          <w:sz w:val="24"/>
          <w:szCs w:val="24"/>
        </w:rPr>
        <w:t>10.</w:t>
      </w:r>
      <w:r w:rsidRPr="00D45C20">
        <w:rPr>
          <w:rFonts w:ascii="Arial" w:hAnsi="Arial" w:cs="Arial"/>
          <w:sz w:val="24"/>
          <w:szCs w:val="24"/>
        </w:rPr>
        <w:tab/>
        <w:t>World Health Organization. (2021). Action framework for developing and implementing public food procurement and service policies for a healthy diet.</w:t>
      </w:r>
    </w:p>
    <w:p w14:paraId="1076D2F9" w14:textId="77777777" w:rsidR="004833E4" w:rsidRDefault="004833E4" w:rsidP="00D45C20">
      <w:pPr>
        <w:spacing w:line="360" w:lineRule="auto"/>
        <w:rPr>
          <w:rFonts w:ascii="Arial" w:hAnsi="Arial" w:cs="Arial"/>
          <w:sz w:val="24"/>
          <w:szCs w:val="24"/>
        </w:rPr>
      </w:pPr>
    </w:p>
    <w:p w14:paraId="3E5ECD45" w14:textId="77777777" w:rsidR="004833E4" w:rsidRDefault="004833E4" w:rsidP="00D45C20">
      <w:pPr>
        <w:spacing w:line="360" w:lineRule="auto"/>
        <w:rPr>
          <w:rFonts w:ascii="Arial" w:hAnsi="Arial" w:cs="Arial"/>
          <w:sz w:val="24"/>
          <w:szCs w:val="24"/>
        </w:rPr>
      </w:pPr>
    </w:p>
    <w:p w14:paraId="4D80EF92" w14:textId="77777777" w:rsidR="004833E4" w:rsidRDefault="004833E4" w:rsidP="00D45C20">
      <w:pPr>
        <w:spacing w:line="360" w:lineRule="auto"/>
        <w:rPr>
          <w:rFonts w:ascii="Arial" w:hAnsi="Arial" w:cs="Arial"/>
          <w:sz w:val="24"/>
          <w:szCs w:val="24"/>
        </w:rPr>
      </w:pPr>
    </w:p>
    <w:p w14:paraId="7D2A5EF9" w14:textId="77777777" w:rsidR="004833E4" w:rsidRDefault="004833E4" w:rsidP="00D45C20">
      <w:pPr>
        <w:spacing w:line="360" w:lineRule="auto"/>
        <w:rPr>
          <w:rFonts w:ascii="Arial" w:hAnsi="Arial" w:cs="Arial"/>
          <w:sz w:val="24"/>
          <w:szCs w:val="24"/>
        </w:rPr>
      </w:pPr>
    </w:p>
    <w:p w14:paraId="2167A0A1" w14:textId="77777777" w:rsidR="004833E4" w:rsidRDefault="004833E4" w:rsidP="00D45C20">
      <w:pPr>
        <w:spacing w:line="360" w:lineRule="auto"/>
        <w:rPr>
          <w:rFonts w:ascii="Arial" w:hAnsi="Arial" w:cs="Arial"/>
          <w:sz w:val="24"/>
          <w:szCs w:val="24"/>
        </w:rPr>
      </w:pPr>
    </w:p>
    <w:p w14:paraId="0E2F9090" w14:textId="77777777" w:rsidR="004833E4" w:rsidRDefault="004833E4" w:rsidP="00D45C20">
      <w:pPr>
        <w:spacing w:line="360" w:lineRule="auto"/>
        <w:rPr>
          <w:rFonts w:ascii="Arial" w:hAnsi="Arial" w:cs="Arial"/>
          <w:sz w:val="24"/>
          <w:szCs w:val="24"/>
        </w:rPr>
      </w:pPr>
    </w:p>
    <w:p w14:paraId="411B2C2A" w14:textId="77777777" w:rsidR="004833E4" w:rsidRDefault="004833E4" w:rsidP="00D45C20">
      <w:pPr>
        <w:spacing w:line="360" w:lineRule="auto"/>
        <w:rPr>
          <w:rFonts w:ascii="Arial" w:hAnsi="Arial" w:cs="Arial"/>
          <w:sz w:val="24"/>
          <w:szCs w:val="24"/>
        </w:rPr>
      </w:pPr>
    </w:p>
    <w:p w14:paraId="4788CDF5" w14:textId="77777777" w:rsidR="004833E4" w:rsidRDefault="004833E4" w:rsidP="00D45C20">
      <w:pPr>
        <w:spacing w:line="360" w:lineRule="auto"/>
        <w:rPr>
          <w:rFonts w:ascii="Arial" w:hAnsi="Arial" w:cs="Arial"/>
          <w:sz w:val="24"/>
          <w:szCs w:val="24"/>
        </w:rPr>
      </w:pPr>
    </w:p>
    <w:p w14:paraId="72CC6699" w14:textId="77777777" w:rsidR="004833E4" w:rsidRDefault="004833E4" w:rsidP="00D45C20">
      <w:pPr>
        <w:spacing w:line="360" w:lineRule="auto"/>
        <w:rPr>
          <w:rFonts w:ascii="Arial" w:hAnsi="Arial" w:cs="Arial"/>
          <w:sz w:val="24"/>
          <w:szCs w:val="24"/>
        </w:rPr>
      </w:pPr>
    </w:p>
    <w:p w14:paraId="6D41E198" w14:textId="77777777" w:rsidR="004833E4" w:rsidRDefault="004833E4" w:rsidP="00D45C20">
      <w:pPr>
        <w:spacing w:line="360" w:lineRule="auto"/>
        <w:rPr>
          <w:rFonts w:ascii="Arial" w:hAnsi="Arial" w:cs="Arial"/>
          <w:sz w:val="24"/>
          <w:szCs w:val="24"/>
        </w:rPr>
      </w:pPr>
    </w:p>
    <w:p w14:paraId="0DF93D8A" w14:textId="77777777" w:rsidR="004833E4" w:rsidRDefault="004833E4" w:rsidP="00D45C20">
      <w:pPr>
        <w:spacing w:line="360" w:lineRule="auto"/>
        <w:rPr>
          <w:rFonts w:ascii="Arial" w:hAnsi="Arial" w:cs="Arial"/>
          <w:sz w:val="24"/>
          <w:szCs w:val="24"/>
        </w:rPr>
      </w:pPr>
    </w:p>
    <w:p w14:paraId="683EF606" w14:textId="77777777" w:rsidR="004833E4" w:rsidRDefault="004833E4" w:rsidP="00D45C20">
      <w:pPr>
        <w:spacing w:line="360" w:lineRule="auto"/>
        <w:rPr>
          <w:rFonts w:ascii="Arial" w:hAnsi="Arial" w:cs="Arial"/>
          <w:sz w:val="24"/>
          <w:szCs w:val="24"/>
        </w:rPr>
      </w:pPr>
    </w:p>
    <w:p w14:paraId="5ACFBE02" w14:textId="77777777" w:rsidR="004833E4" w:rsidRDefault="004833E4" w:rsidP="00D45C20">
      <w:pPr>
        <w:spacing w:line="360" w:lineRule="auto"/>
        <w:rPr>
          <w:rFonts w:ascii="Arial" w:hAnsi="Arial" w:cs="Arial"/>
          <w:sz w:val="24"/>
          <w:szCs w:val="24"/>
        </w:rPr>
      </w:pPr>
    </w:p>
    <w:p w14:paraId="55AF71A4" w14:textId="77777777" w:rsidR="004833E4" w:rsidRDefault="004833E4" w:rsidP="00D45C20">
      <w:pPr>
        <w:spacing w:line="360" w:lineRule="auto"/>
        <w:rPr>
          <w:rFonts w:ascii="Arial" w:hAnsi="Arial" w:cs="Arial"/>
          <w:sz w:val="24"/>
          <w:szCs w:val="24"/>
        </w:rPr>
      </w:pPr>
    </w:p>
    <w:p w14:paraId="253AC813" w14:textId="77777777" w:rsidR="004833E4" w:rsidRDefault="004833E4" w:rsidP="00D45C20">
      <w:pPr>
        <w:spacing w:line="360" w:lineRule="auto"/>
        <w:rPr>
          <w:rFonts w:ascii="Arial" w:hAnsi="Arial" w:cs="Arial"/>
          <w:sz w:val="24"/>
          <w:szCs w:val="24"/>
        </w:rPr>
      </w:pPr>
    </w:p>
    <w:p w14:paraId="34B033C1" w14:textId="77777777" w:rsidR="007558FB" w:rsidRDefault="007558FB" w:rsidP="00D45C20">
      <w:pPr>
        <w:spacing w:line="360" w:lineRule="auto"/>
        <w:rPr>
          <w:rFonts w:ascii="Arial" w:hAnsi="Arial" w:cs="Arial"/>
          <w:sz w:val="24"/>
          <w:szCs w:val="24"/>
        </w:rPr>
      </w:pPr>
    </w:p>
    <w:p w14:paraId="1B5790DF" w14:textId="6B6249A5" w:rsidR="004833E4" w:rsidRDefault="007558FB" w:rsidP="007558FB">
      <w:pPr>
        <w:spacing w:line="360" w:lineRule="auto"/>
        <w:jc w:val="center"/>
        <w:rPr>
          <w:rFonts w:ascii="Arial" w:hAnsi="Arial" w:cs="Arial"/>
          <w:sz w:val="24"/>
          <w:szCs w:val="24"/>
        </w:rPr>
      </w:pPr>
      <w:r>
        <w:rPr>
          <w:rFonts w:ascii="Arial" w:hAnsi="Arial" w:cs="Arial"/>
          <w:sz w:val="24"/>
          <w:szCs w:val="24"/>
        </w:rPr>
        <w:lastRenderedPageBreak/>
        <w:t>Green Bites Menu.</w:t>
      </w:r>
    </w:p>
    <w:p w14:paraId="32D7EE90" w14:textId="77777777" w:rsidR="007558FB" w:rsidRDefault="007558FB" w:rsidP="00D45C20">
      <w:pPr>
        <w:spacing w:line="360" w:lineRule="auto"/>
        <w:rPr>
          <w:rFonts w:ascii="Arial" w:hAnsi="Arial" w:cs="Arial"/>
          <w:sz w:val="24"/>
          <w:szCs w:val="24"/>
        </w:rPr>
      </w:pPr>
    </w:p>
    <w:p w14:paraId="5C38B97F" w14:textId="048CE0FE" w:rsidR="004833E4" w:rsidRDefault="004833E4" w:rsidP="00D45C20">
      <w:pPr>
        <w:spacing w:line="360" w:lineRule="auto"/>
        <w:rPr>
          <w:rFonts w:ascii="Arial" w:hAnsi="Arial" w:cs="Arial"/>
          <w:sz w:val="24"/>
          <w:szCs w:val="24"/>
        </w:rPr>
      </w:pPr>
      <w:r>
        <w:rPr>
          <w:rFonts w:ascii="Arial" w:hAnsi="Arial" w:cs="Arial"/>
          <w:noProof/>
          <w:sz w:val="24"/>
          <w:szCs w:val="24"/>
        </w:rPr>
        <w:drawing>
          <wp:inline distT="0" distB="0" distL="0" distR="0" wp14:anchorId="2BA01D75" wp14:editId="3A92CEF8">
            <wp:extent cx="6766560" cy="6979920"/>
            <wp:effectExtent l="0" t="0" r="0" b="0"/>
            <wp:docPr id="356118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18714" name="Picture 356118714"/>
                    <pic:cNvPicPr/>
                  </pic:nvPicPr>
                  <pic:blipFill>
                    <a:blip r:embed="rId7">
                      <a:extLst>
                        <a:ext uri="{28A0092B-C50C-407E-A947-70E740481C1C}">
                          <a14:useLocalDpi xmlns:a14="http://schemas.microsoft.com/office/drawing/2010/main" val="0"/>
                        </a:ext>
                      </a:extLst>
                    </a:blip>
                    <a:stretch>
                      <a:fillRect/>
                    </a:stretch>
                  </pic:blipFill>
                  <pic:spPr>
                    <a:xfrm>
                      <a:off x="0" y="0"/>
                      <a:ext cx="6766560" cy="6979920"/>
                    </a:xfrm>
                    <a:prstGeom prst="rect">
                      <a:avLst/>
                    </a:prstGeom>
                  </pic:spPr>
                </pic:pic>
              </a:graphicData>
            </a:graphic>
          </wp:inline>
        </w:drawing>
      </w:r>
    </w:p>
    <w:p w14:paraId="48962531" w14:textId="658D4160" w:rsidR="004833E4" w:rsidRDefault="004833E4" w:rsidP="00D45C20">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7711E061" wp14:editId="05BBC1AF">
            <wp:extent cx="7353300" cy="6812280"/>
            <wp:effectExtent l="0" t="0" r="0" b="7620"/>
            <wp:docPr id="4290401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040114" name="Picture 429040114"/>
                    <pic:cNvPicPr/>
                  </pic:nvPicPr>
                  <pic:blipFill>
                    <a:blip r:embed="rId8" cstate="print">
                      <a:extLst>
                        <a:ext uri="{28A0092B-C50C-407E-A947-70E740481C1C}">
                          <a14:useLocalDpi xmlns:a14="http://schemas.microsoft.com/office/drawing/2010/main" val="0"/>
                        </a:ext>
                      </a:extLst>
                    </a:blip>
                    <a:stretch>
                      <a:fillRect/>
                    </a:stretch>
                  </pic:blipFill>
                  <pic:spPr>
                    <a:xfrm>
                      <a:off x="0" y="0"/>
                      <a:ext cx="7353300" cy="6812280"/>
                    </a:xfrm>
                    <a:prstGeom prst="rect">
                      <a:avLst/>
                    </a:prstGeom>
                  </pic:spPr>
                </pic:pic>
              </a:graphicData>
            </a:graphic>
          </wp:inline>
        </w:drawing>
      </w:r>
    </w:p>
    <w:p w14:paraId="530F8A41" w14:textId="77777777" w:rsidR="007558FB" w:rsidRDefault="007558FB" w:rsidP="00D45C20">
      <w:pPr>
        <w:spacing w:line="360" w:lineRule="auto"/>
        <w:rPr>
          <w:rFonts w:ascii="Arial" w:hAnsi="Arial" w:cs="Arial"/>
          <w:sz w:val="24"/>
          <w:szCs w:val="24"/>
        </w:rPr>
      </w:pPr>
    </w:p>
    <w:p w14:paraId="5C96DC61" w14:textId="3E0BE77C" w:rsidR="004833E4" w:rsidRDefault="004833E4" w:rsidP="00D45C20">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69BC6785" wp14:editId="2DD56CAF">
            <wp:extent cx="7680960" cy="7239000"/>
            <wp:effectExtent l="0" t="0" r="0" b="0"/>
            <wp:docPr id="551320928" name="Picture 3"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1320928" name="Picture 3" descr="A screenshot of a computer&#10;&#10;Description automatically generated with low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7680960" cy="7239000"/>
                    </a:xfrm>
                    <a:prstGeom prst="rect">
                      <a:avLst/>
                    </a:prstGeom>
                  </pic:spPr>
                </pic:pic>
              </a:graphicData>
            </a:graphic>
          </wp:inline>
        </w:drawing>
      </w:r>
    </w:p>
    <w:p w14:paraId="400CDFCD" w14:textId="77777777" w:rsidR="007558FB" w:rsidRDefault="007558FB" w:rsidP="00D45C20">
      <w:pPr>
        <w:spacing w:line="360" w:lineRule="auto"/>
        <w:rPr>
          <w:rFonts w:ascii="Arial" w:hAnsi="Arial" w:cs="Arial"/>
          <w:sz w:val="24"/>
          <w:szCs w:val="24"/>
        </w:rPr>
      </w:pPr>
    </w:p>
    <w:p w14:paraId="1EE0BE05" w14:textId="77777777" w:rsidR="007558FB" w:rsidRDefault="007558FB" w:rsidP="00D45C20">
      <w:pPr>
        <w:spacing w:line="360" w:lineRule="auto"/>
        <w:rPr>
          <w:rFonts w:ascii="Arial" w:hAnsi="Arial" w:cs="Arial"/>
          <w:sz w:val="24"/>
          <w:szCs w:val="24"/>
        </w:rPr>
      </w:pPr>
    </w:p>
    <w:p w14:paraId="5C5791F1" w14:textId="77777777" w:rsidR="007558FB" w:rsidRDefault="007558FB" w:rsidP="00D45C20">
      <w:pPr>
        <w:spacing w:line="360" w:lineRule="auto"/>
        <w:rPr>
          <w:rFonts w:ascii="Arial" w:hAnsi="Arial" w:cs="Arial"/>
          <w:sz w:val="24"/>
          <w:szCs w:val="24"/>
        </w:rPr>
      </w:pPr>
    </w:p>
    <w:p w14:paraId="467D1C61" w14:textId="77777777" w:rsidR="007558FB" w:rsidRDefault="007558FB" w:rsidP="00D45C20">
      <w:pPr>
        <w:spacing w:line="360" w:lineRule="auto"/>
        <w:rPr>
          <w:rFonts w:ascii="Arial" w:hAnsi="Arial" w:cs="Arial"/>
          <w:sz w:val="24"/>
          <w:szCs w:val="24"/>
        </w:rPr>
      </w:pPr>
    </w:p>
    <w:p w14:paraId="08D0A7F9" w14:textId="793C54DF" w:rsidR="004833E4" w:rsidRDefault="004833E4" w:rsidP="00D45C20">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1A90EE78" wp14:editId="00A4FD75">
            <wp:extent cx="8382000" cy="8991600"/>
            <wp:effectExtent l="0" t="0" r="0" b="0"/>
            <wp:docPr id="196554911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5549111" name="Picture 196554911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8382000" cy="8991600"/>
                    </a:xfrm>
                    <a:prstGeom prst="rect">
                      <a:avLst/>
                    </a:prstGeom>
                  </pic:spPr>
                </pic:pic>
              </a:graphicData>
            </a:graphic>
          </wp:inline>
        </w:drawing>
      </w:r>
    </w:p>
    <w:p w14:paraId="09C73FDF" w14:textId="1E362855" w:rsidR="004833E4" w:rsidRDefault="004833E4" w:rsidP="00D45C20">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1EB5F67C" wp14:editId="7F583DB4">
            <wp:extent cx="7757160" cy="7353300"/>
            <wp:effectExtent l="0" t="0" r="0" b="0"/>
            <wp:docPr id="11522224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222420" name="Picture 115222242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757160" cy="7353300"/>
                    </a:xfrm>
                    <a:prstGeom prst="rect">
                      <a:avLst/>
                    </a:prstGeom>
                  </pic:spPr>
                </pic:pic>
              </a:graphicData>
            </a:graphic>
          </wp:inline>
        </w:drawing>
      </w:r>
    </w:p>
    <w:p w14:paraId="0593FF3D" w14:textId="77777777" w:rsidR="007558FB" w:rsidRDefault="007558FB" w:rsidP="00D45C20">
      <w:pPr>
        <w:spacing w:line="360" w:lineRule="auto"/>
        <w:rPr>
          <w:rFonts w:ascii="Arial" w:hAnsi="Arial" w:cs="Arial"/>
          <w:sz w:val="24"/>
          <w:szCs w:val="24"/>
        </w:rPr>
      </w:pPr>
    </w:p>
    <w:p w14:paraId="170F9E65" w14:textId="77777777" w:rsidR="007558FB" w:rsidRDefault="007558FB" w:rsidP="00D45C20">
      <w:pPr>
        <w:spacing w:line="360" w:lineRule="auto"/>
        <w:rPr>
          <w:rFonts w:ascii="Arial" w:hAnsi="Arial" w:cs="Arial"/>
          <w:sz w:val="24"/>
          <w:szCs w:val="24"/>
        </w:rPr>
      </w:pPr>
    </w:p>
    <w:p w14:paraId="1E77C5C8" w14:textId="0DFDFB61" w:rsidR="007558FB" w:rsidRDefault="007558FB" w:rsidP="00D45C20">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63A16006" wp14:editId="34400307">
            <wp:extent cx="8618220" cy="8107680"/>
            <wp:effectExtent l="0" t="0" r="0" b="7620"/>
            <wp:docPr id="51870164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8701649" name="Picture 518701649"/>
                    <pic:cNvPicPr/>
                  </pic:nvPicPr>
                  <pic:blipFill>
                    <a:blip r:embed="rId12">
                      <a:extLst>
                        <a:ext uri="{28A0092B-C50C-407E-A947-70E740481C1C}">
                          <a14:useLocalDpi xmlns:a14="http://schemas.microsoft.com/office/drawing/2010/main" val="0"/>
                        </a:ext>
                      </a:extLst>
                    </a:blip>
                    <a:stretch>
                      <a:fillRect/>
                    </a:stretch>
                  </pic:blipFill>
                  <pic:spPr>
                    <a:xfrm>
                      <a:off x="0" y="0"/>
                      <a:ext cx="8618220" cy="8107680"/>
                    </a:xfrm>
                    <a:prstGeom prst="rect">
                      <a:avLst/>
                    </a:prstGeom>
                  </pic:spPr>
                </pic:pic>
              </a:graphicData>
            </a:graphic>
          </wp:inline>
        </w:drawing>
      </w:r>
    </w:p>
    <w:p w14:paraId="257D9188" w14:textId="77777777" w:rsidR="007558FB" w:rsidRDefault="007558FB" w:rsidP="00D45C20">
      <w:pPr>
        <w:spacing w:line="360" w:lineRule="auto"/>
        <w:rPr>
          <w:rFonts w:ascii="Arial" w:hAnsi="Arial" w:cs="Arial"/>
          <w:sz w:val="24"/>
          <w:szCs w:val="24"/>
        </w:rPr>
      </w:pPr>
    </w:p>
    <w:p w14:paraId="71F0179F" w14:textId="77777777" w:rsidR="007558FB" w:rsidRDefault="007558FB" w:rsidP="00D45C20">
      <w:pPr>
        <w:spacing w:line="360" w:lineRule="auto"/>
        <w:rPr>
          <w:rFonts w:ascii="Arial" w:hAnsi="Arial" w:cs="Arial"/>
          <w:sz w:val="24"/>
          <w:szCs w:val="24"/>
        </w:rPr>
      </w:pPr>
    </w:p>
    <w:p w14:paraId="0BA27546" w14:textId="4361F0C9" w:rsidR="004833E4" w:rsidRPr="00D45C20" w:rsidRDefault="007558FB" w:rsidP="00D45C20">
      <w:pPr>
        <w:spacing w:line="360" w:lineRule="auto"/>
        <w:rPr>
          <w:rFonts w:ascii="Arial" w:hAnsi="Arial" w:cs="Arial"/>
          <w:sz w:val="24"/>
          <w:szCs w:val="24"/>
        </w:rPr>
      </w:pPr>
      <w:r>
        <w:rPr>
          <w:rFonts w:ascii="Arial" w:hAnsi="Arial" w:cs="Arial"/>
          <w:noProof/>
          <w:sz w:val="24"/>
          <w:szCs w:val="24"/>
        </w:rPr>
        <w:lastRenderedPageBreak/>
        <w:drawing>
          <wp:inline distT="0" distB="0" distL="0" distR="0" wp14:anchorId="1F5F22B7" wp14:editId="204221EB">
            <wp:extent cx="8100060" cy="7879080"/>
            <wp:effectExtent l="0" t="0" r="0" b="7620"/>
            <wp:docPr id="947808464" name="Picture 7" descr="A bunches of herbs on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808464" name="Picture 7" descr="A bunches of herbs on a table&#10;&#10;Description automatically generated with low confidence"/>
                    <pic:cNvPicPr/>
                  </pic:nvPicPr>
                  <pic:blipFill>
                    <a:blip r:embed="rId13">
                      <a:extLst>
                        <a:ext uri="{28A0092B-C50C-407E-A947-70E740481C1C}">
                          <a14:useLocalDpi xmlns:a14="http://schemas.microsoft.com/office/drawing/2010/main" val="0"/>
                        </a:ext>
                      </a:extLst>
                    </a:blip>
                    <a:stretch>
                      <a:fillRect/>
                    </a:stretch>
                  </pic:blipFill>
                  <pic:spPr>
                    <a:xfrm>
                      <a:off x="0" y="0"/>
                      <a:ext cx="8100060" cy="7879080"/>
                    </a:xfrm>
                    <a:prstGeom prst="rect">
                      <a:avLst/>
                    </a:prstGeom>
                  </pic:spPr>
                </pic:pic>
              </a:graphicData>
            </a:graphic>
          </wp:inline>
        </w:drawing>
      </w:r>
    </w:p>
    <w:sectPr w:rsidR="004833E4" w:rsidRPr="00D45C20">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7D044" w14:textId="77777777" w:rsidR="008B4C3E" w:rsidRDefault="008B4C3E" w:rsidP="00D45C20">
      <w:pPr>
        <w:spacing w:after="0" w:line="240" w:lineRule="auto"/>
      </w:pPr>
      <w:r>
        <w:separator/>
      </w:r>
    </w:p>
  </w:endnote>
  <w:endnote w:type="continuationSeparator" w:id="0">
    <w:p w14:paraId="1345F88F" w14:textId="77777777" w:rsidR="008B4C3E" w:rsidRDefault="008B4C3E" w:rsidP="00D45C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1BBABB" w14:textId="77777777" w:rsidR="008B4C3E" w:rsidRDefault="008B4C3E" w:rsidP="00D45C20">
      <w:pPr>
        <w:spacing w:after="0" w:line="240" w:lineRule="auto"/>
      </w:pPr>
      <w:r>
        <w:separator/>
      </w:r>
    </w:p>
  </w:footnote>
  <w:footnote w:type="continuationSeparator" w:id="0">
    <w:p w14:paraId="79151788" w14:textId="77777777" w:rsidR="008B4C3E" w:rsidRDefault="008B4C3E" w:rsidP="00D45C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D5F98" w14:textId="77777777" w:rsidR="00D45C20" w:rsidRDefault="00D45C20" w:rsidP="00D45C20">
    <w:pPr>
      <w:jc w:val="both"/>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C20"/>
    <w:rsid w:val="003F58F7"/>
    <w:rsid w:val="004833E4"/>
    <w:rsid w:val="007558FB"/>
    <w:rsid w:val="008B4C3E"/>
    <w:rsid w:val="00C46D08"/>
    <w:rsid w:val="00D45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5D6E00"/>
  <w15:chartTrackingRefBased/>
  <w15:docId w15:val="{F3EDEE67-7516-4B31-A256-C4F0542B81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5C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5C20"/>
  </w:style>
  <w:style w:type="paragraph" w:styleId="Footer">
    <w:name w:val="footer"/>
    <w:basedOn w:val="Normal"/>
    <w:link w:val="FooterChar"/>
    <w:uiPriority w:val="99"/>
    <w:unhideWhenUsed/>
    <w:rsid w:val="00D45C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5C20"/>
  </w:style>
  <w:style w:type="paragraph" w:styleId="NoSpacing">
    <w:name w:val="No Spacing"/>
    <w:uiPriority w:val="1"/>
    <w:qFormat/>
    <w:rsid w:val="00D45C20"/>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1</Pages>
  <Words>835</Words>
  <Characters>4762</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reebeca2017_00@outlook.com</dc:creator>
  <cp:keywords/>
  <dc:description/>
  <cp:lastModifiedBy>reebeca2017_00@outlook.com</cp:lastModifiedBy>
  <cp:revision>4</cp:revision>
  <dcterms:created xsi:type="dcterms:W3CDTF">2023-06-03T11:08:00Z</dcterms:created>
  <dcterms:modified xsi:type="dcterms:W3CDTF">2023-06-03T14:35:00Z</dcterms:modified>
</cp:coreProperties>
</file>