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"/>
        <w:spacing w:after="40"/>
      </w:pPr>
      <w:r>
        <w:rPr>
          <w:rFonts w:ascii="Cambria Bold" w:hAnsi="Cambria Bold"/>
          <w:outline w:val="0"/>
          <w:color w:val="1e2a36"/>
          <w:sz w:val="36"/>
          <w:szCs w:val="36"/>
          <w:u w:color="1e2a36"/>
          <w:rtl w:val="0"/>
          <w:lang w:val="en-US"/>
          <w14:textFill>
            <w14:solidFill>
              <w14:srgbClr w14:val="1E2A36"/>
            </w14:solidFill>
          </w14:textFill>
        </w:rPr>
        <w:t>Risk Assessment Matrix</w:t>
      </w:r>
    </w:p>
    <w:p>
      <w:pPr>
        <w:pStyle w:val="Heading"/>
        <w:spacing w:after="40"/>
      </w:pPr>
      <w:r>
        <w:rPr>
          <w:rFonts w:ascii="Calibri" w:hAnsi="Calibri"/>
          <w:outline w:val="0"/>
          <w:color w:val="1e2a36"/>
          <w:sz w:val="20"/>
          <w:szCs w:val="20"/>
          <w:u w:color="1e2a36"/>
          <w:rtl w:val="0"/>
          <w:lang w:val="en-US"/>
          <w14:textFill>
            <w14:solidFill>
              <w14:srgbClr w14:val="1E2A36"/>
            </w14:solidFill>
          </w14:textFill>
        </w:rPr>
        <w:t>Score each risk from 1 to 5 for likelihood and impact using the guidance below, then multiply the two to find its place on the matrix. Rescore as the incident develops.</w:t>
      </w:r>
    </w:p>
    <w:p>
      <w:pPr>
        <w:pStyle w:val="Heading 2"/>
        <w:spacing w:before="160" w:after="80"/>
      </w:pPr>
      <w:r>
        <w:rPr>
          <w:rFonts w:ascii="Cambria Bold" w:hAnsi="Cambria Bold"/>
          <w:outline w:val="0"/>
          <w:color w:val="b14b18"/>
          <w:sz w:val="24"/>
          <w:szCs w:val="24"/>
          <w:u w:color="b14b18"/>
          <w:rtl w:val="0"/>
          <w:lang w:val="en-US"/>
          <w14:textFill>
            <w14:solidFill>
              <w14:srgbClr w14:val="B14B18"/>
            </w14:solidFill>
          </w14:textFill>
        </w:rPr>
        <w:t>The matrix</w:t>
      </w:r>
    </w:p>
    <w:tbl>
      <w:tblPr>
        <w:tblW w:w="1020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206"/>
        <w:gridCol w:w="1600"/>
        <w:gridCol w:w="1600"/>
        <w:gridCol w:w="1600"/>
        <w:gridCol w:w="1600"/>
        <w:gridCol w:w="1600"/>
      </w:tblGrid>
      <w:tr>
        <w:tblPrEx>
          <w:shd w:val="clear" w:color="auto" w:fill="ced7e7"/>
        </w:tblPrEx>
        <w:trPr>
          <w:trHeight w:val="190" w:hRule="atLeast"/>
        </w:trPr>
        <w:tc>
          <w:tcPr>
            <w:tcW w:type="dxa" w:w="22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1e2a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 xml:space="preserve">Likelihood </w:t>
            </w:r>
            <w:r>
              <w:rPr>
                <w:rFonts w:ascii="Calibri" w:hAnsi="Calibri" w:hint="default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 xml:space="preserve">↓   </w:t>
            </w: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 xml:space="preserve">Impact </w:t>
            </w:r>
            <w:r>
              <w:rPr>
                <w:rFonts w:ascii="Calibri" w:hAnsi="Calibri" w:hint="default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→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1e2a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1 Minimal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1e2a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:lang w:val="de-DE"/>
                <w14:textFill>
                  <w14:solidFill>
                    <w14:srgbClr w14:val="FFFFFF"/>
                  </w14:solidFill>
                </w14:textFill>
              </w:rPr>
              <w:t>2 Minor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1e2a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:lang w:val="de-DE"/>
                <w14:textFill>
                  <w14:solidFill>
                    <w14:srgbClr w14:val="FFFFFF"/>
                  </w14:solidFill>
                </w14:textFill>
              </w:rPr>
              <w:t>3 Moderate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1e2a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4 Major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1e2a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:lang w:val="es-ES_tradnl"/>
                <w14:textFill>
                  <w14:solidFill>
                    <w14:srgbClr w14:val="FFFFFF"/>
                  </w14:solidFill>
                </w14:textFill>
              </w:rPr>
              <w:t>5 Severe</w:t>
            </w:r>
          </w:p>
        </w:tc>
      </w:tr>
      <w:tr>
        <w:tblPrEx>
          <w:shd w:val="clear" w:color="auto" w:fill="ced7e7"/>
        </w:tblPrEx>
        <w:trPr>
          <w:trHeight w:val="226" w:hRule="atLeast"/>
        </w:trPr>
        <w:tc>
          <w:tcPr>
            <w:tcW w:type="dxa" w:w="22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5 Almost certain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be3d4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5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0a07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10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0a07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15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b14b18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20"/>
                <w:szCs w:val="20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20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b14b18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20"/>
                <w:szCs w:val="20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25</w:t>
            </w:r>
          </w:p>
        </w:tc>
      </w:tr>
      <w:tr>
        <w:tblPrEx>
          <w:shd w:val="clear" w:color="auto" w:fill="ced7e7"/>
        </w:tblPrEx>
        <w:trPr>
          <w:trHeight w:val="226" w:hRule="atLeast"/>
        </w:trPr>
        <w:tc>
          <w:tcPr>
            <w:tcW w:type="dxa" w:w="22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4 Likely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e6ec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4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be3d4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8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0a07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12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0a07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16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b14b18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20"/>
                <w:szCs w:val="20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20</w:t>
            </w:r>
          </w:p>
        </w:tc>
      </w:tr>
      <w:tr>
        <w:tblPrEx>
          <w:shd w:val="clear" w:color="auto" w:fill="ced7e7"/>
        </w:tblPrEx>
        <w:trPr>
          <w:trHeight w:val="226" w:hRule="atLeast"/>
        </w:trPr>
        <w:tc>
          <w:tcPr>
            <w:tcW w:type="dxa" w:w="22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3 Possible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e6ec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3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be3d4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6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be3d4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9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0a07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12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0a07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15</w:t>
            </w:r>
          </w:p>
        </w:tc>
      </w:tr>
      <w:tr>
        <w:tblPrEx>
          <w:shd w:val="clear" w:color="auto" w:fill="ced7e7"/>
        </w:tblPrEx>
        <w:trPr>
          <w:trHeight w:val="226" w:hRule="atLeast"/>
        </w:trPr>
        <w:tc>
          <w:tcPr>
            <w:tcW w:type="dxa" w:w="22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2 Unlikely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e6ec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2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e6ec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4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be3d4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6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be3d4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8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0a07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226" w:hRule="atLeast"/>
        </w:trPr>
        <w:tc>
          <w:tcPr>
            <w:tcW w:type="dxa" w:w="22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ru-RU"/>
                <w14:textFill>
                  <w14:solidFill>
                    <w14:srgbClr w14:val="1E2A36"/>
                  </w14:solidFill>
                </w14:textFill>
              </w:rPr>
              <w:t>1 Rare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e6ec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1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e6ec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2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e6ec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3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e6ec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4</w:t>
            </w:r>
          </w:p>
        </w:tc>
        <w:tc>
          <w:tcPr>
            <w:tcW w:type="dxa" w:w="16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be3d4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20"/>
                <w:szCs w:val="20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5</w:t>
            </w:r>
          </w:p>
        </w:tc>
      </w:tr>
    </w:tbl>
    <w:p>
      <w:pPr>
        <w:pStyle w:val="Heading 2"/>
        <w:widowControl w:val="0"/>
        <w:spacing w:before="160" w:after="80"/>
      </w:pPr>
    </w:p>
    <w:p>
      <w:pPr>
        <w:pStyle w:val="Heading 2"/>
        <w:widowControl w:val="0"/>
        <w:spacing w:before="160" w:after="80"/>
      </w:pPr>
    </w:p>
    <w:tbl>
      <w:tblPr>
        <w:tblW w:w="1020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00"/>
        <w:gridCol w:w="2000"/>
        <w:gridCol w:w="6506"/>
      </w:tblGrid>
      <w:tr>
        <w:tblPrEx>
          <w:shd w:val="clear" w:color="auto" w:fill="ced7e7"/>
        </w:tblPrEx>
        <w:trPr>
          <w:trHeight w:val="190" w:hRule="atLeast"/>
        </w:trPr>
        <w:tc>
          <w:tcPr>
            <w:tcW w:type="dxa" w:w="17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5f1ea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Score</w:t>
            </w:r>
          </w:p>
        </w:tc>
        <w:tc>
          <w:tcPr>
            <w:tcW w:type="dxa" w:w="20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5f1ea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Rating</w:t>
            </w:r>
          </w:p>
        </w:tc>
        <w:tc>
          <w:tcPr>
            <w:tcW w:type="dxa" w:w="65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5f1ea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Response</w:t>
            </w:r>
          </w:p>
        </w:tc>
      </w:tr>
      <w:tr>
        <w:tblPrEx>
          <w:shd w:val="clear" w:color="auto" w:fill="ced7e7"/>
        </w:tblPrEx>
        <w:trPr>
          <w:trHeight w:val="190" w:hRule="atLeast"/>
        </w:trPr>
        <w:tc>
          <w:tcPr>
            <w:tcW w:type="dxa" w:w="17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1 to 4</w:t>
            </w:r>
          </w:p>
        </w:tc>
        <w:tc>
          <w:tcPr>
            <w:tcW w:type="dxa" w:w="20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e6ec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Low</w:t>
            </w:r>
          </w:p>
        </w:tc>
        <w:tc>
          <w:tcPr>
            <w:tcW w:type="dxa" w:w="65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Monitor</w:t>
            </w:r>
          </w:p>
        </w:tc>
      </w:tr>
      <w:tr>
        <w:tblPrEx>
          <w:shd w:val="clear" w:color="auto" w:fill="ced7e7"/>
        </w:tblPrEx>
        <w:trPr>
          <w:trHeight w:val="190" w:hRule="atLeast"/>
        </w:trPr>
        <w:tc>
          <w:tcPr>
            <w:tcW w:type="dxa" w:w="17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5 to 9</w:t>
            </w:r>
          </w:p>
        </w:tc>
        <w:tc>
          <w:tcPr>
            <w:tcW w:type="dxa" w:w="20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be3d4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Medium</w:t>
            </w:r>
          </w:p>
        </w:tc>
        <w:tc>
          <w:tcPr>
            <w:tcW w:type="dxa" w:w="65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Manage within the business</w:t>
            </w:r>
          </w:p>
        </w:tc>
      </w:tr>
      <w:tr>
        <w:tblPrEx>
          <w:shd w:val="clear" w:color="auto" w:fill="ced7e7"/>
        </w:tblPrEx>
        <w:trPr>
          <w:trHeight w:val="190" w:hRule="atLeast"/>
        </w:trPr>
        <w:tc>
          <w:tcPr>
            <w:tcW w:type="dxa" w:w="17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10 to 16</w:t>
            </w:r>
          </w:p>
        </w:tc>
        <w:tc>
          <w:tcPr>
            <w:tcW w:type="dxa" w:w="20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f0a07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High</w:t>
            </w:r>
          </w:p>
        </w:tc>
        <w:tc>
          <w:tcPr>
            <w:tcW w:type="dxa" w:w="65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Senior management attention</w:t>
            </w:r>
          </w:p>
        </w:tc>
      </w:tr>
      <w:tr>
        <w:tblPrEx>
          <w:shd w:val="clear" w:color="auto" w:fill="ced7e7"/>
        </w:tblPrEx>
        <w:trPr>
          <w:trHeight w:val="190" w:hRule="atLeast"/>
        </w:trPr>
        <w:tc>
          <w:tcPr>
            <w:tcW w:type="dxa" w:w="17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20 to 25</w:t>
            </w:r>
          </w:p>
        </w:tc>
        <w:tc>
          <w:tcPr>
            <w:tcW w:type="dxa" w:w="20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b14b18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:lang w:val="it-IT"/>
                <w14:textFill>
                  <w14:solidFill>
                    <w14:srgbClr w14:val="FFFFFF"/>
                  </w14:solidFill>
                </w14:textFill>
              </w:rPr>
              <w:t>Critical</w:t>
            </w:r>
          </w:p>
        </w:tc>
        <w:tc>
          <w:tcPr>
            <w:tcW w:type="dxa" w:w="65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Immediate action and board oversight</w:t>
            </w:r>
          </w:p>
        </w:tc>
      </w:tr>
    </w:tbl>
    <w:p>
      <w:pPr>
        <w:pStyle w:val="Heading 2"/>
        <w:widowControl w:val="0"/>
        <w:spacing w:before="160" w:after="80"/>
      </w:pPr>
    </w:p>
    <w:p>
      <w:pPr>
        <w:pStyle w:val="Heading 2"/>
        <w:spacing w:before="160" w:after="80"/>
      </w:pPr>
      <w:r>
        <w:rPr>
          <w:rFonts w:ascii="Cambria Bold" w:hAnsi="Cambria Bold"/>
          <w:outline w:val="0"/>
          <w:color w:val="b14b18"/>
          <w:sz w:val="24"/>
          <w:szCs w:val="24"/>
          <w:u w:color="b14b18"/>
          <w:rtl w:val="0"/>
          <w:lang w:val="en-US"/>
          <w14:textFill>
            <w14:solidFill>
              <w14:srgbClr w14:val="B14B18"/>
            </w14:solidFill>
          </w14:textFill>
        </w:rPr>
        <w:t>Scoring guidance</w:t>
      </w:r>
    </w:p>
    <w:tbl>
      <w:tblPr>
        <w:tblW w:w="1020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800"/>
        <w:gridCol w:w="4000"/>
        <w:gridCol w:w="5406"/>
      </w:tblGrid>
      <w:tr>
        <w:tblPrEx>
          <w:shd w:val="clear" w:color="auto" w:fill="ced7e7"/>
        </w:tblPrEx>
        <w:trPr>
          <w:trHeight w:val="190" w:hRule="atLeast"/>
        </w:trPr>
        <w:tc>
          <w:tcPr>
            <w:tcW w:type="dxa" w:w="8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1e2a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Score</w:t>
            </w:r>
          </w:p>
        </w:tc>
        <w:tc>
          <w:tcPr>
            <w:tcW w:type="dxa" w:w="40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1e2a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Likelihood</w:t>
            </w:r>
          </w:p>
        </w:tc>
        <w:tc>
          <w:tcPr>
            <w:tcW w:type="dxa" w:w="54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1e2a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Impact</w:t>
            </w:r>
          </w:p>
        </w:tc>
      </w:tr>
      <w:tr>
        <w:tblPrEx>
          <w:shd w:val="clear" w:color="auto" w:fill="ced7e7"/>
        </w:tblPrEx>
        <w:trPr>
          <w:trHeight w:val="190" w:hRule="atLeast"/>
        </w:trPr>
        <w:tc>
          <w:tcPr>
            <w:tcW w:type="dxa" w:w="8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1</w:t>
            </w:r>
          </w:p>
        </w:tc>
        <w:tc>
          <w:tcPr>
            <w:tcW w:type="dxa" w:w="40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Rare: not expected in the next year</w:t>
            </w:r>
          </w:p>
        </w:tc>
        <w:tc>
          <w:tcPr>
            <w:tcW w:type="dxa" w:w="54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Minimal: no customer effect, negligible cost</w:t>
            </w:r>
          </w:p>
        </w:tc>
      </w:tr>
      <w:tr>
        <w:tblPrEx>
          <w:shd w:val="clear" w:color="auto" w:fill="ced7e7"/>
        </w:tblPrEx>
        <w:trPr>
          <w:trHeight w:val="190" w:hRule="atLeast"/>
        </w:trPr>
        <w:tc>
          <w:tcPr>
            <w:tcW w:type="dxa" w:w="8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2</w:t>
            </w:r>
          </w:p>
        </w:tc>
        <w:tc>
          <w:tcPr>
            <w:tcW w:type="dxa" w:w="40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Unlikely: could happen but not expected</w:t>
            </w:r>
          </w:p>
        </w:tc>
        <w:tc>
          <w:tcPr>
            <w:tcW w:type="dxa" w:w="54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Minor: brief disruption in one country, limited cost</w:t>
            </w:r>
          </w:p>
        </w:tc>
      </w:tr>
      <w:tr>
        <w:tblPrEx>
          <w:shd w:val="clear" w:color="auto" w:fill="ced7e7"/>
        </w:tblPrEx>
        <w:trPr>
          <w:trHeight w:val="446" w:hRule="atLeast"/>
        </w:trPr>
        <w:tc>
          <w:tcPr>
            <w:tcW w:type="dxa" w:w="8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3</w:t>
            </w:r>
          </w:p>
        </w:tc>
        <w:tc>
          <w:tcPr>
            <w:tcW w:type="dxa" w:w="40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Possible: could happen in the next few months</w:t>
            </w:r>
          </w:p>
        </w:tc>
        <w:tc>
          <w:tcPr>
            <w:tcW w:type="dxa" w:w="54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Moderate: disruption to bookings, local media coverage, regulator enquiry</w:t>
            </w:r>
          </w:p>
        </w:tc>
      </w:tr>
      <w:tr>
        <w:tblPrEx>
          <w:shd w:val="clear" w:color="auto" w:fill="ced7e7"/>
        </w:tblPrEx>
        <w:trPr>
          <w:trHeight w:val="446" w:hRule="atLeast"/>
        </w:trPr>
        <w:tc>
          <w:tcPr>
            <w:tcW w:type="dxa" w:w="8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4</w:t>
            </w:r>
          </w:p>
        </w:tc>
        <w:tc>
          <w:tcPr>
            <w:tcW w:type="dxa" w:w="40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Likely: expected to happen without action</w:t>
            </w:r>
          </w:p>
        </w:tc>
        <w:tc>
          <w:tcPr>
            <w:tcW w:type="dxa" w:w="54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Major: customer data exposed, national media coverage, regulatory investigation in one country</w:t>
            </w:r>
          </w:p>
        </w:tc>
      </w:tr>
      <w:tr>
        <w:tblPrEx>
          <w:shd w:val="clear" w:color="auto" w:fill="ced7e7"/>
        </w:tblPrEx>
        <w:trPr>
          <w:trHeight w:val="446" w:hRule="atLeast"/>
        </w:trPr>
        <w:tc>
          <w:tcPr>
            <w:tcW w:type="dxa" w:w="8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14:textFill>
                  <w14:solidFill>
                    <w14:srgbClr w14:val="1E2A36"/>
                  </w14:solidFill>
                </w14:textFill>
              </w:rPr>
              <w:t>5</w:t>
            </w:r>
          </w:p>
        </w:tc>
        <w:tc>
          <w:tcPr>
            <w:tcW w:type="dxa" w:w="40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Almost certain: happening now or imminent</w:t>
            </w:r>
          </w:p>
        </w:tc>
        <w:tc>
          <w:tcPr>
            <w:tcW w:type="dxa" w:w="54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e2a36"/>
                <w:sz w:val="18"/>
                <w:szCs w:val="18"/>
                <w:u w:color="1e2a36"/>
                <w:shd w:val="nil" w:color="auto" w:fill="auto"/>
                <w:rtl w:val="0"/>
                <w:lang w:val="en-US"/>
                <w14:textFill>
                  <w14:solidFill>
                    <w14:srgbClr w14:val="1E2A36"/>
                  </w14:solidFill>
                </w14:textFill>
              </w:rPr>
              <w:t>Severe: large-scale data loss, action by regulators in several countries, effect on share price</w:t>
            </w:r>
          </w:p>
        </w:tc>
      </w:tr>
    </w:tbl>
    <w:p>
      <w:pPr>
        <w:pStyle w:val="Heading 2"/>
        <w:widowControl w:val="0"/>
        <w:spacing w:before="160" w:after="80"/>
      </w:pPr>
    </w:p>
    <w:p>
      <w:pPr>
        <w:pStyle w:val="Heading 2"/>
        <w:spacing w:before="160" w:after="80"/>
      </w:pPr>
      <w:r>
        <w:rPr>
          <w:rFonts w:ascii="Cambria Bold" w:hAnsi="Cambria Bold"/>
          <w:outline w:val="0"/>
          <w:color w:val="b14b18"/>
          <w:sz w:val="24"/>
          <w:szCs w:val="24"/>
          <w:u w:color="b14b18"/>
          <w:rtl w:val="0"/>
          <w:lang w:val="en-US"/>
          <w14:textFill>
            <w14:solidFill>
              <w14:srgbClr w14:val="B14B18"/>
            </w14:solidFill>
          </w14:textFill>
        </w:rPr>
        <w:t>Your risk register</w:t>
      </w:r>
    </w:p>
    <w:tbl>
      <w:tblPr>
        <w:tblW w:w="1020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00"/>
        <w:gridCol w:w="1300"/>
        <w:gridCol w:w="2306"/>
        <w:gridCol w:w="1300"/>
        <w:gridCol w:w="1300"/>
        <w:gridCol w:w="1300"/>
      </w:tblGrid>
      <w:tr>
        <w:tblPrEx>
          <w:shd w:val="clear" w:color="auto" w:fill="ced7e7"/>
        </w:tblPrEx>
        <w:trPr>
          <w:trHeight w:val="446" w:hRule="atLeast"/>
        </w:trPr>
        <w:tc>
          <w:tcPr>
            <w:tcW w:type="dxa" w:w="27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1e2a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:lang w:val="da-DK"/>
                <w14:textFill>
                  <w14:solidFill>
                    <w14:srgbClr w14:val="FFFFFF"/>
                  </w14:solidFill>
                </w14:textFill>
              </w:rPr>
              <w:t>Risk</w:t>
            </w:r>
          </w:p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1e2a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Country</w:t>
            </w:r>
          </w:p>
        </w:tc>
        <w:tc>
          <w:tcPr>
            <w:tcW w:type="dxa" w:w="23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1e2a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  <w:tab w:val="left" w:pos="1440"/>
                <w:tab w:val="left" w:pos="216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Owner</w:t>
            </w:r>
          </w:p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1e2a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Likelihood (1 to 5)</w:t>
            </w:r>
          </w:p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1e2a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Impact (1 to 5)</w:t>
            </w:r>
          </w:p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1e2a3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tabs>
                <w:tab w:val="left" w:pos="72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outline w:val="0"/>
                <w:color w:val="ffffff"/>
                <w:sz w:val="18"/>
                <w:szCs w:val="18"/>
                <w:u w:color="ffffff"/>
                <w:shd w:val="nil" w:color="auto" w:fill="auto"/>
                <w:rtl w:val="0"/>
                <w:lang w:val="en-US"/>
                <w14:textFill>
                  <w14:solidFill>
                    <w14:srgbClr w14:val="FFFFFF"/>
                  </w14:solidFill>
                </w14:textFill>
              </w:rPr>
              <w:t>Score and rating</w:t>
            </w:r>
          </w:p>
        </w:tc>
      </w:tr>
      <w:tr>
        <w:tblPrEx>
          <w:shd w:val="clear" w:color="auto" w:fill="ced7e7"/>
        </w:tblPrEx>
        <w:trPr>
          <w:trHeight w:val="430" w:hRule="atLeast"/>
        </w:trPr>
        <w:tc>
          <w:tcPr>
            <w:tcW w:type="dxa" w:w="27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3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30" w:hRule="atLeast"/>
        </w:trPr>
        <w:tc>
          <w:tcPr>
            <w:tcW w:type="dxa" w:w="27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3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30" w:hRule="atLeast"/>
        </w:trPr>
        <w:tc>
          <w:tcPr>
            <w:tcW w:type="dxa" w:w="27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3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30" w:hRule="atLeast"/>
        </w:trPr>
        <w:tc>
          <w:tcPr>
            <w:tcW w:type="dxa" w:w="27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3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30" w:hRule="atLeast"/>
        </w:trPr>
        <w:tc>
          <w:tcPr>
            <w:tcW w:type="dxa" w:w="27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3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30" w:hRule="atLeast"/>
        </w:trPr>
        <w:tc>
          <w:tcPr>
            <w:tcW w:type="dxa" w:w="27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306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00"/>
            <w:tcBorders>
              <w:top w:val="single" w:color="b9c6d1" w:sz="4" w:space="0" w:shadow="0" w:frame="0"/>
              <w:left w:val="single" w:color="b9c6d1" w:sz="4" w:space="0" w:shadow="0" w:frame="0"/>
              <w:bottom w:val="single" w:color="b9c6d1" w:sz="4" w:space="0" w:shadow="0" w:frame="0"/>
              <w:right w:val="single" w:color="b9c6d1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Heading 2"/>
        <w:widowControl w:val="0"/>
        <w:spacing w:before="160" w:after="80"/>
      </w:pPr>
    </w:p>
    <w:p>
      <w:pPr>
        <w:pStyle w:val="Heading 2"/>
        <w:widowControl w:val="0"/>
        <w:spacing w:before="160" w:after="80"/>
      </w:pPr>
      <w:r>
        <w:rPr>
          <w:rFonts w:ascii="Calibri" w:hAnsi="Calibri"/>
          <w:outline w:val="0"/>
          <w:color w:val="3d4955"/>
          <w:sz w:val="18"/>
          <w:szCs w:val="18"/>
          <w:u w:color="3d4955"/>
          <w:rtl w:val="0"/>
          <w:lang w:val="en-US"/>
          <w14:textFill>
            <w14:solidFill>
              <w14:srgbClr w14:val="3D4955"/>
            </w14:solidFill>
          </w14:textFill>
        </w:rPr>
        <w:t xml:space="preserve">Remember: scores are judgements, not measurements. A rare but severe risk (1 </w:t>
      </w:r>
      <w:r>
        <w:rPr>
          <w:rFonts w:ascii="Calibri" w:hAnsi="Calibri" w:hint="default"/>
          <w:outline w:val="0"/>
          <w:color w:val="3d4955"/>
          <w:sz w:val="18"/>
          <w:szCs w:val="18"/>
          <w:u w:color="3d4955"/>
          <w:rtl w:val="0"/>
          <w14:textFill>
            <w14:solidFill>
              <w14:srgbClr w14:val="3D4955"/>
            </w14:solidFill>
          </w14:textFill>
        </w:rPr>
        <w:t xml:space="preserve">× </w:t>
      </w:r>
      <w:r>
        <w:rPr>
          <w:rFonts w:ascii="Calibri" w:hAnsi="Calibri"/>
          <w:outline w:val="0"/>
          <w:color w:val="3d4955"/>
          <w:sz w:val="18"/>
          <w:szCs w:val="18"/>
          <w:u w:color="3d4955"/>
          <w:rtl w:val="0"/>
          <w:lang w:val="en-US"/>
          <w14:textFill>
            <w14:solidFill>
              <w14:srgbClr w14:val="3D4955"/>
            </w14:solidFill>
          </w14:textFill>
        </w:rPr>
        <w:t xml:space="preserve">5) scores the same as a likely but minor one (5 </w:t>
      </w:r>
      <w:r>
        <w:rPr>
          <w:rFonts w:ascii="Calibri" w:hAnsi="Calibri" w:hint="default"/>
          <w:outline w:val="0"/>
          <w:color w:val="3d4955"/>
          <w:sz w:val="18"/>
          <w:szCs w:val="18"/>
          <w:u w:color="3d4955"/>
          <w:rtl w:val="0"/>
          <w14:textFill>
            <w14:solidFill>
              <w14:srgbClr w14:val="3D4955"/>
            </w14:solidFill>
          </w14:textFill>
        </w:rPr>
        <w:t xml:space="preserve">× </w:t>
      </w:r>
      <w:r>
        <w:rPr>
          <w:rFonts w:ascii="Calibri" w:hAnsi="Calibri"/>
          <w:outline w:val="0"/>
          <w:color w:val="3d4955"/>
          <w:sz w:val="18"/>
          <w:szCs w:val="18"/>
          <w:u w:color="3d4955"/>
          <w:rtl w:val="0"/>
          <w:lang w:val="en-US"/>
          <w14:textFill>
            <w14:solidFill>
              <w14:srgbClr w14:val="3D4955"/>
            </w14:solidFill>
          </w14:textFill>
        </w:rPr>
        <w:t>1), although a board would treat them very differently (Cox, 2008).</w:t>
      </w:r>
    </w:p>
    <w:sectPr>
      <w:headerReference w:type="default" r:id="rId4"/>
      <w:footerReference w:type="default" r:id="rId5"/>
      <w:pgSz w:w="11900" w:h="16840" w:orient="portrait"/>
      <w:pgMar w:top="720" w:right="850" w:bottom="720" w:left="85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 Bold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">
    <w:name w:val="Heading"/>
    <w:next w:val="Heading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0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2e74b5"/>
      <w:spacing w:val="0"/>
      <w:kern w:val="0"/>
      <w:position w:val="0"/>
      <w:sz w:val="32"/>
      <w:szCs w:val="32"/>
      <w:u w:val="none" w:color="2e74b5"/>
      <w:shd w:val="nil" w:color="auto" w:fill="auto"/>
      <w:vertAlign w:val="baseline"/>
      <w:lang w:val="en-US"/>
      <w14:textOutline>
        <w14:noFill/>
      </w14:textOutline>
      <w14:textFill>
        <w14:solidFill>
          <w14:srgbClr w14:val="2E74B5"/>
        </w14:solidFill>
      </w14:textFill>
    </w:rPr>
  </w:style>
  <w:style w:type="paragraph" w:styleId="Heading 2">
    <w:name w:val="Heading 2"/>
    <w:next w:val="Heading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1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2e74b5"/>
      <w:spacing w:val="0"/>
      <w:kern w:val="0"/>
      <w:position w:val="0"/>
      <w:sz w:val="26"/>
      <w:szCs w:val="26"/>
      <w:u w:val="none" w:color="2e74b5"/>
      <w:shd w:val="nil" w:color="auto" w:fill="auto"/>
      <w:vertAlign w:val="baseline"/>
      <w:lang w:val="en-US"/>
      <w14:textOutline>
        <w14:noFill/>
      </w14:textOutline>
      <w14:textFill>
        <w14:solidFill>
          <w14:srgbClr w14:val="2E74B5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