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BEFD" w14:textId="77777777" w:rsidR="009236C9" w:rsidRPr="00AF6108" w:rsidRDefault="009236C9" w:rsidP="00AF6108">
      <w:pPr>
        <w:pStyle w:val="Title"/>
      </w:pPr>
      <w:bookmarkStart w:id="0" w:name="_Toc213698176"/>
      <w:r w:rsidRPr="00AF6108">
        <w:t>A Critical Analysis of SDGS 3 and 10</w:t>
      </w:r>
      <w:bookmarkEnd w:id="0"/>
    </w:p>
    <w:p w14:paraId="3ED0D31E" w14:textId="77777777" w:rsidR="009236C9" w:rsidRDefault="009236C9" w:rsidP="009236C9">
      <w:pPr>
        <w:pStyle w:val="NormalWeb"/>
        <w:rPr>
          <w:color w:val="000000"/>
        </w:rPr>
      </w:pPr>
      <w:r>
        <w:rPr>
          <w:color w:val="000000"/>
        </w:rPr>
        <w:t>Tackling UK Health Inequalities via Global, National, and Local Efforts</w:t>
      </w:r>
    </w:p>
    <w:p w14:paraId="231C058B" w14:textId="77777777" w:rsidR="009D48AF" w:rsidRDefault="009D48AF" w:rsidP="009236C9">
      <w:pPr>
        <w:pStyle w:val="NormalWeb"/>
        <w:rPr>
          <w:color w:val="000000"/>
        </w:rPr>
      </w:pPr>
    </w:p>
    <w:p w14:paraId="6FAD3100" w14:textId="77777777" w:rsidR="009D48AF" w:rsidRDefault="009D48AF" w:rsidP="009236C9">
      <w:pPr>
        <w:pStyle w:val="NormalWeb"/>
        <w:rPr>
          <w:color w:val="000000"/>
        </w:rPr>
      </w:pPr>
    </w:p>
    <w:p w14:paraId="76F92104" w14:textId="77777777" w:rsidR="009D48AF" w:rsidRDefault="009D48AF" w:rsidP="009236C9">
      <w:pPr>
        <w:pStyle w:val="NormalWeb"/>
        <w:rPr>
          <w:color w:val="000000"/>
        </w:rPr>
      </w:pPr>
    </w:p>
    <w:p w14:paraId="1CE9D7E2" w14:textId="77777777" w:rsidR="004B7E54" w:rsidRDefault="004B7E54" w:rsidP="009236C9">
      <w:pPr>
        <w:pStyle w:val="NormalWeb"/>
        <w:rPr>
          <w:color w:val="000000"/>
        </w:rPr>
      </w:pPr>
    </w:p>
    <w:p w14:paraId="26416BEC" w14:textId="77777777" w:rsidR="004B7E54" w:rsidRDefault="004B7E54" w:rsidP="009236C9">
      <w:pPr>
        <w:pStyle w:val="NormalWeb"/>
        <w:rPr>
          <w:color w:val="000000"/>
        </w:rPr>
      </w:pPr>
    </w:p>
    <w:p w14:paraId="48FCD2D3" w14:textId="77777777" w:rsidR="004B7E54" w:rsidRDefault="004B7E54" w:rsidP="009236C9">
      <w:pPr>
        <w:pStyle w:val="NormalWeb"/>
        <w:rPr>
          <w:color w:val="000000"/>
        </w:rPr>
      </w:pPr>
    </w:p>
    <w:p w14:paraId="356EC6CB" w14:textId="77777777" w:rsidR="004B7E54" w:rsidRDefault="004B7E54" w:rsidP="009236C9">
      <w:pPr>
        <w:pStyle w:val="NormalWeb"/>
        <w:rPr>
          <w:color w:val="000000"/>
        </w:rPr>
      </w:pPr>
    </w:p>
    <w:p w14:paraId="6799B5A9" w14:textId="77777777" w:rsidR="009D48AF" w:rsidRDefault="009D48AF" w:rsidP="009236C9">
      <w:pPr>
        <w:pStyle w:val="NormalWeb"/>
        <w:rPr>
          <w:color w:val="000000"/>
        </w:rPr>
      </w:pPr>
    </w:p>
    <w:p w14:paraId="0416F5C0" w14:textId="77777777" w:rsidR="009D48AF" w:rsidRDefault="009D48AF" w:rsidP="009236C9">
      <w:pPr>
        <w:pStyle w:val="NormalWeb"/>
        <w:rPr>
          <w:color w:val="000000"/>
        </w:rPr>
      </w:pPr>
    </w:p>
    <w:p w14:paraId="17065D98" w14:textId="77777777" w:rsidR="009D48AF" w:rsidRDefault="009D48AF" w:rsidP="009236C9">
      <w:pPr>
        <w:pStyle w:val="NormalWeb"/>
        <w:rPr>
          <w:color w:val="000000"/>
        </w:rPr>
      </w:pPr>
    </w:p>
    <w:p w14:paraId="692FE2E6" w14:textId="77777777" w:rsidR="009D48AF" w:rsidRDefault="009D48AF" w:rsidP="009236C9">
      <w:pPr>
        <w:pStyle w:val="NormalWeb"/>
        <w:rPr>
          <w:color w:val="000000"/>
        </w:rPr>
      </w:pPr>
    </w:p>
    <w:p w14:paraId="104ECD29" w14:textId="77777777" w:rsidR="009D48AF" w:rsidRDefault="009D48AF" w:rsidP="009236C9">
      <w:pPr>
        <w:pStyle w:val="NormalWeb"/>
        <w:rPr>
          <w:color w:val="000000"/>
        </w:rPr>
      </w:pPr>
    </w:p>
    <w:p w14:paraId="2A44464F" w14:textId="77777777" w:rsidR="009D48AF" w:rsidRDefault="009D48AF" w:rsidP="009236C9">
      <w:pPr>
        <w:pStyle w:val="NormalWeb"/>
        <w:rPr>
          <w:color w:val="000000"/>
        </w:rPr>
      </w:pPr>
    </w:p>
    <w:p w14:paraId="6A101904" w14:textId="77777777" w:rsidR="009D48AF" w:rsidRDefault="009D48AF" w:rsidP="009236C9">
      <w:pPr>
        <w:pStyle w:val="NormalWeb"/>
        <w:rPr>
          <w:color w:val="000000"/>
        </w:rPr>
      </w:pPr>
    </w:p>
    <w:p w14:paraId="412D9400" w14:textId="77777777" w:rsidR="009D48AF" w:rsidRDefault="009D48AF" w:rsidP="009236C9">
      <w:pPr>
        <w:pStyle w:val="NormalWeb"/>
        <w:rPr>
          <w:color w:val="000000"/>
        </w:rPr>
      </w:pPr>
    </w:p>
    <w:p w14:paraId="160413D1" w14:textId="77777777" w:rsidR="009D48AF" w:rsidRDefault="009D48AF" w:rsidP="009236C9">
      <w:pPr>
        <w:pStyle w:val="NormalWeb"/>
        <w:rPr>
          <w:color w:val="000000"/>
        </w:rPr>
      </w:pPr>
    </w:p>
    <w:p w14:paraId="7A31C72D" w14:textId="77777777" w:rsidR="009D48AF" w:rsidRDefault="009D48AF" w:rsidP="009236C9">
      <w:pPr>
        <w:pStyle w:val="NormalWeb"/>
        <w:rPr>
          <w:color w:val="000000"/>
        </w:rPr>
      </w:pPr>
    </w:p>
    <w:p w14:paraId="3CE5E8D9" w14:textId="77777777" w:rsidR="00441A9A" w:rsidRPr="00227CAE" w:rsidRDefault="00441A9A" w:rsidP="00441A9A">
      <w:pPr>
        <w:pStyle w:val="NormalWeb"/>
        <w:rPr>
          <w:rFonts w:ascii="Arial" w:hAnsi="Arial" w:cs="Arial"/>
          <w:b/>
          <w:bCs/>
          <w:color w:val="000000"/>
        </w:rPr>
      </w:pPr>
      <w:r w:rsidRPr="00227CAE">
        <w:rPr>
          <w:rFonts w:ascii="Arial" w:hAnsi="Arial" w:cs="Arial"/>
          <w:b/>
          <w:bCs/>
          <w:color w:val="000000"/>
        </w:rPr>
        <w:t xml:space="preserve">ELA NANA AFIA SAKYIBEA </w:t>
      </w:r>
    </w:p>
    <w:p w14:paraId="5B2297E9" w14:textId="77777777" w:rsidR="00441A9A" w:rsidRPr="00227CAE" w:rsidRDefault="00441A9A" w:rsidP="00441A9A">
      <w:pPr>
        <w:pStyle w:val="NormalWeb"/>
        <w:rPr>
          <w:rFonts w:ascii="Arial" w:hAnsi="Arial" w:cs="Arial"/>
          <w:color w:val="000000"/>
        </w:rPr>
      </w:pPr>
      <w:r w:rsidRPr="00227CAE">
        <w:rPr>
          <w:rFonts w:ascii="Arial" w:hAnsi="Arial" w:cs="Arial"/>
          <w:color w:val="000000"/>
        </w:rPr>
        <w:t>UNIVERSITY OF WALES TRINITY SAINT DAVID</w:t>
      </w:r>
    </w:p>
    <w:p w14:paraId="05DEE1E0" w14:textId="08E526BF" w:rsidR="009D48AF" w:rsidRPr="00227CAE" w:rsidRDefault="00441A9A" w:rsidP="00441A9A">
      <w:pPr>
        <w:pStyle w:val="NormalWeb"/>
        <w:rPr>
          <w:rFonts w:ascii="Arial" w:hAnsi="Arial" w:cs="Arial"/>
          <w:color w:val="000000"/>
        </w:rPr>
      </w:pPr>
      <w:r w:rsidRPr="00227CAE">
        <w:rPr>
          <w:rFonts w:ascii="Arial" w:hAnsi="Arial" w:cs="Arial"/>
          <w:b/>
          <w:bCs/>
          <w:color w:val="000000"/>
        </w:rPr>
        <w:t>Parese Ahmed</w:t>
      </w:r>
      <w:r w:rsidRPr="00227CAE">
        <w:rPr>
          <w:rFonts w:ascii="Arial" w:hAnsi="Arial" w:cs="Arial"/>
          <w:color w:val="000000"/>
        </w:rPr>
        <w:t xml:space="preserve"> </w:t>
      </w:r>
      <w:proofErr w:type="gramStart"/>
      <w:r w:rsidRPr="00227CAE">
        <w:rPr>
          <w:rFonts w:ascii="Arial" w:hAnsi="Arial" w:cs="Arial"/>
          <w:color w:val="000000"/>
        </w:rPr>
        <w:t>-  BMHP</w:t>
      </w:r>
      <w:proofErr w:type="gramEnd"/>
      <w:r w:rsidRPr="00227CAE">
        <w:rPr>
          <w:rFonts w:ascii="Arial" w:hAnsi="Arial" w:cs="Arial"/>
          <w:color w:val="000000"/>
        </w:rPr>
        <w:t>6030</w:t>
      </w:r>
    </w:p>
    <w:p w14:paraId="600A7B8C" w14:textId="77777777" w:rsidR="009D48AF" w:rsidRDefault="009D48AF" w:rsidP="009236C9">
      <w:pPr>
        <w:pStyle w:val="NormalWeb"/>
        <w:rPr>
          <w:color w:val="000000"/>
        </w:rPr>
      </w:pPr>
    </w:p>
    <w:p w14:paraId="68298238" w14:textId="77777777" w:rsidR="009D48AF" w:rsidRDefault="009D48AF" w:rsidP="009236C9">
      <w:pPr>
        <w:pStyle w:val="NormalWeb"/>
        <w:rPr>
          <w:color w:val="000000"/>
        </w:rPr>
      </w:pPr>
    </w:p>
    <w:p w14:paraId="09505E0B" w14:textId="77777777" w:rsidR="009D48AF" w:rsidRDefault="009D48AF" w:rsidP="009236C9">
      <w:pPr>
        <w:pStyle w:val="NormalWeb"/>
        <w:rPr>
          <w:color w:val="000000"/>
        </w:rPr>
      </w:pPr>
    </w:p>
    <w:p w14:paraId="5B32D249" w14:textId="77777777" w:rsidR="009D48AF" w:rsidRDefault="009D48AF" w:rsidP="009236C9">
      <w:pPr>
        <w:pStyle w:val="NormalWeb"/>
        <w:rPr>
          <w:color w:val="000000"/>
        </w:rPr>
      </w:pPr>
    </w:p>
    <w:p w14:paraId="4D4C29D0" w14:textId="77777777" w:rsidR="009D48AF" w:rsidRDefault="009D48AF" w:rsidP="009236C9">
      <w:pPr>
        <w:pStyle w:val="NormalWeb"/>
        <w:rPr>
          <w:color w:val="000000"/>
        </w:rPr>
      </w:pPr>
    </w:p>
    <w:p w14:paraId="035C94F1" w14:textId="77777777" w:rsidR="009D48AF" w:rsidRDefault="009D48AF" w:rsidP="009236C9">
      <w:pPr>
        <w:pStyle w:val="NormalWeb"/>
        <w:rPr>
          <w:color w:val="000000"/>
        </w:rPr>
      </w:pPr>
    </w:p>
    <w:sdt>
      <w:sdtPr>
        <w:id w:val="1356157776"/>
        <w:docPartObj>
          <w:docPartGallery w:val="Table of Contents"/>
          <w:docPartUnique/>
        </w:docPartObj>
      </w:sdtPr>
      <w:sdtEndPr>
        <w:rPr>
          <w:rFonts w:ascii="Arial" w:eastAsiaTheme="minorHAnsi" w:hAnsi="Arial" w:cs="Arial"/>
          <w:noProof/>
          <w:color w:val="auto"/>
          <w:kern w:val="2"/>
          <w:sz w:val="22"/>
          <w:szCs w:val="24"/>
          <w:lang w:val="en-GB"/>
          <w14:ligatures w14:val="standardContextual"/>
        </w:rPr>
      </w:sdtEndPr>
      <w:sdtContent>
        <w:p w14:paraId="33DB00A8" w14:textId="24994EA6" w:rsidR="00AF6108" w:rsidRDefault="00AF6108">
          <w:pPr>
            <w:pStyle w:val="TOCHeading"/>
          </w:pPr>
          <w:r>
            <w:t>Table of Contents</w:t>
          </w:r>
        </w:p>
        <w:p w14:paraId="32A04E5F" w14:textId="3AD10E32" w:rsidR="00416472" w:rsidRDefault="00AF6108">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3701497" w:history="1">
            <w:r w:rsidR="00416472" w:rsidRPr="00EF5793">
              <w:rPr>
                <w:rStyle w:val="Hyperlink"/>
                <w:noProof/>
              </w:rPr>
              <w:t>1. Introduction</w:t>
            </w:r>
            <w:r w:rsidR="00416472">
              <w:rPr>
                <w:noProof/>
                <w:webHidden/>
              </w:rPr>
              <w:tab/>
            </w:r>
            <w:r w:rsidR="00416472">
              <w:rPr>
                <w:noProof/>
                <w:webHidden/>
              </w:rPr>
              <w:fldChar w:fldCharType="begin"/>
            </w:r>
            <w:r w:rsidR="00416472">
              <w:rPr>
                <w:noProof/>
                <w:webHidden/>
              </w:rPr>
              <w:instrText xml:space="preserve"> PAGEREF _Toc213701497 \h </w:instrText>
            </w:r>
            <w:r w:rsidR="00416472">
              <w:rPr>
                <w:noProof/>
                <w:webHidden/>
              </w:rPr>
            </w:r>
            <w:r w:rsidR="00416472">
              <w:rPr>
                <w:noProof/>
                <w:webHidden/>
              </w:rPr>
              <w:fldChar w:fldCharType="separate"/>
            </w:r>
            <w:r w:rsidR="00416472">
              <w:rPr>
                <w:noProof/>
                <w:webHidden/>
              </w:rPr>
              <w:t>2</w:t>
            </w:r>
            <w:r w:rsidR="00416472">
              <w:rPr>
                <w:noProof/>
                <w:webHidden/>
              </w:rPr>
              <w:fldChar w:fldCharType="end"/>
            </w:r>
          </w:hyperlink>
        </w:p>
        <w:p w14:paraId="4AEB703F" w14:textId="6CBD355C" w:rsidR="00416472" w:rsidRDefault="00416472">
          <w:pPr>
            <w:pStyle w:val="TOC2"/>
            <w:tabs>
              <w:tab w:val="right" w:leader="dot" w:pos="9016"/>
            </w:tabs>
            <w:rPr>
              <w:rFonts w:eastAsiaTheme="minorEastAsia" w:cstheme="minorBidi"/>
              <w:b w:val="0"/>
              <w:bCs w:val="0"/>
              <w:noProof/>
              <w:sz w:val="24"/>
              <w:szCs w:val="24"/>
              <w:lang w:eastAsia="en-GB"/>
            </w:rPr>
          </w:pPr>
          <w:hyperlink w:anchor="_Toc213701498" w:history="1">
            <w:r w:rsidRPr="00EF5793">
              <w:rPr>
                <w:rStyle w:val="Hyperlink"/>
                <w:noProof/>
              </w:rPr>
              <w:t>2. SDG 3 – Good Health and Well-being</w:t>
            </w:r>
            <w:r>
              <w:rPr>
                <w:noProof/>
                <w:webHidden/>
              </w:rPr>
              <w:tab/>
            </w:r>
            <w:r>
              <w:rPr>
                <w:noProof/>
                <w:webHidden/>
              </w:rPr>
              <w:fldChar w:fldCharType="begin"/>
            </w:r>
            <w:r>
              <w:rPr>
                <w:noProof/>
                <w:webHidden/>
              </w:rPr>
              <w:instrText xml:space="preserve"> PAGEREF _Toc213701498 \h </w:instrText>
            </w:r>
            <w:r>
              <w:rPr>
                <w:noProof/>
                <w:webHidden/>
              </w:rPr>
            </w:r>
            <w:r>
              <w:rPr>
                <w:noProof/>
                <w:webHidden/>
              </w:rPr>
              <w:fldChar w:fldCharType="separate"/>
            </w:r>
            <w:r>
              <w:rPr>
                <w:noProof/>
                <w:webHidden/>
              </w:rPr>
              <w:t>2</w:t>
            </w:r>
            <w:r>
              <w:rPr>
                <w:noProof/>
                <w:webHidden/>
              </w:rPr>
              <w:fldChar w:fldCharType="end"/>
            </w:r>
          </w:hyperlink>
        </w:p>
        <w:p w14:paraId="453E03A4" w14:textId="04B6CF45" w:rsidR="00416472" w:rsidRDefault="00416472">
          <w:pPr>
            <w:pStyle w:val="TOC3"/>
            <w:tabs>
              <w:tab w:val="right" w:leader="dot" w:pos="9016"/>
            </w:tabs>
            <w:rPr>
              <w:rFonts w:eastAsiaTheme="minorEastAsia" w:cstheme="minorBidi"/>
              <w:noProof/>
              <w:sz w:val="24"/>
              <w:szCs w:val="24"/>
              <w:lang w:eastAsia="en-GB"/>
            </w:rPr>
          </w:pPr>
          <w:hyperlink w:anchor="_Toc213701499" w:history="1">
            <w:r w:rsidRPr="00EF5793">
              <w:rPr>
                <w:rStyle w:val="Hyperlink"/>
                <w:noProof/>
              </w:rPr>
              <w:t>Global Level</w:t>
            </w:r>
            <w:r>
              <w:rPr>
                <w:noProof/>
                <w:webHidden/>
              </w:rPr>
              <w:tab/>
            </w:r>
            <w:r>
              <w:rPr>
                <w:noProof/>
                <w:webHidden/>
              </w:rPr>
              <w:fldChar w:fldCharType="begin"/>
            </w:r>
            <w:r>
              <w:rPr>
                <w:noProof/>
                <w:webHidden/>
              </w:rPr>
              <w:instrText xml:space="preserve"> PAGEREF _Toc213701499 \h </w:instrText>
            </w:r>
            <w:r>
              <w:rPr>
                <w:noProof/>
                <w:webHidden/>
              </w:rPr>
            </w:r>
            <w:r>
              <w:rPr>
                <w:noProof/>
                <w:webHidden/>
              </w:rPr>
              <w:fldChar w:fldCharType="separate"/>
            </w:r>
            <w:r>
              <w:rPr>
                <w:noProof/>
                <w:webHidden/>
              </w:rPr>
              <w:t>2</w:t>
            </w:r>
            <w:r>
              <w:rPr>
                <w:noProof/>
                <w:webHidden/>
              </w:rPr>
              <w:fldChar w:fldCharType="end"/>
            </w:r>
          </w:hyperlink>
        </w:p>
        <w:p w14:paraId="771E93D9" w14:textId="77F07F55" w:rsidR="00416472" w:rsidRDefault="00416472">
          <w:pPr>
            <w:pStyle w:val="TOC3"/>
            <w:tabs>
              <w:tab w:val="right" w:leader="dot" w:pos="9016"/>
            </w:tabs>
            <w:rPr>
              <w:rFonts w:eastAsiaTheme="minorEastAsia" w:cstheme="minorBidi"/>
              <w:noProof/>
              <w:sz w:val="24"/>
              <w:szCs w:val="24"/>
              <w:lang w:eastAsia="en-GB"/>
            </w:rPr>
          </w:pPr>
          <w:hyperlink w:anchor="_Toc213701500" w:history="1">
            <w:r w:rsidRPr="00EF5793">
              <w:rPr>
                <w:rStyle w:val="Hyperlink"/>
                <w:noProof/>
              </w:rPr>
              <w:t>National Level – The United Kingdom</w:t>
            </w:r>
            <w:r>
              <w:rPr>
                <w:noProof/>
                <w:webHidden/>
              </w:rPr>
              <w:tab/>
            </w:r>
            <w:r>
              <w:rPr>
                <w:noProof/>
                <w:webHidden/>
              </w:rPr>
              <w:fldChar w:fldCharType="begin"/>
            </w:r>
            <w:r>
              <w:rPr>
                <w:noProof/>
                <w:webHidden/>
              </w:rPr>
              <w:instrText xml:space="preserve"> PAGEREF _Toc213701500 \h </w:instrText>
            </w:r>
            <w:r>
              <w:rPr>
                <w:noProof/>
                <w:webHidden/>
              </w:rPr>
            </w:r>
            <w:r>
              <w:rPr>
                <w:noProof/>
                <w:webHidden/>
              </w:rPr>
              <w:fldChar w:fldCharType="separate"/>
            </w:r>
            <w:r>
              <w:rPr>
                <w:noProof/>
                <w:webHidden/>
              </w:rPr>
              <w:t>3</w:t>
            </w:r>
            <w:r>
              <w:rPr>
                <w:noProof/>
                <w:webHidden/>
              </w:rPr>
              <w:fldChar w:fldCharType="end"/>
            </w:r>
          </w:hyperlink>
        </w:p>
        <w:p w14:paraId="6B1AF3E6" w14:textId="3CB5BDEA" w:rsidR="00416472" w:rsidRDefault="00416472">
          <w:pPr>
            <w:pStyle w:val="TOC3"/>
            <w:tabs>
              <w:tab w:val="right" w:leader="dot" w:pos="9016"/>
            </w:tabs>
            <w:rPr>
              <w:rFonts w:eastAsiaTheme="minorEastAsia" w:cstheme="minorBidi"/>
              <w:noProof/>
              <w:sz w:val="24"/>
              <w:szCs w:val="24"/>
              <w:lang w:eastAsia="en-GB"/>
            </w:rPr>
          </w:pPr>
          <w:hyperlink w:anchor="_Toc213701501" w:history="1">
            <w:r w:rsidRPr="00EF5793">
              <w:rPr>
                <w:rStyle w:val="Hyperlink"/>
                <w:noProof/>
              </w:rPr>
              <w:t>Local Level – Birmingham and the West Midlands</w:t>
            </w:r>
            <w:r>
              <w:rPr>
                <w:noProof/>
                <w:webHidden/>
              </w:rPr>
              <w:tab/>
            </w:r>
            <w:r>
              <w:rPr>
                <w:noProof/>
                <w:webHidden/>
              </w:rPr>
              <w:fldChar w:fldCharType="begin"/>
            </w:r>
            <w:r>
              <w:rPr>
                <w:noProof/>
                <w:webHidden/>
              </w:rPr>
              <w:instrText xml:space="preserve"> PAGEREF _Toc213701501 \h </w:instrText>
            </w:r>
            <w:r>
              <w:rPr>
                <w:noProof/>
                <w:webHidden/>
              </w:rPr>
            </w:r>
            <w:r>
              <w:rPr>
                <w:noProof/>
                <w:webHidden/>
              </w:rPr>
              <w:fldChar w:fldCharType="separate"/>
            </w:r>
            <w:r>
              <w:rPr>
                <w:noProof/>
                <w:webHidden/>
              </w:rPr>
              <w:t>4</w:t>
            </w:r>
            <w:r>
              <w:rPr>
                <w:noProof/>
                <w:webHidden/>
              </w:rPr>
              <w:fldChar w:fldCharType="end"/>
            </w:r>
          </w:hyperlink>
        </w:p>
        <w:p w14:paraId="040BB95E" w14:textId="73971179" w:rsidR="00416472" w:rsidRDefault="00416472">
          <w:pPr>
            <w:pStyle w:val="TOC2"/>
            <w:tabs>
              <w:tab w:val="right" w:leader="dot" w:pos="9016"/>
            </w:tabs>
            <w:rPr>
              <w:rFonts w:eastAsiaTheme="minorEastAsia" w:cstheme="minorBidi"/>
              <w:b w:val="0"/>
              <w:bCs w:val="0"/>
              <w:noProof/>
              <w:sz w:val="24"/>
              <w:szCs w:val="24"/>
              <w:lang w:eastAsia="en-GB"/>
            </w:rPr>
          </w:pPr>
          <w:hyperlink w:anchor="_Toc213701502" w:history="1">
            <w:r w:rsidRPr="00EF5793">
              <w:rPr>
                <w:rStyle w:val="Hyperlink"/>
                <w:noProof/>
              </w:rPr>
              <w:t>3. SDG 10 – Reduced Inequalities</w:t>
            </w:r>
            <w:r>
              <w:rPr>
                <w:noProof/>
                <w:webHidden/>
              </w:rPr>
              <w:tab/>
            </w:r>
            <w:r>
              <w:rPr>
                <w:noProof/>
                <w:webHidden/>
              </w:rPr>
              <w:fldChar w:fldCharType="begin"/>
            </w:r>
            <w:r>
              <w:rPr>
                <w:noProof/>
                <w:webHidden/>
              </w:rPr>
              <w:instrText xml:space="preserve"> PAGEREF _Toc213701502 \h </w:instrText>
            </w:r>
            <w:r>
              <w:rPr>
                <w:noProof/>
                <w:webHidden/>
              </w:rPr>
            </w:r>
            <w:r>
              <w:rPr>
                <w:noProof/>
                <w:webHidden/>
              </w:rPr>
              <w:fldChar w:fldCharType="separate"/>
            </w:r>
            <w:r>
              <w:rPr>
                <w:noProof/>
                <w:webHidden/>
              </w:rPr>
              <w:t>4</w:t>
            </w:r>
            <w:r>
              <w:rPr>
                <w:noProof/>
                <w:webHidden/>
              </w:rPr>
              <w:fldChar w:fldCharType="end"/>
            </w:r>
          </w:hyperlink>
        </w:p>
        <w:p w14:paraId="50D2F389" w14:textId="0C94C9B3" w:rsidR="00416472" w:rsidRDefault="00416472">
          <w:pPr>
            <w:pStyle w:val="TOC3"/>
            <w:tabs>
              <w:tab w:val="right" w:leader="dot" w:pos="9016"/>
            </w:tabs>
            <w:rPr>
              <w:rFonts w:eastAsiaTheme="minorEastAsia" w:cstheme="minorBidi"/>
              <w:noProof/>
              <w:sz w:val="24"/>
              <w:szCs w:val="24"/>
              <w:lang w:eastAsia="en-GB"/>
            </w:rPr>
          </w:pPr>
          <w:hyperlink w:anchor="_Toc213701503" w:history="1">
            <w:r w:rsidRPr="00EF5793">
              <w:rPr>
                <w:rStyle w:val="Hyperlink"/>
                <w:noProof/>
              </w:rPr>
              <w:t>Global Level</w:t>
            </w:r>
            <w:r>
              <w:rPr>
                <w:noProof/>
                <w:webHidden/>
              </w:rPr>
              <w:tab/>
            </w:r>
            <w:r>
              <w:rPr>
                <w:noProof/>
                <w:webHidden/>
              </w:rPr>
              <w:fldChar w:fldCharType="begin"/>
            </w:r>
            <w:r>
              <w:rPr>
                <w:noProof/>
                <w:webHidden/>
              </w:rPr>
              <w:instrText xml:space="preserve"> PAGEREF _Toc213701503 \h </w:instrText>
            </w:r>
            <w:r>
              <w:rPr>
                <w:noProof/>
                <w:webHidden/>
              </w:rPr>
            </w:r>
            <w:r>
              <w:rPr>
                <w:noProof/>
                <w:webHidden/>
              </w:rPr>
              <w:fldChar w:fldCharType="separate"/>
            </w:r>
            <w:r>
              <w:rPr>
                <w:noProof/>
                <w:webHidden/>
              </w:rPr>
              <w:t>5</w:t>
            </w:r>
            <w:r>
              <w:rPr>
                <w:noProof/>
                <w:webHidden/>
              </w:rPr>
              <w:fldChar w:fldCharType="end"/>
            </w:r>
          </w:hyperlink>
        </w:p>
        <w:p w14:paraId="47D5A4F0" w14:textId="07237F34" w:rsidR="00416472" w:rsidRDefault="00416472">
          <w:pPr>
            <w:pStyle w:val="TOC3"/>
            <w:tabs>
              <w:tab w:val="right" w:leader="dot" w:pos="9016"/>
            </w:tabs>
            <w:rPr>
              <w:rFonts w:eastAsiaTheme="minorEastAsia" w:cstheme="minorBidi"/>
              <w:noProof/>
              <w:sz w:val="24"/>
              <w:szCs w:val="24"/>
              <w:lang w:eastAsia="en-GB"/>
            </w:rPr>
          </w:pPr>
          <w:hyperlink w:anchor="_Toc213701504" w:history="1">
            <w:r w:rsidRPr="00EF5793">
              <w:rPr>
                <w:rStyle w:val="Hyperlink"/>
                <w:noProof/>
              </w:rPr>
              <w:t>National Level – The United Kingdom</w:t>
            </w:r>
            <w:r>
              <w:rPr>
                <w:noProof/>
                <w:webHidden/>
              </w:rPr>
              <w:tab/>
            </w:r>
            <w:r>
              <w:rPr>
                <w:noProof/>
                <w:webHidden/>
              </w:rPr>
              <w:fldChar w:fldCharType="begin"/>
            </w:r>
            <w:r>
              <w:rPr>
                <w:noProof/>
                <w:webHidden/>
              </w:rPr>
              <w:instrText xml:space="preserve"> PAGEREF _Toc213701504 \h </w:instrText>
            </w:r>
            <w:r>
              <w:rPr>
                <w:noProof/>
                <w:webHidden/>
              </w:rPr>
            </w:r>
            <w:r>
              <w:rPr>
                <w:noProof/>
                <w:webHidden/>
              </w:rPr>
              <w:fldChar w:fldCharType="separate"/>
            </w:r>
            <w:r>
              <w:rPr>
                <w:noProof/>
                <w:webHidden/>
              </w:rPr>
              <w:t>5</w:t>
            </w:r>
            <w:r>
              <w:rPr>
                <w:noProof/>
                <w:webHidden/>
              </w:rPr>
              <w:fldChar w:fldCharType="end"/>
            </w:r>
          </w:hyperlink>
        </w:p>
        <w:p w14:paraId="6A2560AE" w14:textId="0B4D170F" w:rsidR="00416472" w:rsidRDefault="00416472">
          <w:pPr>
            <w:pStyle w:val="TOC3"/>
            <w:tabs>
              <w:tab w:val="right" w:leader="dot" w:pos="9016"/>
            </w:tabs>
            <w:rPr>
              <w:rFonts w:eastAsiaTheme="minorEastAsia" w:cstheme="minorBidi"/>
              <w:noProof/>
              <w:sz w:val="24"/>
              <w:szCs w:val="24"/>
              <w:lang w:eastAsia="en-GB"/>
            </w:rPr>
          </w:pPr>
          <w:hyperlink w:anchor="_Toc213701505" w:history="1">
            <w:r w:rsidRPr="00EF5793">
              <w:rPr>
                <w:rStyle w:val="Hyperlink"/>
                <w:noProof/>
              </w:rPr>
              <w:t>Local Level – Birmingham</w:t>
            </w:r>
            <w:r>
              <w:rPr>
                <w:noProof/>
                <w:webHidden/>
              </w:rPr>
              <w:tab/>
            </w:r>
            <w:r>
              <w:rPr>
                <w:noProof/>
                <w:webHidden/>
              </w:rPr>
              <w:fldChar w:fldCharType="begin"/>
            </w:r>
            <w:r>
              <w:rPr>
                <w:noProof/>
                <w:webHidden/>
              </w:rPr>
              <w:instrText xml:space="preserve"> PAGEREF _Toc213701505 \h </w:instrText>
            </w:r>
            <w:r>
              <w:rPr>
                <w:noProof/>
                <w:webHidden/>
              </w:rPr>
            </w:r>
            <w:r>
              <w:rPr>
                <w:noProof/>
                <w:webHidden/>
              </w:rPr>
              <w:fldChar w:fldCharType="separate"/>
            </w:r>
            <w:r>
              <w:rPr>
                <w:noProof/>
                <w:webHidden/>
              </w:rPr>
              <w:t>6</w:t>
            </w:r>
            <w:r>
              <w:rPr>
                <w:noProof/>
                <w:webHidden/>
              </w:rPr>
              <w:fldChar w:fldCharType="end"/>
            </w:r>
          </w:hyperlink>
        </w:p>
        <w:p w14:paraId="36FAD6B7" w14:textId="1AD585B8" w:rsidR="00416472" w:rsidRDefault="00416472">
          <w:pPr>
            <w:pStyle w:val="TOC3"/>
            <w:tabs>
              <w:tab w:val="right" w:leader="dot" w:pos="9016"/>
            </w:tabs>
            <w:rPr>
              <w:rFonts w:eastAsiaTheme="minorEastAsia" w:cstheme="minorBidi"/>
              <w:noProof/>
              <w:sz w:val="24"/>
              <w:szCs w:val="24"/>
              <w:lang w:eastAsia="en-GB"/>
            </w:rPr>
          </w:pPr>
          <w:hyperlink w:anchor="_Toc213701506" w:history="1">
            <w:r w:rsidRPr="00EF5793">
              <w:rPr>
                <w:rStyle w:val="Hyperlink"/>
                <w:noProof/>
              </w:rPr>
              <w:t>Theory and Model Integration</w:t>
            </w:r>
            <w:r>
              <w:rPr>
                <w:noProof/>
                <w:webHidden/>
              </w:rPr>
              <w:tab/>
            </w:r>
            <w:r>
              <w:rPr>
                <w:noProof/>
                <w:webHidden/>
              </w:rPr>
              <w:fldChar w:fldCharType="begin"/>
            </w:r>
            <w:r>
              <w:rPr>
                <w:noProof/>
                <w:webHidden/>
              </w:rPr>
              <w:instrText xml:space="preserve"> PAGEREF _Toc213701506 \h </w:instrText>
            </w:r>
            <w:r>
              <w:rPr>
                <w:noProof/>
                <w:webHidden/>
              </w:rPr>
            </w:r>
            <w:r>
              <w:rPr>
                <w:noProof/>
                <w:webHidden/>
              </w:rPr>
              <w:fldChar w:fldCharType="separate"/>
            </w:r>
            <w:r>
              <w:rPr>
                <w:noProof/>
                <w:webHidden/>
              </w:rPr>
              <w:t>6</w:t>
            </w:r>
            <w:r>
              <w:rPr>
                <w:noProof/>
                <w:webHidden/>
              </w:rPr>
              <w:fldChar w:fldCharType="end"/>
            </w:r>
          </w:hyperlink>
        </w:p>
        <w:p w14:paraId="500C0CB6" w14:textId="65A6D76C" w:rsidR="00416472" w:rsidRDefault="00416472">
          <w:pPr>
            <w:pStyle w:val="TOC2"/>
            <w:tabs>
              <w:tab w:val="right" w:leader="dot" w:pos="9016"/>
            </w:tabs>
            <w:rPr>
              <w:rFonts w:eastAsiaTheme="minorEastAsia" w:cstheme="minorBidi"/>
              <w:b w:val="0"/>
              <w:bCs w:val="0"/>
              <w:noProof/>
              <w:sz w:val="24"/>
              <w:szCs w:val="24"/>
              <w:lang w:eastAsia="en-GB"/>
            </w:rPr>
          </w:pPr>
          <w:hyperlink w:anchor="_Toc213701507" w:history="1">
            <w:r w:rsidRPr="00EF5793">
              <w:rPr>
                <w:rStyle w:val="Hyperlink"/>
                <w:noProof/>
              </w:rPr>
              <w:t>4. Enhanced Critical Evaluation and Synthesis</w:t>
            </w:r>
            <w:r>
              <w:rPr>
                <w:noProof/>
                <w:webHidden/>
              </w:rPr>
              <w:tab/>
            </w:r>
            <w:r>
              <w:rPr>
                <w:noProof/>
                <w:webHidden/>
              </w:rPr>
              <w:fldChar w:fldCharType="begin"/>
            </w:r>
            <w:r>
              <w:rPr>
                <w:noProof/>
                <w:webHidden/>
              </w:rPr>
              <w:instrText xml:space="preserve"> PAGEREF _Toc213701507 \h </w:instrText>
            </w:r>
            <w:r>
              <w:rPr>
                <w:noProof/>
                <w:webHidden/>
              </w:rPr>
            </w:r>
            <w:r>
              <w:rPr>
                <w:noProof/>
                <w:webHidden/>
              </w:rPr>
              <w:fldChar w:fldCharType="separate"/>
            </w:r>
            <w:r>
              <w:rPr>
                <w:noProof/>
                <w:webHidden/>
              </w:rPr>
              <w:t>7</w:t>
            </w:r>
            <w:r>
              <w:rPr>
                <w:noProof/>
                <w:webHidden/>
              </w:rPr>
              <w:fldChar w:fldCharType="end"/>
            </w:r>
          </w:hyperlink>
        </w:p>
        <w:p w14:paraId="795080F9" w14:textId="2ADC70DE" w:rsidR="00416472" w:rsidRDefault="00416472">
          <w:pPr>
            <w:pStyle w:val="TOC3"/>
            <w:tabs>
              <w:tab w:val="right" w:leader="dot" w:pos="9016"/>
            </w:tabs>
            <w:rPr>
              <w:rFonts w:eastAsiaTheme="minorEastAsia" w:cstheme="minorBidi"/>
              <w:noProof/>
              <w:sz w:val="24"/>
              <w:szCs w:val="24"/>
              <w:lang w:eastAsia="en-GB"/>
            </w:rPr>
          </w:pPr>
          <w:hyperlink w:anchor="_Toc213701508" w:history="1">
            <w:r w:rsidRPr="00EF5793">
              <w:rPr>
                <w:rStyle w:val="Hyperlink"/>
                <w:noProof/>
              </w:rPr>
              <w:t>4.1 The Austerity Paradox and Unsustainability</w:t>
            </w:r>
            <w:r>
              <w:rPr>
                <w:noProof/>
                <w:webHidden/>
              </w:rPr>
              <w:tab/>
            </w:r>
            <w:r>
              <w:rPr>
                <w:noProof/>
                <w:webHidden/>
              </w:rPr>
              <w:fldChar w:fldCharType="begin"/>
            </w:r>
            <w:r>
              <w:rPr>
                <w:noProof/>
                <w:webHidden/>
              </w:rPr>
              <w:instrText xml:space="preserve"> PAGEREF _Toc213701508 \h </w:instrText>
            </w:r>
            <w:r>
              <w:rPr>
                <w:noProof/>
                <w:webHidden/>
              </w:rPr>
            </w:r>
            <w:r>
              <w:rPr>
                <w:noProof/>
                <w:webHidden/>
              </w:rPr>
              <w:fldChar w:fldCharType="separate"/>
            </w:r>
            <w:r>
              <w:rPr>
                <w:noProof/>
                <w:webHidden/>
              </w:rPr>
              <w:t>7</w:t>
            </w:r>
            <w:r>
              <w:rPr>
                <w:noProof/>
                <w:webHidden/>
              </w:rPr>
              <w:fldChar w:fldCharType="end"/>
            </w:r>
          </w:hyperlink>
        </w:p>
        <w:p w14:paraId="2070CF03" w14:textId="46CDFD77" w:rsidR="00416472" w:rsidRDefault="00416472">
          <w:pPr>
            <w:pStyle w:val="TOC2"/>
            <w:tabs>
              <w:tab w:val="right" w:leader="dot" w:pos="9016"/>
            </w:tabs>
            <w:rPr>
              <w:rFonts w:eastAsiaTheme="minorEastAsia" w:cstheme="minorBidi"/>
              <w:b w:val="0"/>
              <w:bCs w:val="0"/>
              <w:noProof/>
              <w:sz w:val="24"/>
              <w:szCs w:val="24"/>
              <w:lang w:eastAsia="en-GB"/>
            </w:rPr>
          </w:pPr>
          <w:hyperlink w:anchor="_Toc213701509" w:history="1">
            <w:r w:rsidRPr="00EF5793">
              <w:rPr>
                <w:rStyle w:val="Hyperlink"/>
                <w:noProof/>
              </w:rPr>
              <w:t>5. Recommendations</w:t>
            </w:r>
            <w:r>
              <w:rPr>
                <w:noProof/>
                <w:webHidden/>
              </w:rPr>
              <w:tab/>
            </w:r>
            <w:r>
              <w:rPr>
                <w:noProof/>
                <w:webHidden/>
              </w:rPr>
              <w:fldChar w:fldCharType="begin"/>
            </w:r>
            <w:r>
              <w:rPr>
                <w:noProof/>
                <w:webHidden/>
              </w:rPr>
              <w:instrText xml:space="preserve"> PAGEREF _Toc213701509 \h </w:instrText>
            </w:r>
            <w:r>
              <w:rPr>
                <w:noProof/>
                <w:webHidden/>
              </w:rPr>
            </w:r>
            <w:r>
              <w:rPr>
                <w:noProof/>
                <w:webHidden/>
              </w:rPr>
              <w:fldChar w:fldCharType="separate"/>
            </w:r>
            <w:r>
              <w:rPr>
                <w:noProof/>
                <w:webHidden/>
              </w:rPr>
              <w:t>7</w:t>
            </w:r>
            <w:r>
              <w:rPr>
                <w:noProof/>
                <w:webHidden/>
              </w:rPr>
              <w:fldChar w:fldCharType="end"/>
            </w:r>
          </w:hyperlink>
        </w:p>
        <w:p w14:paraId="22C277FD" w14:textId="712402AD" w:rsidR="00416472" w:rsidRDefault="00416472">
          <w:pPr>
            <w:pStyle w:val="TOC3"/>
            <w:tabs>
              <w:tab w:val="right" w:leader="dot" w:pos="9016"/>
            </w:tabs>
            <w:rPr>
              <w:rFonts w:eastAsiaTheme="minorEastAsia" w:cstheme="minorBidi"/>
              <w:noProof/>
              <w:sz w:val="24"/>
              <w:szCs w:val="24"/>
              <w:lang w:eastAsia="en-GB"/>
            </w:rPr>
          </w:pPr>
          <w:hyperlink w:anchor="_Toc213701510" w:history="1">
            <w:r w:rsidRPr="00EF5793">
              <w:rPr>
                <w:rStyle w:val="Hyperlink"/>
                <w:noProof/>
              </w:rPr>
              <w:t>5.1 Mandate Cross-Sectoral Budgets: Health in All Policies (HiAP)</w:t>
            </w:r>
            <w:r>
              <w:rPr>
                <w:noProof/>
                <w:webHidden/>
              </w:rPr>
              <w:tab/>
            </w:r>
            <w:r>
              <w:rPr>
                <w:noProof/>
                <w:webHidden/>
              </w:rPr>
              <w:fldChar w:fldCharType="begin"/>
            </w:r>
            <w:r>
              <w:rPr>
                <w:noProof/>
                <w:webHidden/>
              </w:rPr>
              <w:instrText xml:space="preserve"> PAGEREF _Toc213701510 \h </w:instrText>
            </w:r>
            <w:r>
              <w:rPr>
                <w:noProof/>
                <w:webHidden/>
              </w:rPr>
            </w:r>
            <w:r>
              <w:rPr>
                <w:noProof/>
                <w:webHidden/>
              </w:rPr>
              <w:fldChar w:fldCharType="separate"/>
            </w:r>
            <w:r>
              <w:rPr>
                <w:noProof/>
                <w:webHidden/>
              </w:rPr>
              <w:t>7</w:t>
            </w:r>
            <w:r>
              <w:rPr>
                <w:noProof/>
                <w:webHidden/>
              </w:rPr>
              <w:fldChar w:fldCharType="end"/>
            </w:r>
          </w:hyperlink>
        </w:p>
        <w:p w14:paraId="1981ECD8" w14:textId="247199E4" w:rsidR="00416472" w:rsidRDefault="00416472">
          <w:pPr>
            <w:pStyle w:val="TOC3"/>
            <w:tabs>
              <w:tab w:val="right" w:leader="dot" w:pos="9016"/>
            </w:tabs>
            <w:rPr>
              <w:rFonts w:eastAsiaTheme="minorEastAsia" w:cstheme="minorBidi"/>
              <w:noProof/>
              <w:sz w:val="24"/>
              <w:szCs w:val="24"/>
              <w:lang w:eastAsia="en-GB"/>
            </w:rPr>
          </w:pPr>
          <w:hyperlink w:anchor="_Toc213701511" w:history="1">
            <w:r w:rsidRPr="00EF5793">
              <w:rPr>
                <w:rStyle w:val="Hyperlink"/>
                <w:noProof/>
              </w:rPr>
              <w:t>5.2 Sustainable and Ring-Fenced Public Health Funding</w:t>
            </w:r>
            <w:r>
              <w:rPr>
                <w:noProof/>
                <w:webHidden/>
              </w:rPr>
              <w:tab/>
            </w:r>
            <w:r>
              <w:rPr>
                <w:noProof/>
                <w:webHidden/>
              </w:rPr>
              <w:fldChar w:fldCharType="begin"/>
            </w:r>
            <w:r>
              <w:rPr>
                <w:noProof/>
                <w:webHidden/>
              </w:rPr>
              <w:instrText xml:space="preserve"> PAGEREF _Toc213701511 \h </w:instrText>
            </w:r>
            <w:r>
              <w:rPr>
                <w:noProof/>
                <w:webHidden/>
              </w:rPr>
            </w:r>
            <w:r>
              <w:rPr>
                <w:noProof/>
                <w:webHidden/>
              </w:rPr>
              <w:fldChar w:fldCharType="separate"/>
            </w:r>
            <w:r>
              <w:rPr>
                <w:noProof/>
                <w:webHidden/>
              </w:rPr>
              <w:t>8</w:t>
            </w:r>
            <w:r>
              <w:rPr>
                <w:noProof/>
                <w:webHidden/>
              </w:rPr>
              <w:fldChar w:fldCharType="end"/>
            </w:r>
          </w:hyperlink>
        </w:p>
        <w:p w14:paraId="2867DC55" w14:textId="148C4E3E" w:rsidR="00416472" w:rsidRDefault="00416472">
          <w:pPr>
            <w:pStyle w:val="TOC3"/>
            <w:tabs>
              <w:tab w:val="right" w:leader="dot" w:pos="9016"/>
            </w:tabs>
            <w:rPr>
              <w:rFonts w:eastAsiaTheme="minorEastAsia" w:cstheme="minorBidi"/>
              <w:noProof/>
              <w:sz w:val="24"/>
              <w:szCs w:val="24"/>
              <w:lang w:eastAsia="en-GB"/>
            </w:rPr>
          </w:pPr>
          <w:hyperlink w:anchor="_Toc213701512" w:history="1">
            <w:r w:rsidRPr="00EF5793">
              <w:rPr>
                <w:rStyle w:val="Hyperlink"/>
                <w:noProof/>
              </w:rPr>
              <w:t>5.3 Digital Equity as a Core Social Determinant</w:t>
            </w:r>
            <w:r>
              <w:rPr>
                <w:noProof/>
                <w:webHidden/>
              </w:rPr>
              <w:tab/>
            </w:r>
            <w:r>
              <w:rPr>
                <w:noProof/>
                <w:webHidden/>
              </w:rPr>
              <w:fldChar w:fldCharType="begin"/>
            </w:r>
            <w:r>
              <w:rPr>
                <w:noProof/>
                <w:webHidden/>
              </w:rPr>
              <w:instrText xml:space="preserve"> PAGEREF _Toc213701512 \h </w:instrText>
            </w:r>
            <w:r>
              <w:rPr>
                <w:noProof/>
                <w:webHidden/>
              </w:rPr>
            </w:r>
            <w:r>
              <w:rPr>
                <w:noProof/>
                <w:webHidden/>
              </w:rPr>
              <w:fldChar w:fldCharType="separate"/>
            </w:r>
            <w:r>
              <w:rPr>
                <w:noProof/>
                <w:webHidden/>
              </w:rPr>
              <w:t>8</w:t>
            </w:r>
            <w:r>
              <w:rPr>
                <w:noProof/>
                <w:webHidden/>
              </w:rPr>
              <w:fldChar w:fldCharType="end"/>
            </w:r>
          </w:hyperlink>
        </w:p>
        <w:p w14:paraId="337C75C2" w14:textId="1E104619" w:rsidR="00416472" w:rsidRDefault="00416472">
          <w:pPr>
            <w:pStyle w:val="TOC3"/>
            <w:tabs>
              <w:tab w:val="right" w:leader="dot" w:pos="9016"/>
            </w:tabs>
            <w:rPr>
              <w:rFonts w:eastAsiaTheme="minorEastAsia" w:cstheme="minorBidi"/>
              <w:noProof/>
              <w:sz w:val="24"/>
              <w:szCs w:val="24"/>
              <w:lang w:eastAsia="en-GB"/>
            </w:rPr>
          </w:pPr>
          <w:hyperlink w:anchor="_Toc213701513" w:history="1">
            <w:r w:rsidRPr="00EF5793">
              <w:rPr>
                <w:rStyle w:val="Hyperlink"/>
                <w:noProof/>
              </w:rPr>
              <w:t>5.4 Enhance Targeted Local Empowerment</w:t>
            </w:r>
            <w:r>
              <w:rPr>
                <w:noProof/>
                <w:webHidden/>
              </w:rPr>
              <w:tab/>
            </w:r>
            <w:r>
              <w:rPr>
                <w:noProof/>
                <w:webHidden/>
              </w:rPr>
              <w:fldChar w:fldCharType="begin"/>
            </w:r>
            <w:r>
              <w:rPr>
                <w:noProof/>
                <w:webHidden/>
              </w:rPr>
              <w:instrText xml:space="preserve"> PAGEREF _Toc213701513 \h </w:instrText>
            </w:r>
            <w:r>
              <w:rPr>
                <w:noProof/>
                <w:webHidden/>
              </w:rPr>
            </w:r>
            <w:r>
              <w:rPr>
                <w:noProof/>
                <w:webHidden/>
              </w:rPr>
              <w:fldChar w:fldCharType="separate"/>
            </w:r>
            <w:r>
              <w:rPr>
                <w:noProof/>
                <w:webHidden/>
              </w:rPr>
              <w:t>8</w:t>
            </w:r>
            <w:r>
              <w:rPr>
                <w:noProof/>
                <w:webHidden/>
              </w:rPr>
              <w:fldChar w:fldCharType="end"/>
            </w:r>
          </w:hyperlink>
        </w:p>
        <w:p w14:paraId="48BE54E4" w14:textId="3D1D15D9" w:rsidR="00416472" w:rsidRDefault="00416472">
          <w:pPr>
            <w:pStyle w:val="TOC2"/>
            <w:tabs>
              <w:tab w:val="right" w:leader="dot" w:pos="9016"/>
            </w:tabs>
            <w:rPr>
              <w:rFonts w:eastAsiaTheme="minorEastAsia" w:cstheme="minorBidi"/>
              <w:b w:val="0"/>
              <w:bCs w:val="0"/>
              <w:noProof/>
              <w:sz w:val="24"/>
              <w:szCs w:val="24"/>
              <w:lang w:eastAsia="en-GB"/>
            </w:rPr>
          </w:pPr>
          <w:hyperlink w:anchor="_Toc213701514" w:history="1">
            <w:r w:rsidRPr="00EF5793">
              <w:rPr>
                <w:rStyle w:val="Hyperlink"/>
                <w:noProof/>
              </w:rPr>
              <w:t>6. Conclusion</w:t>
            </w:r>
            <w:r>
              <w:rPr>
                <w:noProof/>
                <w:webHidden/>
              </w:rPr>
              <w:tab/>
            </w:r>
            <w:r>
              <w:rPr>
                <w:noProof/>
                <w:webHidden/>
              </w:rPr>
              <w:fldChar w:fldCharType="begin"/>
            </w:r>
            <w:r>
              <w:rPr>
                <w:noProof/>
                <w:webHidden/>
              </w:rPr>
              <w:instrText xml:space="preserve"> PAGEREF _Toc213701514 \h </w:instrText>
            </w:r>
            <w:r>
              <w:rPr>
                <w:noProof/>
                <w:webHidden/>
              </w:rPr>
            </w:r>
            <w:r>
              <w:rPr>
                <w:noProof/>
                <w:webHidden/>
              </w:rPr>
              <w:fldChar w:fldCharType="separate"/>
            </w:r>
            <w:r>
              <w:rPr>
                <w:noProof/>
                <w:webHidden/>
              </w:rPr>
              <w:t>8</w:t>
            </w:r>
            <w:r>
              <w:rPr>
                <w:noProof/>
                <w:webHidden/>
              </w:rPr>
              <w:fldChar w:fldCharType="end"/>
            </w:r>
          </w:hyperlink>
        </w:p>
        <w:p w14:paraId="48CB7842" w14:textId="579B67C2" w:rsidR="00416472" w:rsidRDefault="00416472">
          <w:pPr>
            <w:pStyle w:val="TOC2"/>
            <w:tabs>
              <w:tab w:val="right" w:leader="dot" w:pos="9016"/>
            </w:tabs>
            <w:rPr>
              <w:rFonts w:eastAsiaTheme="minorEastAsia" w:cstheme="minorBidi"/>
              <w:b w:val="0"/>
              <w:bCs w:val="0"/>
              <w:noProof/>
              <w:sz w:val="24"/>
              <w:szCs w:val="24"/>
              <w:lang w:eastAsia="en-GB"/>
            </w:rPr>
          </w:pPr>
          <w:hyperlink w:anchor="_Toc213701515" w:history="1">
            <w:r w:rsidRPr="00EF5793">
              <w:rPr>
                <w:rStyle w:val="Hyperlink"/>
                <w:noProof/>
              </w:rPr>
              <w:t>7. References</w:t>
            </w:r>
            <w:r>
              <w:rPr>
                <w:noProof/>
                <w:webHidden/>
              </w:rPr>
              <w:tab/>
            </w:r>
            <w:r>
              <w:rPr>
                <w:noProof/>
                <w:webHidden/>
              </w:rPr>
              <w:fldChar w:fldCharType="begin"/>
            </w:r>
            <w:r>
              <w:rPr>
                <w:noProof/>
                <w:webHidden/>
              </w:rPr>
              <w:instrText xml:space="preserve"> PAGEREF _Toc213701515 \h </w:instrText>
            </w:r>
            <w:r>
              <w:rPr>
                <w:noProof/>
                <w:webHidden/>
              </w:rPr>
            </w:r>
            <w:r>
              <w:rPr>
                <w:noProof/>
                <w:webHidden/>
              </w:rPr>
              <w:fldChar w:fldCharType="separate"/>
            </w:r>
            <w:r>
              <w:rPr>
                <w:noProof/>
                <w:webHidden/>
              </w:rPr>
              <w:t>9</w:t>
            </w:r>
            <w:r>
              <w:rPr>
                <w:noProof/>
                <w:webHidden/>
              </w:rPr>
              <w:fldChar w:fldCharType="end"/>
            </w:r>
          </w:hyperlink>
        </w:p>
        <w:p w14:paraId="73B4EB72" w14:textId="40D1561E" w:rsidR="00AF6108" w:rsidRDefault="00AF6108">
          <w:r>
            <w:rPr>
              <w:b/>
              <w:bCs/>
              <w:noProof/>
            </w:rPr>
            <w:fldChar w:fldCharType="end"/>
          </w:r>
        </w:p>
      </w:sdtContent>
    </w:sdt>
    <w:p w14:paraId="22B00BA2" w14:textId="77777777" w:rsidR="009D48AF" w:rsidRDefault="009D48AF" w:rsidP="009236C9">
      <w:pPr>
        <w:pStyle w:val="NormalWeb"/>
        <w:rPr>
          <w:color w:val="000000"/>
        </w:rPr>
      </w:pPr>
    </w:p>
    <w:p w14:paraId="5FB68945" w14:textId="77777777" w:rsidR="009D48AF" w:rsidRDefault="009D48AF" w:rsidP="009236C9">
      <w:pPr>
        <w:pStyle w:val="NormalWeb"/>
        <w:rPr>
          <w:color w:val="000000"/>
        </w:rPr>
      </w:pPr>
    </w:p>
    <w:p w14:paraId="59AC2FE5" w14:textId="77777777" w:rsidR="00AF6108" w:rsidRPr="00416472" w:rsidRDefault="00AF6108" w:rsidP="00416472">
      <w:bookmarkStart w:id="1" w:name="_Toc213698177"/>
    </w:p>
    <w:p w14:paraId="6C3FEC41" w14:textId="2DB025F0" w:rsidR="009236C9" w:rsidRDefault="009236C9" w:rsidP="009236C9">
      <w:pPr>
        <w:pStyle w:val="Heading2"/>
        <w:rPr>
          <w:color w:val="000000"/>
        </w:rPr>
      </w:pPr>
      <w:bookmarkStart w:id="2" w:name="_Toc213701497"/>
      <w:r>
        <w:rPr>
          <w:color w:val="000000"/>
        </w:rPr>
        <w:t>1. Introduction</w:t>
      </w:r>
      <w:bookmarkEnd w:id="1"/>
      <w:bookmarkEnd w:id="2"/>
    </w:p>
    <w:p w14:paraId="485B0236" w14:textId="2AA72911" w:rsidR="00AF6108" w:rsidRPr="00AF6108" w:rsidRDefault="00AF6108" w:rsidP="00AF6108">
      <w:bookmarkStart w:id="3" w:name="_Toc213698178"/>
      <w:r w:rsidRPr="00AF6108">
        <w:t xml:space="preserve">The UN SDGs, launched in 2015, serve as a global plan for peace, prosperity, and sustainability by 2030. These 17 goals target issues like poverty, education, health, and inequality, recognising </w:t>
      </w:r>
      <w:r w:rsidR="00724623">
        <w:t xml:space="preserve">that </w:t>
      </w:r>
      <w:r w:rsidRPr="00AF6108">
        <w:t>progress in one area benefits others. SDG 3 – Good Health and Well-being - aims for healthy lives, focusing on healthcare, disease prevention, and health promotion. SDG 10 – Reduced Inequalities- seeks to reduce disparities within and between nations by promoting inclusion regardless of age, sex, disability, race, or socioeconomic status.</w:t>
      </w:r>
    </w:p>
    <w:p w14:paraId="6670BFC2" w14:textId="110A2947" w:rsidR="00AF6108" w:rsidRPr="00AF6108" w:rsidRDefault="00AF6108" w:rsidP="00AF6108">
      <w:r w:rsidRPr="00AF6108">
        <w:t xml:space="preserve">The connection between SDG 3 (health) and SDG 10 (inequality) is strong, as health outcomes are influenced by social determinants such as income, education, housing, and occupation. Inequities in these areas limit access </w:t>
      </w:r>
      <w:r>
        <w:t xml:space="preserve">to healthcare </w:t>
      </w:r>
      <w:r w:rsidRPr="00AF6108">
        <w:t>and worsen health</w:t>
      </w:r>
      <w:r>
        <w:t xml:space="preserve"> outcomes</w:t>
      </w:r>
      <w:r w:rsidRPr="00AF6108">
        <w:t>, especially for disadvantaged groups. Addressing inequality is crucial for achieving health and well-being for all.</w:t>
      </w:r>
    </w:p>
    <w:p w14:paraId="49926133" w14:textId="61399A8E" w:rsidR="00AF6108" w:rsidRDefault="00AF6108" w:rsidP="00AF6108">
      <w:r w:rsidRPr="00AF6108">
        <w:t xml:space="preserve">This report examines how SDG 3 and SDG 10 affect global health, </w:t>
      </w:r>
      <w:r>
        <w:t>with a focus</w:t>
      </w:r>
      <w:r w:rsidRPr="00AF6108">
        <w:t xml:space="preserve"> on the UK's efforts to reduce health inequalities. It analyses (a) their impact on citizen well-being and (b) the effectiveness and sustainability of policies like the NHS, the Levelling Up agenda, and ICSS. The report argues that despite strong institutions, policy effectiveness is hampered by austerity and underinvestment, hindering progress toward SDG 3 and SDG 10.</w:t>
      </w:r>
    </w:p>
    <w:p w14:paraId="3946B9BF" w14:textId="72CD5066" w:rsidR="009236C9" w:rsidRDefault="009236C9" w:rsidP="00AF6108">
      <w:pPr>
        <w:pStyle w:val="Heading2"/>
        <w:rPr>
          <w:color w:val="000000"/>
        </w:rPr>
      </w:pPr>
      <w:bookmarkStart w:id="4" w:name="_Toc213701498"/>
      <w:r>
        <w:rPr>
          <w:color w:val="000000"/>
        </w:rPr>
        <w:t>2. SDG 3 – Good Health and Well-being</w:t>
      </w:r>
      <w:bookmarkEnd w:id="3"/>
      <w:bookmarkEnd w:id="4"/>
    </w:p>
    <w:p w14:paraId="6950B245" w14:textId="612065CB" w:rsidR="009236C9" w:rsidRPr="00AA55EB" w:rsidRDefault="009236C9" w:rsidP="00AF6108">
      <w:r w:rsidRPr="00AA55EB">
        <w:t xml:space="preserve">Sustainable Development Goal 3 (SDG 3) aims to “ensure healthy lives and promote wellbeing for all at all ages” (United Nations, 2015). This goal is central to sustainable development, acknowledging that health serves as both a catalyst and an outcome of social and economic advancement (WHO, 2023). Attaining good health enables individuals to engage comprehensively in education, employment, and community activities, thus fostering broader societal resilience. The World Health Organisation (WHO) and the United Nations Development Programme (UNDP) recognise SDG 3 as fundamental to </w:t>
      </w:r>
      <w:r w:rsidR="00AA55EB">
        <w:t>achieving</w:t>
      </w:r>
      <w:r w:rsidRPr="00AA55EB">
        <w:t xml:space="preserve"> other Sustainable Development Goals, including those </w:t>
      </w:r>
      <w:r w:rsidR="00AA55EB">
        <w:t>related</w:t>
      </w:r>
      <w:r w:rsidRPr="00AA55EB">
        <w:t xml:space="preserve"> to poverty alleviation, education, and the mitigation of inequalities (UNDP, 2023). Consequently, health and well-being are not isolated objectives but integral elements of an equitable and sustainable global society.</w:t>
      </w:r>
    </w:p>
    <w:p w14:paraId="57D3F1C2" w14:textId="77777777" w:rsidR="009236C9" w:rsidRDefault="009236C9" w:rsidP="009236C9">
      <w:pPr>
        <w:pStyle w:val="Heading3"/>
        <w:rPr>
          <w:color w:val="000000"/>
        </w:rPr>
      </w:pPr>
      <w:bookmarkStart w:id="5" w:name="_Toc213698179"/>
      <w:bookmarkStart w:id="6" w:name="_Toc213701499"/>
      <w:r>
        <w:rPr>
          <w:color w:val="000000"/>
        </w:rPr>
        <w:lastRenderedPageBreak/>
        <w:t>Global Level</w:t>
      </w:r>
      <w:bookmarkEnd w:id="5"/>
      <w:bookmarkEnd w:id="6"/>
    </w:p>
    <w:p w14:paraId="78EE8081" w14:textId="77777777" w:rsidR="009236C9" w:rsidRPr="00AA55EB" w:rsidRDefault="009236C9" w:rsidP="00AF6108">
      <w:r w:rsidRPr="00AA55EB">
        <w:t>Globally, the World Health Organisation (WHO) and its partners have implemented several pivotal initiatives to advance Sustainable Development Goal 3 (SDG 3). The Universal Health Coverage (UHC) framework is designed to guarantee that all individuals have access to essential health services without experiencing financial hardship (WHO, 2019). Similarly, the Global Vaccine Alliance (GAVI) has played a crucial role in enhancing access to immunisation in low- and middle-income nations, thereby preventing millions of deaths from diseases. For instance, before the widespread use of vaccines, </w:t>
      </w:r>
      <w:r w:rsidRPr="00AA55EB">
        <w:rPr>
          <w:b/>
          <w:bCs/>
        </w:rPr>
        <w:t>measles</w:t>
      </w:r>
      <w:r w:rsidRPr="00AA55EB">
        <w:t> frequently caused severe complications like pneumonia, encephalitis, and blindness, while </w:t>
      </w:r>
      <w:proofErr w:type="spellStart"/>
      <w:r w:rsidRPr="00AA55EB">
        <w:rPr>
          <w:b/>
          <w:bCs/>
        </w:rPr>
        <w:t>polio</w:t>
      </w:r>
      <w:r w:rsidRPr="00AA55EB">
        <w:t>resulted</w:t>
      </w:r>
      <w:proofErr w:type="spellEnd"/>
      <w:r w:rsidRPr="00AA55EB">
        <w:t xml:space="preserve"> in permanent paralysis, leading to lifelong disability and dependence. GAVI is estimated to have helped vaccinate over 1 billion children, preventing over </w:t>
      </w:r>
      <w:r w:rsidRPr="00AA55EB">
        <w:rPr>
          <w:b/>
          <w:bCs/>
        </w:rPr>
        <w:t xml:space="preserve">17.3 million future </w:t>
      </w:r>
      <w:r w:rsidRPr="00AA55EB">
        <w:t>deaths since 2000 (GAVI, 2023). The WHO Mental Health Action Plan (2013–2030) further aims to integrate mental health considerations into global health agendas, acknowledging its significance to overall wellbeing (WHO, 2021).</w:t>
      </w:r>
    </w:p>
    <w:p w14:paraId="70C4DDAE" w14:textId="07248065" w:rsidR="009236C9" w:rsidRPr="00AA55EB" w:rsidRDefault="009236C9" w:rsidP="00AF6108">
      <w:r w:rsidRPr="00AA55EB">
        <w:t xml:space="preserve">While notable progress has been achieved—such as reductions in child mortality rates and increased vaccine coverage—persistent global disparities continue to pose substantial challenges. Low-income countries persistently </w:t>
      </w:r>
      <w:r w:rsidR="00AA55EB" w:rsidRPr="00AA55EB">
        <w:t>face</w:t>
      </w:r>
      <w:r w:rsidRPr="00AA55EB">
        <w:t xml:space="preserve"> </w:t>
      </w:r>
      <w:r w:rsidR="00AA55EB" w:rsidRPr="00AA55EB">
        <w:t>significant</w:t>
      </w:r>
      <w:r w:rsidRPr="00AA55EB">
        <w:t xml:space="preserve"> gaps in healthcare access, with approximately </w:t>
      </w:r>
      <w:r w:rsidR="00AA55EB" w:rsidRPr="00AA55EB">
        <w:t>50</w:t>
      </w:r>
      <w:r w:rsidRPr="00AA55EB">
        <w:rPr>
          <w:b/>
          <w:bCs/>
        </w:rPr>
        <w:t xml:space="preserve"> </w:t>
      </w:r>
      <w:r w:rsidRPr="00AA55EB">
        <w:t>per cent of the world’s population lacking access to essential health services (World Bank, 2023). Moreover, the COVID-19 pandemic has exacerbated global inequalities by exerting pressure on healthcare systems and reallocating resources away from preventive care (The Lancet, 2022). Consequently, despite commendable advancements, the attainment of SDG 3 remains uneven, underscoring the ne</w:t>
      </w:r>
      <w:r w:rsidR="00AA55EB" w:rsidRPr="00AA55EB">
        <w:t>ed</w:t>
      </w:r>
      <w:r w:rsidRPr="00AA55EB">
        <w:t xml:space="preserve"> </w:t>
      </w:r>
      <w:r w:rsidR="00AA55EB" w:rsidRPr="00AA55EB">
        <w:t>to</w:t>
      </w:r>
      <w:r w:rsidRPr="00AA55EB">
        <w:t xml:space="preserve"> address health inequities in </w:t>
      </w:r>
      <w:r w:rsidR="00AA55EB" w:rsidRPr="00AA55EB">
        <w:t>line</w:t>
      </w:r>
      <w:r w:rsidRPr="00AA55EB">
        <w:t xml:space="preserve"> with SDG 10.</w:t>
      </w:r>
    </w:p>
    <w:p w14:paraId="4B794FFA" w14:textId="77777777" w:rsidR="009236C9" w:rsidRDefault="009236C9" w:rsidP="009236C9">
      <w:pPr>
        <w:pStyle w:val="Heading3"/>
        <w:rPr>
          <w:color w:val="000000"/>
        </w:rPr>
      </w:pPr>
      <w:bookmarkStart w:id="7" w:name="_Toc213698180"/>
      <w:bookmarkStart w:id="8" w:name="_Toc213701500"/>
      <w:r>
        <w:rPr>
          <w:color w:val="000000"/>
        </w:rPr>
        <w:t>National Level – The United Kingdom</w:t>
      </w:r>
      <w:bookmarkEnd w:id="7"/>
      <w:bookmarkEnd w:id="8"/>
    </w:p>
    <w:p w14:paraId="43028DA4" w14:textId="061F13DF" w:rsidR="00AF6108" w:rsidRPr="00AF6108" w:rsidRDefault="00AF6108" w:rsidP="00AF6108">
      <w:bookmarkStart w:id="9" w:name="_Toc213698181"/>
      <w:r w:rsidRPr="00AF6108">
        <w:t xml:space="preserve">Within the UK, the NHS plays a key role in achieving SDG 3 by ensuring </w:t>
      </w:r>
      <w:r w:rsidR="004C5BE0">
        <w:t>access</w:t>
      </w:r>
      <w:r w:rsidRPr="00AF6108">
        <w:t xml:space="preserve"> </w:t>
      </w:r>
      <w:r w:rsidR="004C5BE0">
        <w:t>to healthcare</w:t>
      </w:r>
      <w:r w:rsidRPr="00AF6108">
        <w:t>. The NHS Long Term Plan (2019) focuses on prevention, early intervention, and reducing health inequalities, especially among disadvantaged groups. It promotes personalised care and integrated services for an ageing, diverse population.</w:t>
      </w:r>
    </w:p>
    <w:p w14:paraId="540099E7" w14:textId="384B8A49" w:rsidR="00AF6108" w:rsidRPr="00AF6108" w:rsidRDefault="00AF6108" w:rsidP="00AF6108">
      <w:r w:rsidRPr="00AF6108">
        <w:t>Replacing Public Health England in 2021, the Office for Health Improvement and Disparities (OHID) </w:t>
      </w:r>
      <w:r w:rsidR="004C5BE0" w:rsidRPr="00AF6108">
        <w:t>support</w:t>
      </w:r>
      <w:r w:rsidRPr="00AF6108">
        <w:t xml:space="preserve"> local authorities and Integrated Care Systems (ICSs) in health improvement efforts. These strategies align with SDG</w:t>
      </w:r>
      <w:r w:rsidR="004C5BE0">
        <w:t>s</w:t>
      </w:r>
      <w:r w:rsidRPr="00AF6108">
        <w:t xml:space="preserve"> 3 and 10, recognising that social and economic inequalities impact health outcomes, as highlighted by the Marmot Reviews</w:t>
      </w:r>
      <w:r w:rsidR="004C5BE0">
        <w:t>,</w:t>
      </w:r>
      <w:r w:rsidRPr="00AF6108">
        <w:t xml:space="preserve"> </w:t>
      </w:r>
      <w:r w:rsidR="004C5BE0">
        <w:t>which show</w:t>
      </w:r>
      <w:r w:rsidRPr="00AF6108">
        <w:t xml:space="preserve"> widening disparities and stagnating life expectancy, especially in deprived urban areas.</w:t>
      </w:r>
    </w:p>
    <w:p w14:paraId="01EB4612" w14:textId="77777777" w:rsidR="00AF6108" w:rsidRPr="00AF6108" w:rsidRDefault="00AF6108" w:rsidP="00AF6108">
      <w:r w:rsidRPr="00AF6108">
        <w:t>The effectiveness of policies like the Health and Care Act (2022), which established ICSs, remains debated. While aims include better access to mental health services, long wait times and lower screening rates in deprived communities reveal systemic inequalities. The ICS framework faces challenges such as organisational complexity, workforce shortages, and insufficient funding, limiting its capacity for sustainable, long-term health equity.</w:t>
      </w:r>
    </w:p>
    <w:p w14:paraId="7BD8102F" w14:textId="338B4BE4" w:rsidR="009236C9" w:rsidRDefault="009236C9" w:rsidP="00AF6108">
      <w:pPr>
        <w:pStyle w:val="Heading3"/>
        <w:rPr>
          <w:color w:val="000000"/>
        </w:rPr>
      </w:pPr>
      <w:bookmarkStart w:id="10" w:name="_Toc213701501"/>
      <w:r>
        <w:rPr>
          <w:color w:val="000000"/>
        </w:rPr>
        <w:t>Local Level – Birmingham and the West Midlands</w:t>
      </w:r>
      <w:bookmarkEnd w:id="9"/>
      <w:bookmarkEnd w:id="10"/>
    </w:p>
    <w:p w14:paraId="2AF1D00A" w14:textId="77777777" w:rsidR="009236C9" w:rsidRPr="00AA55EB" w:rsidRDefault="009236C9" w:rsidP="00AF6108">
      <w:r w:rsidRPr="00AA55EB">
        <w:t>At the local level, the Birmingham and Solihull Integrated Care System (ICS) has developed a Health Inequalities Strategy 2022–2027, focusing on improving outcomes for marginalised communities (NHS Birmingham and Solihull ICS, 2022). The strategy identifies key priorities, including reducing infant mortality, improving mental health, and addressing barriers faced by ethnic minority populations. These local actions align with both SDG 3 and SDG 10 by seeking to reduce health gaps across different social and demographic groups.</w:t>
      </w:r>
    </w:p>
    <w:p w14:paraId="171C157E" w14:textId="77777777" w:rsidR="00AA55EB" w:rsidRDefault="009236C9" w:rsidP="00AF6108">
      <w:r w:rsidRPr="00AA55EB">
        <w:t>Birmingham’s Healthy Brum initiative, led by Public Health Birmingham, complements this by promoting active lifestyles, better nutrition, and community wellbeing through public campaigns and partnerships with local organisations (Birmingham City Council, 2023). However, the scale of the challenge renders existing interventions largely </w:t>
      </w:r>
      <w:r w:rsidRPr="00AA55EB">
        <w:rPr>
          <w:b/>
          <w:bCs/>
        </w:rPr>
        <w:t>ineffective</w:t>
      </w:r>
      <w:r w:rsidR="00AA55EB" w:rsidRPr="00AA55EB">
        <w:rPr>
          <w:b/>
          <w:bCs/>
        </w:rPr>
        <w:t xml:space="preserve"> </w:t>
      </w:r>
      <w:r w:rsidRPr="00AA55EB">
        <w:t xml:space="preserve">in isolation. As one of the most ethnically diverse and socioeconomically deprived regions, Birmingham suffers from a high prevalence of chronic conditions directly influenced by poverty and systemic inequality. For example, local data show significantly disproportionate impacts of Type 2 diabetes and cardiovascular disease within Asian and Black ethnic minority populations, alongside lower access to preventative care (NHS Race and Health Observatory, 2023). </w:t>
      </w:r>
    </w:p>
    <w:p w14:paraId="2F4A6777" w14:textId="65EED988" w:rsidR="009236C9" w:rsidRPr="00AA55EB" w:rsidRDefault="009236C9" w:rsidP="00AF6108">
      <w:r w:rsidRPr="00AA55EB">
        <w:lastRenderedPageBreak/>
        <w:t>The most potent indicator of this systemic failure is the stark reality that life expectancy in the most deprived wards is nearly ten years lower than in the most affluent areas (Office for National Statistics</w:t>
      </w:r>
      <w:r w:rsidR="00AA55EB" w:rsidRPr="00AA55EB">
        <w:t xml:space="preserve">, </w:t>
      </w:r>
      <w:r w:rsidRPr="00AA55EB">
        <w:t xml:space="preserve">2023). This enduring disparity, despite local strategies, </w:t>
      </w:r>
      <w:r w:rsidR="00AA55EB" w:rsidRPr="00AA55EB">
        <w:t>underscores</w:t>
      </w:r>
      <w:r w:rsidRPr="00AA55EB">
        <w:t xml:space="preserve"> that local health efforts alone cannot override national socioeconomic policies.</w:t>
      </w:r>
    </w:p>
    <w:p w14:paraId="54700397" w14:textId="77777777" w:rsidR="009236C9" w:rsidRDefault="009236C9" w:rsidP="009236C9">
      <w:pPr>
        <w:pStyle w:val="Heading2"/>
        <w:rPr>
          <w:color w:val="000000"/>
        </w:rPr>
      </w:pPr>
      <w:bookmarkStart w:id="11" w:name="_Toc213698182"/>
      <w:bookmarkStart w:id="12" w:name="_Toc213701502"/>
      <w:r>
        <w:rPr>
          <w:color w:val="000000"/>
        </w:rPr>
        <w:t>3. SDG 10 – Reduced Inequalities</w:t>
      </w:r>
      <w:bookmarkEnd w:id="11"/>
      <w:bookmarkEnd w:id="12"/>
    </w:p>
    <w:p w14:paraId="68469D02" w14:textId="030A6918" w:rsidR="009236C9" w:rsidRDefault="009236C9" w:rsidP="00AF6108">
      <w:r w:rsidRPr="00AA55EB">
        <w:t>Sustainable Development Goal 10 (SDG 10) seeks to “reduce inequality within and among countries” (United Nations, 2015). It underscores the significance of fostering social, economic, and political inclusion, guaranteeing equal opportunities, and eradicating discriminatory laws, policies, and practices. Inequality is broadly acknowledged as a fundamental determinant of health and a significant obstacle to the realisation of SDG 3 — Good Health and Well-being (WHO, 2023). The World Health Organisation (WHO) emphasises that disparities in income, education, and living conditions influence individuals’ capacity to access healthcare and adopt healthy lifestyles. As a result, unequal societies tend to experience poorer health outcomes and reduced life expectancy (Marmot, 2020). Therefore, addressing inequality is integral to achieving sustainable health and wellbeing, as diminishing disparities allows all individuals to benefit equally from healthcare systems and public health initiatives.</w:t>
      </w:r>
    </w:p>
    <w:p w14:paraId="53135242" w14:textId="77777777" w:rsidR="00AF6108" w:rsidRDefault="00AF6108" w:rsidP="00AF6108">
      <w:pPr>
        <w:pStyle w:val="Heading3"/>
        <w:rPr>
          <w:color w:val="000000"/>
        </w:rPr>
      </w:pPr>
      <w:bookmarkStart w:id="13" w:name="_Toc213698183"/>
      <w:bookmarkStart w:id="14" w:name="_Toc213701503"/>
      <w:r>
        <w:rPr>
          <w:color w:val="000000"/>
        </w:rPr>
        <w:t>Global Level</w:t>
      </w:r>
      <w:bookmarkEnd w:id="13"/>
      <w:bookmarkEnd w:id="14"/>
    </w:p>
    <w:p w14:paraId="27479681" w14:textId="77777777" w:rsidR="00AF6108" w:rsidRDefault="00AF6108" w:rsidP="00AF6108">
      <w:r w:rsidRPr="00AF6108">
        <w:t xml:space="preserve">Globally, the UN and WHO have numerous frameworks addressing inequality and promoting health equity. The WHO Health Equity Assessment Toolkit (HEAT) helps countries monitor health disparities across income, education, residence, and gender (WHO, 2021). It supports evidence-based policies to identify and bridge equity gaps. Similarly, UN SDG Progress Reports highlight ongoing income and wealth disparities worldwide (UN, 2024). The COVID-19 pandemic exposed these disparities, with vulnerable groups facing higher mortality and limited access to healthcare, vaccines, and digital services (The Lancet Global Health, 2022). </w:t>
      </w:r>
    </w:p>
    <w:p w14:paraId="00659541" w14:textId="77777777" w:rsidR="00AF6108" w:rsidRDefault="00AF6108" w:rsidP="00AF6108">
      <w:r w:rsidRPr="00AF6108">
        <w:t>WHO and UN frameworks affirm that sustainable development depends on reducing social and economic inequalities. Initiatives like the World Bank’s Poverty and Shared Prosperity Reports and the UNDP Human Development Index use inequality as a key measure of national well-being. Despite progress, significant inequalities remain—such as in 2023, where the top 10% held over 75% of global wealth (Oxfam, 2023). These disparities hinder progress toward SDG 3 by limiting access to healthcare, nutritious food, and safe environments. Reducing inequality is therefore essential for achieving global health equity.</w:t>
      </w:r>
    </w:p>
    <w:p w14:paraId="2C3AE294" w14:textId="77777777" w:rsidR="00AF6108" w:rsidRPr="00AA55EB" w:rsidRDefault="00AF6108" w:rsidP="00AF6108"/>
    <w:p w14:paraId="4EAEE7BC" w14:textId="0504FEEE" w:rsidR="009236C9" w:rsidRDefault="009236C9" w:rsidP="009236C9">
      <w:pPr>
        <w:pStyle w:val="Heading3"/>
        <w:rPr>
          <w:color w:val="000000"/>
        </w:rPr>
      </w:pPr>
      <w:bookmarkStart w:id="15" w:name="_Toc213698184"/>
      <w:bookmarkStart w:id="16" w:name="_Toc213701504"/>
      <w:r>
        <w:rPr>
          <w:color w:val="000000"/>
        </w:rPr>
        <w:lastRenderedPageBreak/>
        <w:t>National Level – The United Kingdom</w:t>
      </w:r>
      <w:bookmarkEnd w:id="15"/>
      <w:bookmarkEnd w:id="16"/>
    </w:p>
    <w:p w14:paraId="28477F8E" w14:textId="77777777" w:rsidR="00227CAE" w:rsidRPr="00227CAE" w:rsidRDefault="00227CAE" w:rsidP="00227CAE">
      <w:r w:rsidRPr="00227CAE">
        <w:t xml:space="preserve">In the United Kingdom, inequality remains one of the most pressing social challenges affecting health outcomes. The </w:t>
      </w:r>
      <w:r w:rsidRPr="00227CAE">
        <w:rPr>
          <w:i/>
          <w:iCs/>
        </w:rPr>
        <w:t>Marmot Review: 10 Years On</w:t>
      </w:r>
      <w:r w:rsidRPr="00227CAE">
        <w:t xml:space="preserve"> (2020) found that progress in life expectancy has stalled and health disparities have widened, particularly in deprived areas of northern England and urban centres such as Birmingham and Manchester (Marmot, 2020). Individuals in the most deprived areas not only live shorter lives but also spend more years in poor health compared to those in more affluent regions. This reflects the Social Gradient in Health, whereby each step down the socioeconomic ladder is associated with progressively worse health outcomes (Marmot, 2010).</w:t>
      </w:r>
    </w:p>
    <w:p w14:paraId="59F53643" w14:textId="77777777" w:rsidR="00227CAE" w:rsidRPr="00227CAE" w:rsidRDefault="00227CAE" w:rsidP="00227CAE">
      <w:r w:rsidRPr="00227CAE">
        <w:t xml:space="preserve">The </w:t>
      </w:r>
      <w:r w:rsidRPr="00227CAE">
        <w:rPr>
          <w:i/>
          <w:iCs/>
        </w:rPr>
        <w:t>Levelling Up White Paper</w:t>
      </w:r>
      <w:r w:rsidRPr="00227CAE">
        <w:t xml:space="preserve"> (HM Government, 2022) outlines the UK’s national strategy to reduce regional inequalities and improve living standards, economic productivity, and health outcomes. While it aligns with SDG 10 in principle, critical analysis highlights limitations in its effectiveness and sustainability. The policy has been criticised for focusing predominantly on infrastructure rather than the </w:t>
      </w:r>
      <w:r w:rsidRPr="00227CAE">
        <w:rPr>
          <w:b/>
          <w:bCs/>
        </w:rPr>
        <w:t>core social determinants of health</w:t>
      </w:r>
      <w:r w:rsidRPr="00227CAE">
        <w:t>, such as income security, education, and housing (The Health Foundation, 2023). Moreover, Levelling Up funding is frequently short-term, competitive, and susceptible to political change, undermining the stable, long-term investment required to reverse the effects of austerity.</w:t>
      </w:r>
    </w:p>
    <w:p w14:paraId="2F2F93B7" w14:textId="77777777" w:rsidR="00227CAE" w:rsidRPr="00227CAE" w:rsidRDefault="00227CAE" w:rsidP="00227CAE">
      <w:r w:rsidRPr="00227CAE">
        <w:t xml:space="preserve">Consequently, persistent disparities remain. ONS data show that men in the most deprived areas live almost a decade less than those in the least deprived, while the gap is eight years for women (ONS, 2023). Ethnic inequalities compound this picture, with Black and Asian populations experiencing higher rates of chronic illness and reduced access to mental health services (NHS Race and Health Observatory, 2023). Despite strong policy rhetoric on equity, </w:t>
      </w:r>
      <w:r w:rsidRPr="00227CAE">
        <w:rPr>
          <w:b/>
          <w:bCs/>
        </w:rPr>
        <w:t>structural conditions</w:t>
      </w:r>
      <w:r w:rsidRPr="00227CAE">
        <w:t>—including economic insecurity, housing instability, and regional deprivation—continue to hinder measurable progress toward SDG 3 and SDG 10.</w:t>
      </w:r>
    </w:p>
    <w:p w14:paraId="683CD807" w14:textId="77777777" w:rsidR="00227CAE" w:rsidRPr="00227CAE" w:rsidRDefault="00227CAE" w:rsidP="00227CAE"/>
    <w:p w14:paraId="210820D8" w14:textId="77777777" w:rsidR="009236C9" w:rsidRDefault="009236C9" w:rsidP="009236C9">
      <w:pPr>
        <w:pStyle w:val="Heading3"/>
        <w:rPr>
          <w:color w:val="000000"/>
        </w:rPr>
      </w:pPr>
      <w:bookmarkStart w:id="17" w:name="_Toc213698185"/>
      <w:bookmarkStart w:id="18" w:name="_Toc213701505"/>
      <w:r>
        <w:rPr>
          <w:color w:val="000000"/>
        </w:rPr>
        <w:t>Local Level – Birmingham</w:t>
      </w:r>
      <w:bookmarkEnd w:id="17"/>
      <w:bookmarkEnd w:id="18"/>
    </w:p>
    <w:p w14:paraId="25D3F8CD" w14:textId="77777777" w:rsid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 xml:space="preserve">In Birmingham, disparities in health and well-being reflect broader national patterns. The city is among the most ethnically diverse and socioeconomically deprived regions in England, ranking within the top 10% most deprived local authorities according to the Index of Multiple </w:t>
      </w:r>
      <w:r w:rsidRPr="00AA55EB">
        <w:rPr>
          <w:rStyle w:val="Strong"/>
          <w:rFonts w:ascii="Arial" w:hAnsi="Arial" w:cs="Arial"/>
          <w:b w:val="0"/>
          <w:bCs w:val="0"/>
        </w:rPr>
        <w:lastRenderedPageBreak/>
        <w:t>Deprivation (IMD) (Birmingham City Council, 2022). The Birmingham Health and Wellbeing Strategy (2022–2030) emphasises the importance of reducing health inequalities through a comprehensive</w:t>
      </w:r>
      <w:r w:rsidR="00AA55EB">
        <w:rPr>
          <w:rStyle w:val="Strong"/>
          <w:rFonts w:ascii="Arial" w:hAnsi="Arial" w:cs="Arial"/>
          <w:b w:val="0"/>
          <w:bCs w:val="0"/>
        </w:rPr>
        <w:t>,</w:t>
      </w:r>
      <w:r w:rsidRPr="00AA55EB">
        <w:rPr>
          <w:rStyle w:val="Strong"/>
          <w:rFonts w:ascii="Arial" w:hAnsi="Arial" w:cs="Arial"/>
          <w:b w:val="0"/>
          <w:bCs w:val="0"/>
        </w:rPr>
        <w:t xml:space="preserve"> system-based approach that integrates policies </w:t>
      </w:r>
      <w:r w:rsidR="00AA55EB">
        <w:rPr>
          <w:rStyle w:val="Strong"/>
          <w:rFonts w:ascii="Arial" w:hAnsi="Arial" w:cs="Arial"/>
          <w:b w:val="0"/>
          <w:bCs w:val="0"/>
        </w:rPr>
        <w:t>across</w:t>
      </w:r>
      <w:r w:rsidRPr="00AA55EB">
        <w:rPr>
          <w:rStyle w:val="Strong"/>
          <w:rFonts w:ascii="Arial" w:hAnsi="Arial" w:cs="Arial"/>
          <w:b w:val="0"/>
          <w:bCs w:val="0"/>
        </w:rPr>
        <w:t xml:space="preserve"> health, housing, employment, and education (Birmingham City Council, 2022). It also concentrates on addressing the disproportionate impact of chronic conditions such as diabetes, cardiovascular diseases (CVD), and mental health issues prevalent among low-income and ethnic minority populations. </w:t>
      </w:r>
    </w:p>
    <w:p w14:paraId="4FE0C460" w14:textId="0B9D1FA7"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 xml:space="preserve">The </w:t>
      </w:r>
      <w:r w:rsidR="00AA55EB">
        <w:rPr>
          <w:rStyle w:val="Strong"/>
          <w:rFonts w:ascii="Arial" w:hAnsi="Arial" w:cs="Arial"/>
          <w:b w:val="0"/>
          <w:bCs w:val="0"/>
        </w:rPr>
        <w:t>effe</w:t>
      </w:r>
      <w:r w:rsidRPr="00AA55EB">
        <w:rPr>
          <w:rStyle w:val="Strong"/>
          <w:rFonts w:ascii="Arial" w:hAnsi="Arial" w:cs="Arial"/>
          <w:b w:val="0"/>
          <w:bCs w:val="0"/>
        </w:rPr>
        <w:t>ct of these disparities on citizens is severe: high rates of Type 2 diabetes and CVD in Asian and Black ethnic minority communities often lead to premature mortality, increased hospital admissions, and reduced quality of life, necessitating complex long-term care management. Furthermore, elevated rates of mental health issues among young people and low-income residents contribute significantly to social isolation, chronic unemployment, and a reduced capacity for community participation. This burden not only shortens life expectancy but also increases the number of years spent in poor health, directly counteracting the aims of SDG 3.</w:t>
      </w:r>
    </w:p>
    <w:p w14:paraId="7CDA82C5" w14:textId="77777777" w:rsidR="009236C9" w:rsidRDefault="009236C9" w:rsidP="009236C9">
      <w:pPr>
        <w:pStyle w:val="Heading3"/>
        <w:rPr>
          <w:color w:val="000000"/>
        </w:rPr>
      </w:pPr>
      <w:bookmarkStart w:id="19" w:name="_Toc213698186"/>
      <w:bookmarkStart w:id="20" w:name="_Toc213701506"/>
      <w:r>
        <w:rPr>
          <w:color w:val="000000"/>
        </w:rPr>
        <w:t>Theory and Model Integration</w:t>
      </w:r>
      <w:bookmarkEnd w:id="19"/>
      <w:bookmarkEnd w:id="20"/>
    </w:p>
    <w:p w14:paraId="65D7AEFC" w14:textId="6211064A"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 xml:space="preserve">The Social Gradient in Health model (Marmot, 2010) provides a theoretical foundation for understanding how inequality drives variations in health outcomes. It posits that health improves at every step up the socioeconomic ladder, meaning inequalities affect everyone, </w:t>
      </w:r>
      <w:r w:rsidR="004C5BE0">
        <w:rPr>
          <w:rStyle w:val="Strong"/>
          <w:rFonts w:ascii="Arial" w:hAnsi="Arial" w:cs="Arial"/>
          <w:b w:val="0"/>
          <w:bCs w:val="0"/>
        </w:rPr>
        <w:t xml:space="preserve">even </w:t>
      </w:r>
      <w:r w:rsidRPr="00AA55EB">
        <w:rPr>
          <w:rStyle w:val="Strong"/>
          <w:rFonts w:ascii="Arial" w:hAnsi="Arial" w:cs="Arial"/>
          <w:b w:val="0"/>
          <w:bCs w:val="0"/>
        </w:rPr>
        <w:t xml:space="preserve">the poorest. This framework highlights that improving health equity requires addressing structural determinants </w:t>
      </w:r>
      <w:r w:rsidR="004C5BE0" w:rsidRPr="00AA55EB">
        <w:rPr>
          <w:rStyle w:val="Strong"/>
          <w:rFonts w:ascii="Arial" w:hAnsi="Arial" w:cs="Arial"/>
          <w:b w:val="0"/>
          <w:bCs w:val="0"/>
        </w:rPr>
        <w:t>such</w:t>
      </w:r>
      <w:r w:rsidRPr="00AA55EB">
        <w:rPr>
          <w:rStyle w:val="Strong"/>
          <w:rFonts w:ascii="Arial" w:hAnsi="Arial" w:cs="Arial"/>
          <w:b w:val="0"/>
          <w:bCs w:val="0"/>
        </w:rPr>
        <w:t xml:space="preserve"> as income, education, and housing. Similarly, the Health Inequality Framework underscores that health disparities are socially produced, avoidable, and unjust (WHO, 2019). In the context of Birmingham, these frameworks illustrate how intersecting determinants—such as ethnicity, poverty, and education—shape health outcomes and limit progress towards SDG 3 and SDG 10.</w:t>
      </w:r>
    </w:p>
    <w:p w14:paraId="1E60D749" w14:textId="77777777" w:rsidR="009236C9" w:rsidRDefault="009236C9" w:rsidP="009236C9">
      <w:pPr>
        <w:pStyle w:val="Heading2"/>
        <w:rPr>
          <w:color w:val="000000"/>
        </w:rPr>
      </w:pPr>
      <w:bookmarkStart w:id="21" w:name="_Toc213698187"/>
      <w:bookmarkStart w:id="22" w:name="_Toc213701507"/>
      <w:r>
        <w:rPr>
          <w:color w:val="000000"/>
        </w:rPr>
        <w:lastRenderedPageBreak/>
        <w:t>4. Enhanced Critical Evaluation and Synthesis</w:t>
      </w:r>
      <w:bookmarkEnd w:id="21"/>
      <w:bookmarkEnd w:id="22"/>
    </w:p>
    <w:p w14:paraId="2F5E6A06" w14:textId="77777777" w:rsidR="00AA55EB" w:rsidRDefault="00AA55EB" w:rsidP="00AF6108">
      <w:pPr>
        <w:rPr>
          <w:rStyle w:val="Strong"/>
          <w:b w:val="0"/>
          <w:bCs w:val="0"/>
        </w:rPr>
      </w:pPr>
      <w:bookmarkStart w:id="23" w:name="_Toc213698188"/>
      <w:r w:rsidRPr="00AA55EB">
        <w:rPr>
          <w:rStyle w:val="Strong"/>
          <w:b w:val="0"/>
          <w:bCs w:val="0"/>
        </w:rPr>
        <w:t>While the UK shows commitment to SDG 3 and SDG 10 via its universal healthcare and policies, a gap exists between policy goals and actual outcomes. The NHS Long Term Plan and Integrated Care Systems (ICSs) aim to integrate health and social care and promote prevention</w:t>
      </w:r>
      <w:r>
        <w:rPr>
          <w:rStyle w:val="Strong"/>
          <w:b w:val="0"/>
          <w:bCs w:val="0"/>
        </w:rPr>
        <w:t>.</w:t>
      </w:r>
      <w:r w:rsidRPr="00AA55EB">
        <w:rPr>
          <w:rStyle w:val="Strong"/>
          <w:b w:val="0"/>
          <w:bCs w:val="0"/>
        </w:rPr>
        <w:t xml:space="preserve"> </w:t>
      </w:r>
      <w:r>
        <w:rPr>
          <w:rStyle w:val="Strong"/>
          <w:b w:val="0"/>
          <w:bCs w:val="0"/>
        </w:rPr>
        <w:t>Still,</w:t>
      </w:r>
      <w:r w:rsidRPr="00AA55EB">
        <w:rPr>
          <w:rStyle w:val="Strong"/>
          <w:b w:val="0"/>
          <w:bCs w:val="0"/>
        </w:rPr>
        <w:t xml:space="preserve"> structural issues like workforce shortages, rising demand, and long waits hinder progress (The King’s Fund, 2023). ICSs often operate reactively, limiting preventive health improvements. </w:t>
      </w:r>
    </w:p>
    <w:p w14:paraId="6C45790F" w14:textId="22B92FAA" w:rsidR="00AF6108" w:rsidRPr="00AF6108" w:rsidRDefault="00AF6108" w:rsidP="00AF6108">
      <w:pPr>
        <w:pStyle w:val="Heading3"/>
        <w:rPr>
          <w:color w:val="000000"/>
        </w:rPr>
      </w:pPr>
      <w:bookmarkStart w:id="24" w:name="_Toc213701508"/>
      <w:r>
        <w:rPr>
          <w:color w:val="000000"/>
        </w:rPr>
        <w:t>4.1 The Austerity Paradox and Unsustainability</w:t>
      </w:r>
      <w:bookmarkEnd w:id="24"/>
    </w:p>
    <w:p w14:paraId="44B7DA3B" w14:textId="2A84452C" w:rsidR="00AA55EB" w:rsidRDefault="00AA55EB" w:rsidP="00AF6108">
      <w:pPr>
        <w:rPr>
          <w:rStyle w:val="Strong"/>
          <w:b w:val="0"/>
          <w:bCs w:val="0"/>
        </w:rPr>
      </w:pPr>
      <w:r w:rsidRPr="00AA55EB">
        <w:rPr>
          <w:rStyle w:val="Strong"/>
          <w:b w:val="0"/>
          <w:bCs w:val="0"/>
        </w:rPr>
        <w:t xml:space="preserve">The Austerity Paradox worsens this, as reductions in local authority and public health funding undermine health equity and community wellbeing (Marmot, 2020). Socioeconomic inequalities have widened, life expectancy </w:t>
      </w:r>
      <w:r>
        <w:rPr>
          <w:rStyle w:val="Strong"/>
          <w:b w:val="0"/>
          <w:bCs w:val="0"/>
        </w:rPr>
        <w:t xml:space="preserve">has </w:t>
      </w:r>
      <w:r w:rsidRPr="00AA55EB">
        <w:rPr>
          <w:rStyle w:val="Strong"/>
          <w:b w:val="0"/>
          <w:bCs w:val="0"/>
        </w:rPr>
        <w:t xml:space="preserve">stalled, and preventable illnesses </w:t>
      </w:r>
      <w:r>
        <w:rPr>
          <w:rStyle w:val="Strong"/>
          <w:b w:val="0"/>
          <w:bCs w:val="0"/>
        </w:rPr>
        <w:t xml:space="preserve">have </w:t>
      </w:r>
      <w:r w:rsidRPr="00AA55EB">
        <w:rPr>
          <w:rStyle w:val="Strong"/>
          <w:b w:val="0"/>
          <w:bCs w:val="0"/>
        </w:rPr>
        <w:t xml:space="preserve">increased among deprived groups (ONS, 2023), reflecting how health outcomes mirror power, income, and resource distribution. Digital health, a modernisation goal, risks deepening inequalities if access and literacy aren’t addressed, potentially benefiting the already well-served and marginalising vulnerable groups. In sum, while UK policies align with </w:t>
      </w:r>
      <w:r>
        <w:rPr>
          <w:rStyle w:val="Strong"/>
          <w:b w:val="0"/>
          <w:bCs w:val="0"/>
        </w:rPr>
        <w:t>the concepts of SDGs</w:t>
      </w:r>
      <w:r w:rsidRPr="00AA55EB">
        <w:rPr>
          <w:rStyle w:val="Strong"/>
          <w:b w:val="0"/>
          <w:bCs w:val="0"/>
        </w:rPr>
        <w:t xml:space="preserve"> 3 and 10, funding instability, poor coordination, and limited community engagement hamper progress. Achieving health equity requires sustained investment in prevention and social conditions beyond episodic, medical interventions.</w:t>
      </w:r>
    </w:p>
    <w:p w14:paraId="04CC3188" w14:textId="77777777" w:rsidR="009236C9" w:rsidRDefault="009236C9" w:rsidP="009236C9">
      <w:pPr>
        <w:pStyle w:val="Heading2"/>
        <w:rPr>
          <w:color w:val="000000"/>
        </w:rPr>
      </w:pPr>
      <w:bookmarkStart w:id="25" w:name="_Toc213698189"/>
      <w:bookmarkStart w:id="26" w:name="_Toc213701509"/>
      <w:bookmarkEnd w:id="23"/>
      <w:r>
        <w:rPr>
          <w:color w:val="000000"/>
        </w:rPr>
        <w:t>5. Recommendations</w:t>
      </w:r>
      <w:bookmarkEnd w:id="25"/>
      <w:bookmarkEnd w:id="26"/>
    </w:p>
    <w:p w14:paraId="2894EB2D" w14:textId="77777777"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Based on the critical analysis of policy effectiveness, implementation gaps, and sustainability challenges, the following evidence-based recommendations are proposed to strengthen the UK’s progress toward SDG 3 and SDG 10:</w:t>
      </w:r>
    </w:p>
    <w:p w14:paraId="740EDCBC" w14:textId="77777777" w:rsidR="009236C9" w:rsidRDefault="009236C9" w:rsidP="009236C9">
      <w:pPr>
        <w:pStyle w:val="Heading3"/>
        <w:rPr>
          <w:color w:val="000000"/>
        </w:rPr>
      </w:pPr>
      <w:bookmarkStart w:id="27" w:name="_Toc213698190"/>
      <w:bookmarkStart w:id="28" w:name="_Toc213701510"/>
      <w:r>
        <w:rPr>
          <w:color w:val="000000"/>
        </w:rPr>
        <w:t>5.1 Mandate Cross-Sectoral Budgets: Health in All Policies (</w:t>
      </w:r>
      <w:proofErr w:type="spellStart"/>
      <w:r>
        <w:rPr>
          <w:color w:val="000000"/>
        </w:rPr>
        <w:t>HiAP</w:t>
      </w:r>
      <w:proofErr w:type="spellEnd"/>
      <w:r>
        <w:rPr>
          <w:color w:val="000000"/>
        </w:rPr>
        <w:t>)</w:t>
      </w:r>
      <w:bookmarkEnd w:id="27"/>
      <w:bookmarkEnd w:id="28"/>
    </w:p>
    <w:p w14:paraId="79370BC2" w14:textId="4116A03D"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 xml:space="preserve">To close the implementation gap, the UK government should legislate </w:t>
      </w:r>
      <w:r w:rsidR="009D48AF" w:rsidRPr="00AA55EB">
        <w:rPr>
          <w:rStyle w:val="Strong"/>
          <w:rFonts w:ascii="Arial" w:hAnsi="Arial" w:cs="Arial"/>
          <w:b w:val="0"/>
          <w:bCs w:val="0"/>
        </w:rPr>
        <w:t>to</w:t>
      </w:r>
      <w:r w:rsidRPr="00AA55EB">
        <w:rPr>
          <w:rStyle w:val="Strong"/>
          <w:rFonts w:ascii="Arial" w:hAnsi="Arial" w:cs="Arial"/>
          <w:b w:val="0"/>
          <w:bCs w:val="0"/>
        </w:rPr>
        <w:t xml:space="preserve"> </w:t>
      </w:r>
      <w:r w:rsidR="009D48AF" w:rsidRPr="00AA55EB">
        <w:rPr>
          <w:rStyle w:val="Strong"/>
          <w:rFonts w:ascii="Arial" w:hAnsi="Arial" w:cs="Arial"/>
          <w:b w:val="0"/>
          <w:bCs w:val="0"/>
        </w:rPr>
        <w:t>require</w:t>
      </w:r>
      <w:r w:rsidRPr="00AA55EB">
        <w:rPr>
          <w:rStyle w:val="Strong"/>
          <w:rFonts w:ascii="Arial" w:hAnsi="Arial" w:cs="Arial"/>
          <w:b w:val="0"/>
          <w:bCs w:val="0"/>
        </w:rPr>
        <w:t> "Health in All Policies" (</w:t>
      </w:r>
      <w:proofErr w:type="spellStart"/>
      <w:r w:rsidRPr="00AA55EB">
        <w:rPr>
          <w:rStyle w:val="Strong"/>
          <w:rFonts w:ascii="Arial" w:hAnsi="Arial" w:cs="Arial"/>
          <w:b w:val="0"/>
          <w:bCs w:val="0"/>
        </w:rPr>
        <w:t>HiAP</w:t>
      </w:r>
      <w:proofErr w:type="spellEnd"/>
      <w:r w:rsidRPr="00AA55EB">
        <w:rPr>
          <w:rStyle w:val="Strong"/>
          <w:rFonts w:ascii="Arial" w:hAnsi="Arial" w:cs="Arial"/>
          <w:b w:val="0"/>
          <w:bCs w:val="0"/>
        </w:rPr>
        <w:t>). This would mandate that all central government departments (including Housing, Transport, and the Treasury) conduct a mandatory Health Equity Impact Assessment (utili</w:t>
      </w:r>
      <w:r w:rsidR="009D48AF" w:rsidRPr="00AA55EB">
        <w:rPr>
          <w:rStyle w:val="Strong"/>
          <w:rFonts w:ascii="Arial" w:hAnsi="Arial" w:cs="Arial"/>
          <w:b w:val="0"/>
          <w:bCs w:val="0"/>
        </w:rPr>
        <w:t>s</w:t>
      </w:r>
      <w:r w:rsidRPr="00AA55EB">
        <w:rPr>
          <w:rStyle w:val="Strong"/>
          <w:rFonts w:ascii="Arial" w:hAnsi="Arial" w:cs="Arial"/>
          <w:b w:val="0"/>
          <w:bCs w:val="0"/>
        </w:rPr>
        <w:t xml:space="preserve">ing tools like the HEAT) for all major policy decisions and ring-fence a percentage of their budget for health equity outcomes. This directly ensures that health is </w:t>
      </w:r>
      <w:r w:rsidR="00AA55EB">
        <w:rPr>
          <w:rStyle w:val="Strong"/>
          <w:rFonts w:ascii="Arial" w:hAnsi="Arial" w:cs="Arial"/>
          <w:b w:val="0"/>
          <w:bCs w:val="0"/>
        </w:rPr>
        <w:t>treated as</w:t>
      </w:r>
      <w:r w:rsidRPr="00AA55EB">
        <w:rPr>
          <w:rStyle w:val="Strong"/>
          <w:rFonts w:ascii="Arial" w:hAnsi="Arial" w:cs="Arial"/>
          <w:b w:val="0"/>
          <w:bCs w:val="0"/>
        </w:rPr>
        <w:t xml:space="preserve"> an investment, not a cost, and shifts responsibility for </w:t>
      </w:r>
      <w:r w:rsidR="00AA55EB">
        <w:rPr>
          <w:rStyle w:val="Strong"/>
          <w:rFonts w:ascii="Arial" w:hAnsi="Arial" w:cs="Arial"/>
          <w:b w:val="0"/>
          <w:bCs w:val="0"/>
        </w:rPr>
        <w:t xml:space="preserve">achieving </w:t>
      </w:r>
      <w:r w:rsidRPr="00AA55EB">
        <w:rPr>
          <w:rStyle w:val="Strong"/>
          <w:rFonts w:ascii="Arial" w:hAnsi="Arial" w:cs="Arial"/>
          <w:b w:val="0"/>
          <w:bCs w:val="0"/>
        </w:rPr>
        <w:t>SDG 3 beyond the Department of Health.</w:t>
      </w:r>
    </w:p>
    <w:p w14:paraId="4FCB0E3B" w14:textId="77777777" w:rsidR="009236C9" w:rsidRDefault="009236C9" w:rsidP="009236C9">
      <w:pPr>
        <w:pStyle w:val="Heading3"/>
        <w:rPr>
          <w:color w:val="000000"/>
        </w:rPr>
      </w:pPr>
      <w:bookmarkStart w:id="29" w:name="_Toc213698191"/>
      <w:bookmarkStart w:id="30" w:name="_Toc213701511"/>
      <w:r>
        <w:rPr>
          <w:color w:val="000000"/>
        </w:rPr>
        <w:lastRenderedPageBreak/>
        <w:t>5.2 Sustainable and Ring-Fenced Public Health Funding</w:t>
      </w:r>
      <w:bookmarkEnd w:id="29"/>
      <w:bookmarkEnd w:id="30"/>
    </w:p>
    <w:p w14:paraId="3BEDD7E8" w14:textId="635B64FC"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The instability and inadequacy of local public health funding must be addressed to ensure policy sustainability. A long-term, inflation-proof funding settlement for local public health authorities and Integrated Care Systems (ICSs) is required, replacing short-term, competitive funding pots. This stable funding should be directed</w:t>
      </w:r>
      <w:r w:rsidR="00AA55EB">
        <w:rPr>
          <w:rStyle w:val="Strong"/>
          <w:rFonts w:ascii="Arial" w:hAnsi="Arial" w:cs="Arial"/>
          <w:b w:val="0"/>
          <w:bCs w:val="0"/>
        </w:rPr>
        <w:t xml:space="preserve"> explicitly</w:t>
      </w:r>
      <w:r w:rsidRPr="00AA55EB">
        <w:rPr>
          <w:rStyle w:val="Strong"/>
          <w:rFonts w:ascii="Arial" w:hAnsi="Arial" w:cs="Arial"/>
          <w:b w:val="0"/>
          <w:bCs w:val="0"/>
        </w:rPr>
        <w:t xml:space="preserve"> towards evidence-based, community-led prevention programmes </w:t>
      </w:r>
      <w:r w:rsidR="00AA55EB">
        <w:rPr>
          <w:rStyle w:val="Strong"/>
          <w:rFonts w:ascii="Arial" w:hAnsi="Arial" w:cs="Arial"/>
          <w:b w:val="0"/>
          <w:bCs w:val="0"/>
        </w:rPr>
        <w:t>th</w:t>
      </w:r>
      <w:r w:rsidRPr="00AA55EB">
        <w:rPr>
          <w:rStyle w:val="Strong"/>
          <w:rFonts w:ascii="Arial" w:hAnsi="Arial" w:cs="Arial"/>
          <w:b w:val="0"/>
          <w:bCs w:val="0"/>
        </w:rPr>
        <w:t>at address the social determinants of health identified by the Marmot Reviews.</w:t>
      </w:r>
    </w:p>
    <w:p w14:paraId="2E80BD64" w14:textId="77777777" w:rsidR="009236C9" w:rsidRDefault="009236C9" w:rsidP="009236C9">
      <w:pPr>
        <w:pStyle w:val="Heading3"/>
        <w:rPr>
          <w:color w:val="000000"/>
        </w:rPr>
      </w:pPr>
      <w:bookmarkStart w:id="31" w:name="_Toc213698192"/>
      <w:bookmarkStart w:id="32" w:name="_Toc213701512"/>
      <w:r>
        <w:rPr>
          <w:color w:val="000000"/>
        </w:rPr>
        <w:t>5.3 Digital Equity as a Core Social Determinant</w:t>
      </w:r>
      <w:bookmarkEnd w:id="31"/>
      <w:bookmarkEnd w:id="32"/>
    </w:p>
    <w:p w14:paraId="1BEE8491" w14:textId="312A13B9" w:rsidR="009236C9" w:rsidRPr="00AA55EB" w:rsidRDefault="009236C9" w:rsidP="009236C9">
      <w:pPr>
        <w:pStyle w:val="NormalWeb"/>
        <w:rPr>
          <w:rStyle w:val="Strong"/>
          <w:rFonts w:ascii="Arial" w:hAnsi="Arial" w:cs="Arial"/>
          <w:b w:val="0"/>
          <w:bCs w:val="0"/>
        </w:rPr>
      </w:pPr>
      <w:r w:rsidRPr="00AA55EB">
        <w:rPr>
          <w:rStyle w:val="Strong"/>
          <w:rFonts w:ascii="Arial" w:hAnsi="Arial" w:cs="Arial"/>
          <w:b w:val="0"/>
          <w:bCs w:val="0"/>
        </w:rPr>
        <w:t>Given the shift to digital healthcare, </w:t>
      </w:r>
      <w:r w:rsidRPr="00AA55EB">
        <w:rPr>
          <w:rStyle w:val="Strong"/>
          <w:rFonts w:ascii="Arial" w:hAnsi="Arial" w:cs="Arial"/>
          <w:b w:val="0"/>
          <w:bCs w:val="0"/>
          <w:color w:val="000000"/>
        </w:rPr>
        <w:t>Digital Equity</w:t>
      </w:r>
      <w:r w:rsidRPr="00AA55EB">
        <w:rPr>
          <w:rStyle w:val="Strong"/>
          <w:rFonts w:ascii="Arial" w:hAnsi="Arial" w:cs="Arial"/>
          <w:b w:val="0"/>
          <w:bCs w:val="0"/>
        </w:rPr>
        <w:t> must be recogni</w:t>
      </w:r>
      <w:r w:rsidR="00AA55EB">
        <w:rPr>
          <w:rStyle w:val="Strong"/>
          <w:rFonts w:ascii="Arial" w:hAnsi="Arial" w:cs="Arial"/>
          <w:b w:val="0"/>
          <w:bCs w:val="0"/>
        </w:rPr>
        <w:t>s</w:t>
      </w:r>
      <w:r w:rsidRPr="00AA55EB">
        <w:rPr>
          <w:rStyle w:val="Strong"/>
          <w:rFonts w:ascii="Arial" w:hAnsi="Arial" w:cs="Arial"/>
          <w:b w:val="0"/>
          <w:bCs w:val="0"/>
        </w:rPr>
        <w:t>ed and funded as a core public health service, rather than an auxiliary IT project. This requires expanding digital access and literacy programs, particularly for older adults, migrants, and low-income families, ensuring equitable participation in digital health initiatives and preventing further exclusion from remote consultations and health monitoring innovations.</w:t>
      </w:r>
    </w:p>
    <w:p w14:paraId="28605CFC" w14:textId="77777777" w:rsidR="009236C9" w:rsidRDefault="009236C9" w:rsidP="009236C9">
      <w:pPr>
        <w:pStyle w:val="Heading3"/>
        <w:rPr>
          <w:color w:val="000000"/>
        </w:rPr>
      </w:pPr>
      <w:bookmarkStart w:id="33" w:name="_Toc213698193"/>
      <w:bookmarkStart w:id="34" w:name="_Toc213701513"/>
      <w:r>
        <w:rPr>
          <w:color w:val="000000"/>
        </w:rPr>
        <w:t>5.4 Enhance Targeted Local Empowerment</w:t>
      </w:r>
      <w:bookmarkEnd w:id="33"/>
      <w:bookmarkEnd w:id="34"/>
    </w:p>
    <w:p w14:paraId="13DBECC4" w14:textId="4F9E1675" w:rsidR="009236C9" w:rsidRPr="00AA55EB" w:rsidRDefault="009236C9" w:rsidP="009236C9">
      <w:pPr>
        <w:pStyle w:val="NormalWeb"/>
        <w:rPr>
          <w:rFonts w:ascii="Arial" w:hAnsi="Arial" w:cs="Arial"/>
          <w:color w:val="000000"/>
        </w:rPr>
      </w:pPr>
      <w:r w:rsidRPr="00AA55EB">
        <w:rPr>
          <w:rFonts w:ascii="Arial" w:hAnsi="Arial" w:cs="Arial"/>
          <w:color w:val="000000"/>
        </w:rPr>
        <w:t>Local initiatives must be empowered to succeed. This means</w:t>
      </w:r>
      <w:r w:rsidRPr="00AA55EB">
        <w:rPr>
          <w:rStyle w:val="apple-converted-space"/>
          <w:rFonts w:ascii="Arial" w:hAnsi="Arial" w:cs="Arial"/>
          <w:color w:val="000000"/>
        </w:rPr>
        <w:t> </w:t>
      </w:r>
      <w:r w:rsidRPr="00AA55EB">
        <w:rPr>
          <w:rStyle w:val="Strong"/>
          <w:rFonts w:ascii="Arial" w:hAnsi="Arial" w:cs="Arial"/>
          <w:b w:val="0"/>
          <w:bCs w:val="0"/>
          <w:color w:val="000000"/>
        </w:rPr>
        <w:t>increasing targeted, long-term funding for deprived regions</w:t>
      </w:r>
      <w:r w:rsidRPr="00AA55EB">
        <w:rPr>
          <w:rStyle w:val="apple-converted-space"/>
          <w:rFonts w:ascii="Arial" w:hAnsi="Arial" w:cs="Arial"/>
          <w:b/>
          <w:bCs/>
          <w:color w:val="000000"/>
        </w:rPr>
        <w:t> </w:t>
      </w:r>
      <w:r w:rsidRPr="00AA55EB">
        <w:rPr>
          <w:rFonts w:ascii="Arial" w:hAnsi="Arial" w:cs="Arial"/>
          <w:color w:val="000000"/>
        </w:rPr>
        <w:t>(beyond the fragmented Levelling Up scheme) and promoting deep community participation, enabling residents to co-design health and well-being programs t</w:t>
      </w:r>
      <w:r w:rsidR="00AA55EB">
        <w:rPr>
          <w:rFonts w:ascii="Arial" w:hAnsi="Arial" w:cs="Arial"/>
          <w:color w:val="000000"/>
        </w:rPr>
        <w:t>hat</w:t>
      </w:r>
      <w:r w:rsidRPr="00AA55EB">
        <w:rPr>
          <w:rFonts w:ascii="Arial" w:hAnsi="Arial" w:cs="Arial"/>
          <w:color w:val="000000"/>
        </w:rPr>
        <w:t xml:space="preserve"> </w:t>
      </w:r>
      <w:r w:rsidR="00AA55EB">
        <w:rPr>
          <w:rFonts w:ascii="Arial" w:hAnsi="Arial" w:cs="Arial"/>
          <w:color w:val="000000"/>
        </w:rPr>
        <w:t>a</w:t>
      </w:r>
      <w:r w:rsidRPr="00AA55EB">
        <w:rPr>
          <w:rFonts w:ascii="Arial" w:hAnsi="Arial" w:cs="Arial"/>
          <w:color w:val="000000"/>
        </w:rPr>
        <w:t>re cultural</w:t>
      </w:r>
      <w:r w:rsidR="00AA55EB">
        <w:rPr>
          <w:rFonts w:ascii="Arial" w:hAnsi="Arial" w:cs="Arial"/>
          <w:color w:val="000000"/>
        </w:rPr>
        <w:t>ly</w:t>
      </w:r>
      <w:r w:rsidRPr="00AA55EB">
        <w:rPr>
          <w:rFonts w:ascii="Arial" w:hAnsi="Arial" w:cs="Arial"/>
          <w:color w:val="000000"/>
        </w:rPr>
        <w:t xml:space="preserve"> relevan</w:t>
      </w:r>
      <w:r w:rsidR="00AA55EB">
        <w:rPr>
          <w:rFonts w:ascii="Arial" w:hAnsi="Arial" w:cs="Arial"/>
          <w:color w:val="000000"/>
        </w:rPr>
        <w:t>t</w:t>
      </w:r>
      <w:r w:rsidRPr="00AA55EB">
        <w:rPr>
          <w:rFonts w:ascii="Arial" w:hAnsi="Arial" w:cs="Arial"/>
          <w:color w:val="000000"/>
        </w:rPr>
        <w:t xml:space="preserve"> and accessib</w:t>
      </w:r>
      <w:r w:rsidR="00AA55EB">
        <w:rPr>
          <w:rFonts w:ascii="Arial" w:hAnsi="Arial" w:cs="Arial"/>
          <w:color w:val="000000"/>
        </w:rPr>
        <w:t>le</w:t>
      </w:r>
      <w:r w:rsidRPr="00AA55EB">
        <w:rPr>
          <w:rFonts w:ascii="Arial" w:hAnsi="Arial" w:cs="Arial"/>
          <w:color w:val="000000"/>
        </w:rPr>
        <w:t>.</w:t>
      </w:r>
    </w:p>
    <w:p w14:paraId="7716DE09" w14:textId="77777777" w:rsidR="009236C9" w:rsidRDefault="009236C9" w:rsidP="009236C9">
      <w:pPr>
        <w:pStyle w:val="Heading2"/>
        <w:rPr>
          <w:color w:val="000000"/>
        </w:rPr>
      </w:pPr>
      <w:bookmarkStart w:id="35" w:name="_Toc213698194"/>
      <w:bookmarkStart w:id="36" w:name="_Toc213701514"/>
      <w:r>
        <w:rPr>
          <w:color w:val="000000"/>
        </w:rPr>
        <w:t>6. Conclusion</w:t>
      </w:r>
      <w:bookmarkEnd w:id="35"/>
      <w:bookmarkEnd w:id="36"/>
    </w:p>
    <w:p w14:paraId="6758B0EE" w14:textId="5D07A396" w:rsidR="00AA55EB" w:rsidRPr="00AA55EB" w:rsidRDefault="00AA55EB" w:rsidP="00AF6108">
      <w:pPr>
        <w:rPr>
          <w:rStyle w:val="Strong"/>
          <w:b w:val="0"/>
          <w:bCs w:val="0"/>
          <w:color w:val="000000"/>
        </w:rPr>
      </w:pPr>
      <w:bookmarkStart w:id="37" w:name="_Toc213698195"/>
      <w:r w:rsidRPr="00AA55EB">
        <w:rPr>
          <w:rStyle w:val="Strong"/>
          <w:b w:val="0"/>
          <w:bCs w:val="0"/>
          <w:color w:val="000000"/>
        </w:rPr>
        <w:t xml:space="preserve">This report shows SDG 3 (Good Health and Wellbeing) and SDG 10 (Reduced Inequalities) are linked. Improving health requires addressing social and structural factors affecting care, quality of life, and opportunities. Despite strong UK institutions </w:t>
      </w:r>
      <w:r>
        <w:rPr>
          <w:rStyle w:val="Strong"/>
          <w:b w:val="0"/>
          <w:bCs w:val="0"/>
          <w:color w:val="000000"/>
        </w:rPr>
        <w:t>such as</w:t>
      </w:r>
      <w:r w:rsidRPr="00AA55EB">
        <w:rPr>
          <w:rStyle w:val="Strong"/>
          <w:b w:val="0"/>
          <w:bCs w:val="0"/>
          <w:color w:val="000000"/>
        </w:rPr>
        <w:t xml:space="preserve"> the NHS and policies to </w:t>
      </w:r>
      <w:r>
        <w:rPr>
          <w:rStyle w:val="Strong"/>
          <w:b w:val="0"/>
          <w:bCs w:val="0"/>
          <w:color w:val="000000"/>
        </w:rPr>
        <w:t>expand</w:t>
      </w:r>
      <w:r w:rsidRPr="00AA55EB">
        <w:rPr>
          <w:rStyle w:val="Strong"/>
          <w:b w:val="0"/>
          <w:bCs w:val="0"/>
          <w:color w:val="000000"/>
        </w:rPr>
        <w:t xml:space="preserve"> access and reduce disparities, progress is uneven due to socioeconomic inequalities, limited public health funding, and variable local capacity. Health is now seen as global, with diseases, environmental issues, and economic pressures crossing borders. Achieving SDG 3 depends on international cooperation, equitable health systems, and resilient infrastructure. </w:t>
      </w:r>
    </w:p>
    <w:p w14:paraId="3198A788" w14:textId="29F2E18C" w:rsidR="004B7E54" w:rsidRDefault="00AA55EB" w:rsidP="00AF6108">
      <w:pPr>
        <w:rPr>
          <w:rStyle w:val="Strong"/>
          <w:b w:val="0"/>
          <w:bCs w:val="0"/>
          <w:color w:val="000000"/>
        </w:rPr>
      </w:pPr>
      <w:r w:rsidRPr="00AA55EB">
        <w:rPr>
          <w:rStyle w:val="Strong"/>
          <w:b w:val="0"/>
          <w:bCs w:val="0"/>
          <w:color w:val="000000"/>
        </w:rPr>
        <w:t>The SDGs are interconnected; progress in health also needs advances in SDG 10, as inequality causes preventable differences in illness and life expectancy. Future improvements require innovation—</w:t>
      </w:r>
      <w:r>
        <w:rPr>
          <w:rStyle w:val="Strong"/>
          <w:b w:val="0"/>
          <w:bCs w:val="0"/>
          <w:color w:val="000000"/>
        </w:rPr>
        <w:t xml:space="preserve">such as </w:t>
      </w:r>
      <w:r w:rsidRPr="00AA55EB">
        <w:rPr>
          <w:rStyle w:val="Strong"/>
          <w:b w:val="0"/>
          <w:bCs w:val="0"/>
          <w:color w:val="000000"/>
        </w:rPr>
        <w:t xml:space="preserve">digital inclusion, data sharing, </w:t>
      </w:r>
      <w:r>
        <w:rPr>
          <w:rStyle w:val="Strong"/>
          <w:b w:val="0"/>
          <w:bCs w:val="0"/>
          <w:color w:val="000000"/>
        </w:rPr>
        <w:t xml:space="preserve">and </w:t>
      </w:r>
      <w:r w:rsidRPr="00AA55EB">
        <w:rPr>
          <w:rStyle w:val="Strong"/>
          <w:b w:val="0"/>
          <w:bCs w:val="0"/>
          <w:color w:val="000000"/>
        </w:rPr>
        <w:t xml:space="preserve">climate-aware planning—along with a systems-thinking approach that considers </w:t>
      </w:r>
      <w:r>
        <w:rPr>
          <w:rStyle w:val="Strong"/>
          <w:b w:val="0"/>
          <w:bCs w:val="0"/>
          <w:color w:val="000000"/>
        </w:rPr>
        <w:t xml:space="preserve">the </w:t>
      </w:r>
      <w:r w:rsidRPr="00AA55EB">
        <w:rPr>
          <w:rStyle w:val="Strong"/>
          <w:b w:val="0"/>
          <w:bCs w:val="0"/>
          <w:color w:val="000000"/>
        </w:rPr>
        <w:t>social, economic, and environmental factors shaping health. The UK’s progress toward SDG</w:t>
      </w:r>
      <w:r>
        <w:rPr>
          <w:rStyle w:val="Strong"/>
          <w:b w:val="0"/>
          <w:bCs w:val="0"/>
          <w:color w:val="000000"/>
        </w:rPr>
        <w:t>s</w:t>
      </w:r>
      <w:r w:rsidRPr="00AA55EB">
        <w:rPr>
          <w:rStyle w:val="Strong"/>
          <w:b w:val="0"/>
          <w:bCs w:val="0"/>
          <w:color w:val="000000"/>
        </w:rPr>
        <w:t xml:space="preserve"> 3 and 10 depends on long-term prevention, cross-sector collaboration, and community participation.</w:t>
      </w:r>
    </w:p>
    <w:p w14:paraId="19DCB214" w14:textId="77777777" w:rsidR="004C5BE0" w:rsidRDefault="004C5BE0" w:rsidP="00AF6108">
      <w:pPr>
        <w:rPr>
          <w:rStyle w:val="Strong"/>
          <w:b w:val="0"/>
          <w:bCs w:val="0"/>
          <w:color w:val="000000"/>
        </w:rPr>
      </w:pPr>
    </w:p>
    <w:p w14:paraId="46611788" w14:textId="77777777" w:rsidR="004C5BE0" w:rsidRDefault="004C5BE0" w:rsidP="00AF6108">
      <w:pPr>
        <w:rPr>
          <w:rStyle w:val="Strong"/>
          <w:b w:val="0"/>
          <w:bCs w:val="0"/>
          <w:color w:val="000000"/>
        </w:rPr>
      </w:pPr>
    </w:p>
    <w:p w14:paraId="0643F648" w14:textId="77777777" w:rsidR="004C5BE0" w:rsidRDefault="004C5BE0" w:rsidP="00AF6108">
      <w:pPr>
        <w:rPr>
          <w:rStyle w:val="Strong"/>
          <w:b w:val="0"/>
          <w:bCs w:val="0"/>
          <w:color w:val="000000"/>
        </w:rPr>
      </w:pPr>
    </w:p>
    <w:p w14:paraId="3ACC5BBE" w14:textId="77777777" w:rsidR="004C5BE0" w:rsidRPr="00AA55EB" w:rsidRDefault="004C5BE0" w:rsidP="00AF6108">
      <w:pPr>
        <w:rPr>
          <w:rStyle w:val="Strong"/>
          <w:b w:val="0"/>
          <w:bCs w:val="0"/>
          <w:color w:val="000000"/>
        </w:rPr>
      </w:pPr>
    </w:p>
    <w:p w14:paraId="02B4F81E" w14:textId="285370A3" w:rsidR="009236C9" w:rsidRDefault="009236C9" w:rsidP="009236C9">
      <w:pPr>
        <w:pStyle w:val="Heading2"/>
        <w:rPr>
          <w:color w:val="000000"/>
        </w:rPr>
      </w:pPr>
      <w:bookmarkStart w:id="38" w:name="_Toc213701515"/>
      <w:r>
        <w:rPr>
          <w:color w:val="000000"/>
        </w:rPr>
        <w:lastRenderedPageBreak/>
        <w:t>7. References</w:t>
      </w:r>
      <w:bookmarkEnd w:id="37"/>
      <w:bookmarkEnd w:id="38"/>
    </w:p>
    <w:p w14:paraId="02F04FBE" w14:textId="556EA81E" w:rsidR="004B7E54" w:rsidRDefault="004B7E54" w:rsidP="004B7E54">
      <w:pPr>
        <w:pStyle w:val="NormalWeb"/>
      </w:pPr>
      <w:r>
        <w:t xml:space="preserve">Birmingham City Council (2022) </w:t>
      </w:r>
      <w:r>
        <w:rPr>
          <w:rStyle w:val="Emphasis"/>
        </w:rPr>
        <w:t>Birmingham Health and Wellbeing Strategy 2022–2030.</w:t>
      </w:r>
      <w:r>
        <w:t xml:space="preserve"> Birmingham City Council. Available at: </w:t>
      </w:r>
      <w:hyperlink r:id="rId6" w:tgtFrame="_new" w:history="1">
        <w:r>
          <w:rPr>
            <w:rStyle w:val="Hyperlink"/>
          </w:rPr>
          <w:t>https://www.birmingham.gov.uk</w:t>
        </w:r>
      </w:hyperlink>
      <w:r>
        <w:t xml:space="preserve"> (Accessed: 4 March 2025).</w:t>
      </w:r>
    </w:p>
    <w:p w14:paraId="582FE977" w14:textId="6ED0A59F" w:rsidR="004B7E54" w:rsidRDefault="004B7E54" w:rsidP="004B7E54">
      <w:pPr>
        <w:pStyle w:val="NormalWeb"/>
      </w:pPr>
      <w:r>
        <w:t xml:space="preserve">Birmingham City Council (2023) </w:t>
      </w:r>
      <w:r>
        <w:rPr>
          <w:rStyle w:val="Emphasis"/>
        </w:rPr>
        <w:t>Healthy Brum: Promoting Health and Wellbeing in Birmingham.</w:t>
      </w:r>
      <w:r>
        <w:t xml:space="preserve"> Birmingham City Council. Available at: https://www.birmingham.gov.uk/healthybrum (Accessed: 4 March 2025).</w:t>
      </w:r>
    </w:p>
    <w:p w14:paraId="411C51F9" w14:textId="77777777" w:rsidR="004B7E54" w:rsidRDefault="004B7E54" w:rsidP="004B7E54">
      <w:pPr>
        <w:pStyle w:val="NormalWeb"/>
      </w:pPr>
      <w:r>
        <w:t xml:space="preserve">Department of Health and Social Care (2022) </w:t>
      </w:r>
      <w:r>
        <w:rPr>
          <w:rStyle w:val="Emphasis"/>
        </w:rPr>
        <w:t>Health and Care Act 2022.</w:t>
      </w:r>
      <w:r>
        <w:t xml:space="preserve"> London: Department of Health and Social Care. Available at: </w:t>
      </w:r>
      <w:hyperlink r:id="rId7" w:tgtFrame="_new" w:history="1">
        <w:r>
          <w:rPr>
            <w:rStyle w:val="Hyperlink"/>
          </w:rPr>
          <w:t>https://www.legislation.gov.uk/ukpga/2022/31</w:t>
        </w:r>
      </w:hyperlink>
      <w:r>
        <w:t xml:space="preserve"> (Accessed: 4 March 2025).</w:t>
      </w:r>
    </w:p>
    <w:p w14:paraId="7681A2D5" w14:textId="77777777" w:rsidR="004B7E54" w:rsidRDefault="004B7E54" w:rsidP="004B7E54">
      <w:pPr>
        <w:pStyle w:val="NormalWeb"/>
      </w:pPr>
      <w:r>
        <w:t xml:space="preserve">GAVI (2023) </w:t>
      </w:r>
      <w:r>
        <w:rPr>
          <w:rStyle w:val="Emphasis"/>
        </w:rPr>
        <w:t>The Vaccine Alliance Annual Report 2023.</w:t>
      </w:r>
      <w:r>
        <w:t xml:space="preserve"> Geneva: GAVI. Available at: </w:t>
      </w:r>
      <w:hyperlink r:id="rId8" w:tgtFrame="_new" w:history="1">
        <w:r>
          <w:rPr>
            <w:rStyle w:val="Hyperlink"/>
          </w:rPr>
          <w:t>https://www.gavi.org</w:t>
        </w:r>
      </w:hyperlink>
      <w:r>
        <w:t xml:space="preserve"> (Accessed: 4 March 2025).</w:t>
      </w:r>
    </w:p>
    <w:p w14:paraId="6650BC5D" w14:textId="77777777" w:rsidR="004B7E54" w:rsidRDefault="004B7E54" w:rsidP="004B7E54">
      <w:pPr>
        <w:pStyle w:val="NormalWeb"/>
      </w:pPr>
      <w:r>
        <w:t xml:space="preserve">HM Government (2022) </w:t>
      </w:r>
      <w:r>
        <w:rPr>
          <w:rStyle w:val="Emphasis"/>
        </w:rPr>
        <w:t>Levelling Up the United Kingdom: White Paper.</w:t>
      </w:r>
      <w:r>
        <w:t xml:space="preserve"> London: HMSO. Available at: </w:t>
      </w:r>
      <w:hyperlink r:id="rId9" w:tgtFrame="_new" w:history="1">
        <w:r>
          <w:rPr>
            <w:rStyle w:val="Hyperlink"/>
          </w:rPr>
          <w:t>https://www.gov.uk/government/publications/levelling-up-the-united-kingdom</w:t>
        </w:r>
      </w:hyperlink>
      <w:r>
        <w:t xml:space="preserve"> (Accessed: 4 March 2025).</w:t>
      </w:r>
    </w:p>
    <w:p w14:paraId="425726B5" w14:textId="77777777" w:rsidR="004B7E54" w:rsidRDefault="004B7E54" w:rsidP="004B7E54">
      <w:pPr>
        <w:pStyle w:val="NormalWeb"/>
      </w:pPr>
      <w:r>
        <w:t xml:space="preserve">Marmot, M. (2010) </w:t>
      </w:r>
      <w:r>
        <w:rPr>
          <w:rStyle w:val="Emphasis"/>
        </w:rPr>
        <w:t>Fair Society, Healthy Lives: The Marmot Review.</w:t>
      </w:r>
      <w:r>
        <w:t xml:space="preserve"> London: Institute of Health Equity. Available at: https://www.instituteofhealthequity.org (Accessed: 4 March 2025).</w:t>
      </w:r>
    </w:p>
    <w:p w14:paraId="2474CF50" w14:textId="77777777" w:rsidR="004B7E54" w:rsidRDefault="004B7E54" w:rsidP="004B7E54">
      <w:pPr>
        <w:pStyle w:val="NormalWeb"/>
      </w:pPr>
      <w:r>
        <w:t xml:space="preserve">Marmot, M. (2020) </w:t>
      </w:r>
      <w:r>
        <w:rPr>
          <w:rStyle w:val="Emphasis"/>
        </w:rPr>
        <w:t>Health Equity in England: The Marmot Review 10 Years On.</w:t>
      </w:r>
      <w:r>
        <w:t xml:space="preserve"> London: Institute of Health Equity. Available at: https://www.instituteofhealthequity.org/resources-reports (Accessed: 4 March 2025).</w:t>
      </w:r>
    </w:p>
    <w:p w14:paraId="3041F692" w14:textId="77777777" w:rsidR="004B7E54" w:rsidRDefault="004B7E54" w:rsidP="004B7E54">
      <w:pPr>
        <w:pStyle w:val="NormalWeb"/>
      </w:pPr>
      <w:r>
        <w:t xml:space="preserve">NHS Birmingham and Solihull Integrated Care System (2022) </w:t>
      </w:r>
      <w:r>
        <w:rPr>
          <w:rStyle w:val="Emphasis"/>
        </w:rPr>
        <w:t>Health Inequalities Strategy 2022–2027.</w:t>
      </w:r>
      <w:r>
        <w:t xml:space="preserve"> Birmingham: NHS. Available at: https://www.bsolics.org.uk (Accessed: 4 March 2025).</w:t>
      </w:r>
    </w:p>
    <w:p w14:paraId="6D9D15F4" w14:textId="77777777" w:rsidR="004B7E54" w:rsidRDefault="004B7E54" w:rsidP="004B7E54">
      <w:pPr>
        <w:pStyle w:val="NormalWeb"/>
      </w:pPr>
      <w:r>
        <w:t xml:space="preserve">NHS England (2019) </w:t>
      </w:r>
      <w:r>
        <w:rPr>
          <w:rStyle w:val="Emphasis"/>
        </w:rPr>
        <w:t>The NHS Long Term Plan.</w:t>
      </w:r>
      <w:r>
        <w:t xml:space="preserve"> London: NHS England. Available at: </w:t>
      </w:r>
      <w:hyperlink r:id="rId10" w:tgtFrame="_new" w:history="1">
        <w:r>
          <w:rPr>
            <w:rStyle w:val="Hyperlink"/>
          </w:rPr>
          <w:t>https://www.longtermplan.nhs.uk</w:t>
        </w:r>
      </w:hyperlink>
      <w:r>
        <w:t xml:space="preserve"> (Accessed: 4 March 2025).</w:t>
      </w:r>
    </w:p>
    <w:p w14:paraId="3E602674" w14:textId="77777777" w:rsidR="004B7E54" w:rsidRDefault="004B7E54" w:rsidP="004B7E54">
      <w:pPr>
        <w:pStyle w:val="NormalWeb"/>
      </w:pPr>
      <w:r>
        <w:t xml:space="preserve">NHS Race and Health Observatory (2023) </w:t>
      </w:r>
      <w:r>
        <w:rPr>
          <w:rStyle w:val="Emphasis"/>
        </w:rPr>
        <w:t>Ethnic Inequalities in Healthcare Access and Outcomes.</w:t>
      </w:r>
      <w:r>
        <w:t xml:space="preserve"> London: NHS Race and Health Observatory. Available at: </w:t>
      </w:r>
      <w:hyperlink r:id="rId11" w:tgtFrame="_new" w:history="1">
        <w:r>
          <w:rPr>
            <w:rStyle w:val="Hyperlink"/>
          </w:rPr>
          <w:t>https://www.nhsrho.org</w:t>
        </w:r>
      </w:hyperlink>
      <w:r>
        <w:t xml:space="preserve"> (Accessed: 4 March 2025).</w:t>
      </w:r>
    </w:p>
    <w:p w14:paraId="09B010E0" w14:textId="77777777" w:rsidR="004B7E54" w:rsidRDefault="004B7E54" w:rsidP="004B7E54">
      <w:pPr>
        <w:pStyle w:val="NormalWeb"/>
      </w:pPr>
      <w:r>
        <w:t xml:space="preserve">Office for National Statistics (2023) </w:t>
      </w:r>
      <w:r>
        <w:rPr>
          <w:rStyle w:val="Emphasis"/>
        </w:rPr>
        <w:t>Health State Life Expectancies by Index of Multiple Deprivation, England.</w:t>
      </w:r>
      <w:r>
        <w:t xml:space="preserve"> London: ONS. Available at: </w:t>
      </w:r>
      <w:hyperlink r:id="rId12" w:tgtFrame="_new" w:history="1">
        <w:r>
          <w:rPr>
            <w:rStyle w:val="Hyperlink"/>
          </w:rPr>
          <w:t>https://www.ons.gov.uk</w:t>
        </w:r>
      </w:hyperlink>
      <w:r>
        <w:t xml:space="preserve"> (Accessed: 4 March 2025).</w:t>
      </w:r>
    </w:p>
    <w:p w14:paraId="428427F5" w14:textId="77777777" w:rsidR="004B7E54" w:rsidRDefault="004B7E54" w:rsidP="004B7E54">
      <w:pPr>
        <w:pStyle w:val="NormalWeb"/>
      </w:pPr>
      <w:r>
        <w:lastRenderedPageBreak/>
        <w:t xml:space="preserve">Office for Health Improvement and Disparities (2022) </w:t>
      </w:r>
      <w:r>
        <w:rPr>
          <w:rStyle w:val="Emphasis"/>
        </w:rPr>
        <w:t>Annual Report 2022.</w:t>
      </w:r>
      <w:r>
        <w:t xml:space="preserve"> London: Department of Health and Social Care. Available at: </w:t>
      </w:r>
      <w:hyperlink r:id="rId13" w:tgtFrame="_new" w:history="1">
        <w:r>
          <w:rPr>
            <w:rStyle w:val="Hyperlink"/>
          </w:rPr>
          <w:t>https://www.gov.uk/government/organisations/office-for-health-improvement-and-disparities</w:t>
        </w:r>
      </w:hyperlink>
      <w:r>
        <w:t xml:space="preserve"> (Accessed: 4 March 2025).</w:t>
      </w:r>
    </w:p>
    <w:p w14:paraId="62FDBFE3" w14:textId="77777777" w:rsidR="004B7E54" w:rsidRDefault="004B7E54" w:rsidP="004B7E54">
      <w:pPr>
        <w:pStyle w:val="NormalWeb"/>
      </w:pPr>
      <w:r>
        <w:t xml:space="preserve">Oxfam (2023) </w:t>
      </w:r>
      <w:r>
        <w:rPr>
          <w:rStyle w:val="Emphasis"/>
        </w:rPr>
        <w:t>Inequality Inc.: How Corporate Power Divides Our World.</w:t>
      </w:r>
      <w:r>
        <w:t xml:space="preserve"> Oxford: Oxfam International. Available at: </w:t>
      </w:r>
      <w:hyperlink r:id="rId14" w:tgtFrame="_new" w:history="1">
        <w:r>
          <w:rPr>
            <w:rStyle w:val="Hyperlink"/>
          </w:rPr>
          <w:t>https://www.oxfam.org</w:t>
        </w:r>
      </w:hyperlink>
      <w:r>
        <w:t xml:space="preserve"> (Accessed: 4 March 2025).</w:t>
      </w:r>
    </w:p>
    <w:p w14:paraId="3BB75828" w14:textId="77777777" w:rsidR="004B7E54" w:rsidRDefault="004B7E54" w:rsidP="004B7E54">
      <w:pPr>
        <w:pStyle w:val="NormalWeb"/>
      </w:pPr>
      <w:r>
        <w:t xml:space="preserve">Public Health England (2018) </w:t>
      </w:r>
      <w:r>
        <w:rPr>
          <w:rStyle w:val="Emphasis"/>
        </w:rPr>
        <w:t>Health Equity Assessment Tool (HEAT).</w:t>
      </w:r>
      <w:r>
        <w:t xml:space="preserve"> London: PHE. Available at: </w:t>
      </w:r>
      <w:hyperlink r:id="rId15" w:tgtFrame="_new" w:history="1">
        <w:r>
          <w:rPr>
            <w:rStyle w:val="Hyperlink"/>
          </w:rPr>
          <w:t>https://www.gov.uk/government/publications/health-equity-assessment-tool-heat</w:t>
        </w:r>
      </w:hyperlink>
      <w:r>
        <w:t xml:space="preserve"> (Accessed: 4 March 2025).</w:t>
      </w:r>
    </w:p>
    <w:p w14:paraId="03BDD791" w14:textId="77777777" w:rsidR="004B7E54" w:rsidRDefault="004B7E54" w:rsidP="004B7E54">
      <w:pPr>
        <w:pStyle w:val="NormalWeb"/>
      </w:pPr>
      <w:r>
        <w:t xml:space="preserve">The Health Foundation (2023) </w:t>
      </w:r>
      <w:r>
        <w:rPr>
          <w:rStyle w:val="Emphasis"/>
        </w:rPr>
        <w:t>Tackling the UK’s Health Inequalities.</w:t>
      </w:r>
      <w:r>
        <w:t xml:space="preserve"> London: The Health Foundation. Available at: </w:t>
      </w:r>
      <w:hyperlink r:id="rId16" w:tgtFrame="_new" w:history="1">
        <w:r>
          <w:rPr>
            <w:rStyle w:val="Hyperlink"/>
          </w:rPr>
          <w:t>https://www.health.org.uk</w:t>
        </w:r>
      </w:hyperlink>
      <w:r>
        <w:t xml:space="preserve"> (Accessed: 4 March 2025).</w:t>
      </w:r>
    </w:p>
    <w:p w14:paraId="250391C5" w14:textId="77777777" w:rsidR="004B7E54" w:rsidRDefault="004B7E54" w:rsidP="004B7E54">
      <w:pPr>
        <w:pStyle w:val="NormalWeb"/>
      </w:pPr>
      <w:r>
        <w:t xml:space="preserve">The Health Foundation (2023) </w:t>
      </w:r>
      <w:r>
        <w:rPr>
          <w:rStyle w:val="Emphasis"/>
        </w:rPr>
        <w:t>Levelling Up Health: Assessing the Government’s Record on Inequality.</w:t>
      </w:r>
      <w:r>
        <w:t xml:space="preserve"> London: The Health Foundation. Available at: https://www.health.org.uk/publications (Accessed: 4 March 2025).</w:t>
      </w:r>
    </w:p>
    <w:p w14:paraId="14FBFFF8" w14:textId="77777777" w:rsidR="004B7E54" w:rsidRDefault="004B7E54" w:rsidP="004B7E54">
      <w:pPr>
        <w:pStyle w:val="NormalWeb"/>
      </w:pPr>
      <w:r>
        <w:t xml:space="preserve">The King’s Fund (2023) </w:t>
      </w:r>
      <w:r>
        <w:rPr>
          <w:rStyle w:val="Emphasis"/>
        </w:rPr>
        <w:t>The NHS Workforce Crisis: A Growing Concern.</w:t>
      </w:r>
      <w:r>
        <w:t xml:space="preserve"> London: The King’s Fund. Available at: </w:t>
      </w:r>
      <w:hyperlink r:id="rId17" w:tgtFrame="_new" w:history="1">
        <w:r>
          <w:rPr>
            <w:rStyle w:val="Hyperlink"/>
          </w:rPr>
          <w:t>https://www.kingsfund.org.uk</w:t>
        </w:r>
      </w:hyperlink>
      <w:r>
        <w:t xml:space="preserve"> (Accessed: 4 March 2025).</w:t>
      </w:r>
    </w:p>
    <w:p w14:paraId="229798EC" w14:textId="77777777" w:rsidR="004B7E54" w:rsidRDefault="004B7E54" w:rsidP="004B7E54">
      <w:pPr>
        <w:pStyle w:val="NormalWeb"/>
      </w:pPr>
      <w:r>
        <w:t xml:space="preserve">The Lancet (2022) ‘The Impact of COVID-19 on Global Health Equity’, </w:t>
      </w:r>
      <w:r>
        <w:rPr>
          <w:rStyle w:val="Emphasis"/>
        </w:rPr>
        <w:t>The Lancet</w:t>
      </w:r>
      <w:r>
        <w:t>, 399(10341), pp. 1239–1242.</w:t>
      </w:r>
    </w:p>
    <w:p w14:paraId="2CD268AE" w14:textId="77777777" w:rsidR="004B7E54" w:rsidRDefault="004B7E54" w:rsidP="004B7E54">
      <w:pPr>
        <w:pStyle w:val="NormalWeb"/>
      </w:pPr>
      <w:r>
        <w:t xml:space="preserve">The Lancet Global Health (2022) ‘COVID-19 and Global Inequality’, </w:t>
      </w:r>
      <w:r>
        <w:rPr>
          <w:rStyle w:val="Emphasis"/>
        </w:rPr>
        <w:t>The Lancet Global Health</w:t>
      </w:r>
      <w:r>
        <w:t>, 10(8), pp. 1045–1048.</w:t>
      </w:r>
    </w:p>
    <w:p w14:paraId="1F06B7F9" w14:textId="77777777" w:rsidR="004B7E54" w:rsidRDefault="004B7E54" w:rsidP="004B7E54">
      <w:pPr>
        <w:pStyle w:val="NormalWeb"/>
      </w:pPr>
      <w:r>
        <w:t xml:space="preserve">United Nations (2015) </w:t>
      </w:r>
      <w:r>
        <w:rPr>
          <w:rStyle w:val="Emphasis"/>
        </w:rPr>
        <w:t>Transforming Our World: The 2030 Agenda for Sustainable Development.</w:t>
      </w:r>
      <w:r>
        <w:t xml:space="preserve"> New York: United Nations. Available at: </w:t>
      </w:r>
      <w:hyperlink r:id="rId18" w:tgtFrame="_new" w:history="1">
        <w:r>
          <w:rPr>
            <w:rStyle w:val="Hyperlink"/>
          </w:rPr>
          <w:t>https://sdgs.un.org/2030agenda</w:t>
        </w:r>
      </w:hyperlink>
      <w:r>
        <w:t xml:space="preserve"> (Accessed: 4 March 2025).</w:t>
      </w:r>
    </w:p>
    <w:p w14:paraId="5FCCA059" w14:textId="77777777" w:rsidR="004B7E54" w:rsidRDefault="004B7E54" w:rsidP="004B7E54">
      <w:pPr>
        <w:pStyle w:val="NormalWeb"/>
      </w:pPr>
      <w:r>
        <w:t xml:space="preserve">United Nations (2024) </w:t>
      </w:r>
      <w:r>
        <w:rPr>
          <w:rStyle w:val="Emphasis"/>
        </w:rPr>
        <w:t>Sustainable Development Goals Progress Report 2024.</w:t>
      </w:r>
      <w:r>
        <w:t xml:space="preserve"> New York: United Nations. Available at: https://unstats.un.org/sdgs/report/2024 (Accessed: 4 March 2025).</w:t>
      </w:r>
    </w:p>
    <w:p w14:paraId="48306ED1" w14:textId="77777777" w:rsidR="004B7E54" w:rsidRDefault="004B7E54" w:rsidP="004B7E54">
      <w:pPr>
        <w:pStyle w:val="NormalWeb"/>
      </w:pPr>
      <w:r>
        <w:t xml:space="preserve">United Nations Development Programme (2023) </w:t>
      </w:r>
      <w:r>
        <w:rPr>
          <w:rStyle w:val="Emphasis"/>
        </w:rPr>
        <w:t>Goal 3: Good Health and Wellbeing.</w:t>
      </w:r>
      <w:r>
        <w:t xml:space="preserve"> Available at: </w:t>
      </w:r>
      <w:hyperlink r:id="rId19" w:tgtFrame="_new" w:history="1">
        <w:r>
          <w:rPr>
            <w:rStyle w:val="Hyperlink"/>
          </w:rPr>
          <w:t>https://www.undp.org/sustainable-development-goals</w:t>
        </w:r>
      </w:hyperlink>
      <w:r>
        <w:t xml:space="preserve"> (Accessed: 4 March 2025).</w:t>
      </w:r>
    </w:p>
    <w:p w14:paraId="051824C4" w14:textId="77777777" w:rsidR="004B7E54" w:rsidRDefault="004B7E54" w:rsidP="004B7E54">
      <w:pPr>
        <w:pStyle w:val="NormalWeb"/>
      </w:pPr>
      <w:r>
        <w:t xml:space="preserve">World Bank (2023) </w:t>
      </w:r>
      <w:r>
        <w:rPr>
          <w:rStyle w:val="Emphasis"/>
        </w:rPr>
        <w:t>Tracking Universal Health Coverage: 2023 Global Monitoring Report.</w:t>
      </w:r>
      <w:r>
        <w:t xml:space="preserve"> Washington DC: World Bank. Available at: </w:t>
      </w:r>
      <w:hyperlink r:id="rId20" w:tgtFrame="_new" w:history="1">
        <w:r>
          <w:rPr>
            <w:rStyle w:val="Hyperlink"/>
          </w:rPr>
          <w:t>https://www.worldbank.org</w:t>
        </w:r>
      </w:hyperlink>
      <w:r>
        <w:t xml:space="preserve"> (Accessed: 4 March 2025).</w:t>
      </w:r>
    </w:p>
    <w:p w14:paraId="0A4728B5" w14:textId="77777777" w:rsidR="004B7E54" w:rsidRDefault="004B7E54" w:rsidP="004B7E54">
      <w:pPr>
        <w:pStyle w:val="NormalWeb"/>
      </w:pPr>
      <w:r>
        <w:t xml:space="preserve">World Health Organization (1986) </w:t>
      </w:r>
      <w:r>
        <w:rPr>
          <w:rStyle w:val="Emphasis"/>
        </w:rPr>
        <w:t>Ottawa Charter for Health Promotion.</w:t>
      </w:r>
      <w:r>
        <w:t xml:space="preserve"> Geneva: WHO. Available at: </w:t>
      </w:r>
      <w:hyperlink r:id="rId21" w:tgtFrame="_new" w:history="1">
        <w:r>
          <w:rPr>
            <w:rStyle w:val="Hyperlink"/>
          </w:rPr>
          <w:t>https://www.who.int</w:t>
        </w:r>
      </w:hyperlink>
      <w:r>
        <w:t xml:space="preserve"> (Accessed: 4 March 2025).</w:t>
      </w:r>
    </w:p>
    <w:p w14:paraId="66F14F64" w14:textId="77777777" w:rsidR="004B7E54" w:rsidRDefault="004B7E54" w:rsidP="004B7E54">
      <w:pPr>
        <w:pStyle w:val="NormalWeb"/>
      </w:pPr>
      <w:r>
        <w:t xml:space="preserve">World Health Organization (2019) </w:t>
      </w:r>
      <w:r>
        <w:rPr>
          <w:rStyle w:val="Emphasis"/>
        </w:rPr>
        <w:t>Universal Health Coverage: Moving Together to Build a Healthier World.</w:t>
      </w:r>
      <w:r>
        <w:t xml:space="preserve"> Geneva: WHO.</w:t>
      </w:r>
    </w:p>
    <w:p w14:paraId="527F8C8A" w14:textId="5FFD1196" w:rsidR="004B7E54" w:rsidRDefault="004B7E54" w:rsidP="004B7E54">
      <w:pPr>
        <w:pStyle w:val="NormalWeb"/>
      </w:pPr>
      <w:r>
        <w:lastRenderedPageBreak/>
        <w:t>World Health Organi</w:t>
      </w:r>
      <w:r w:rsidR="004C5BE0">
        <w:t>s</w:t>
      </w:r>
      <w:r>
        <w:t xml:space="preserve">ation (2019) </w:t>
      </w:r>
      <w:r>
        <w:rPr>
          <w:rStyle w:val="Emphasis"/>
        </w:rPr>
        <w:t>Health Inequality Framework: Building Equity into Health Systems.</w:t>
      </w:r>
      <w:r>
        <w:t xml:space="preserve"> Geneva: WHO.</w:t>
      </w:r>
    </w:p>
    <w:p w14:paraId="023F627A" w14:textId="24DD0499" w:rsidR="004B7E54" w:rsidRDefault="004B7E54" w:rsidP="004B7E54">
      <w:pPr>
        <w:pStyle w:val="NormalWeb"/>
      </w:pPr>
      <w:r>
        <w:t>World Health Organi</w:t>
      </w:r>
      <w:r w:rsidR="004C5BE0">
        <w:t>s</w:t>
      </w:r>
      <w:r>
        <w:t xml:space="preserve">ation (2021) </w:t>
      </w:r>
      <w:r>
        <w:rPr>
          <w:rStyle w:val="Emphasis"/>
        </w:rPr>
        <w:t>Health Equity Assessment Toolkit (HEAT): User Manual (Version 4.0).</w:t>
      </w:r>
      <w:r>
        <w:t xml:space="preserve"> Geneva: WHO.</w:t>
      </w:r>
    </w:p>
    <w:p w14:paraId="54B19BB7" w14:textId="28619A07" w:rsidR="004B7E54" w:rsidRDefault="004B7E54" w:rsidP="004B7E54">
      <w:pPr>
        <w:pStyle w:val="NormalWeb"/>
      </w:pPr>
      <w:r>
        <w:t>World Health Organi</w:t>
      </w:r>
      <w:r w:rsidR="004C5BE0">
        <w:t>s</w:t>
      </w:r>
      <w:r>
        <w:t xml:space="preserve">ation (2023) </w:t>
      </w:r>
      <w:r>
        <w:rPr>
          <w:rStyle w:val="Emphasis"/>
        </w:rPr>
        <w:t>Sustainable Development Goals (SDGs): Goal 3 – Ensure Healthy Lives and Promote Wellbeing for All.</w:t>
      </w:r>
      <w:r>
        <w:t xml:space="preserve"> Geneva: WHO. Available at: </w:t>
      </w:r>
      <w:hyperlink r:id="rId22" w:tgtFrame="_new" w:history="1">
        <w:r>
          <w:rPr>
            <w:rStyle w:val="Hyperlink"/>
          </w:rPr>
          <w:t>https://www.who.int</w:t>
        </w:r>
      </w:hyperlink>
      <w:r>
        <w:t xml:space="preserve"> (Accessed: 4 March 2025).</w:t>
      </w:r>
    </w:p>
    <w:p w14:paraId="3CAF9A91" w14:textId="0DC1B44D" w:rsidR="004B7E54" w:rsidRDefault="004B7E54" w:rsidP="004B7E54">
      <w:pPr>
        <w:pStyle w:val="NormalWeb"/>
      </w:pPr>
      <w:r>
        <w:t>World Health Organi</w:t>
      </w:r>
      <w:r w:rsidR="004C5BE0">
        <w:t>s</w:t>
      </w:r>
      <w:r>
        <w:t xml:space="preserve">ation (2023) </w:t>
      </w:r>
      <w:r>
        <w:rPr>
          <w:rStyle w:val="Emphasis"/>
        </w:rPr>
        <w:t>Sustainable Development Goals: Goal 10 – Reduce Inequalities.</w:t>
      </w:r>
      <w:r>
        <w:t xml:space="preserve"> Geneva: WHO. Available at: </w:t>
      </w:r>
      <w:hyperlink r:id="rId23" w:tgtFrame="_new" w:history="1">
        <w:r>
          <w:rPr>
            <w:rStyle w:val="Hyperlink"/>
          </w:rPr>
          <w:t>https://www.who.int</w:t>
        </w:r>
      </w:hyperlink>
      <w:r>
        <w:t xml:space="preserve"> (Accessed: 4 March 2025).</w:t>
      </w:r>
    </w:p>
    <w:p w14:paraId="186415F0" w14:textId="21B898B0" w:rsidR="003B5999" w:rsidRPr="009236C9" w:rsidRDefault="003B5999" w:rsidP="009236C9"/>
    <w:sectPr w:rsidR="003B5999" w:rsidRPr="009236C9" w:rsidSect="005366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271"/>
    <w:multiLevelType w:val="multilevel"/>
    <w:tmpl w:val="1ED2A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D2F47"/>
    <w:multiLevelType w:val="multilevel"/>
    <w:tmpl w:val="EE20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35F60"/>
    <w:multiLevelType w:val="multilevel"/>
    <w:tmpl w:val="7E308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D15C7"/>
    <w:multiLevelType w:val="multilevel"/>
    <w:tmpl w:val="595CB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B13C29"/>
    <w:multiLevelType w:val="multilevel"/>
    <w:tmpl w:val="6B08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71134"/>
    <w:multiLevelType w:val="multilevel"/>
    <w:tmpl w:val="7B7E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754A5"/>
    <w:multiLevelType w:val="multilevel"/>
    <w:tmpl w:val="F7147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550C59"/>
    <w:multiLevelType w:val="multilevel"/>
    <w:tmpl w:val="D7D83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752A7"/>
    <w:multiLevelType w:val="multilevel"/>
    <w:tmpl w:val="1D385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F05F5"/>
    <w:multiLevelType w:val="multilevel"/>
    <w:tmpl w:val="83EC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50D25"/>
    <w:multiLevelType w:val="multilevel"/>
    <w:tmpl w:val="EA985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941CA8"/>
    <w:multiLevelType w:val="multilevel"/>
    <w:tmpl w:val="3096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560BFF"/>
    <w:multiLevelType w:val="multilevel"/>
    <w:tmpl w:val="BC046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2B2228"/>
    <w:multiLevelType w:val="multilevel"/>
    <w:tmpl w:val="23B0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0C5070"/>
    <w:multiLevelType w:val="multilevel"/>
    <w:tmpl w:val="48F2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4789"/>
    <w:multiLevelType w:val="multilevel"/>
    <w:tmpl w:val="4C4EA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D36733"/>
    <w:multiLevelType w:val="multilevel"/>
    <w:tmpl w:val="D47C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3902DA"/>
    <w:multiLevelType w:val="multilevel"/>
    <w:tmpl w:val="433A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1708509">
    <w:abstractNumId w:val="17"/>
  </w:num>
  <w:num w:numId="2" w16cid:durableId="368721693">
    <w:abstractNumId w:val="11"/>
  </w:num>
  <w:num w:numId="3" w16cid:durableId="340863466">
    <w:abstractNumId w:val="0"/>
  </w:num>
  <w:num w:numId="4" w16cid:durableId="1691375592">
    <w:abstractNumId w:val="8"/>
  </w:num>
  <w:num w:numId="5" w16cid:durableId="818496672">
    <w:abstractNumId w:val="10"/>
  </w:num>
  <w:num w:numId="6" w16cid:durableId="128323928">
    <w:abstractNumId w:val="13"/>
  </w:num>
  <w:num w:numId="7" w16cid:durableId="980114453">
    <w:abstractNumId w:val="1"/>
  </w:num>
  <w:num w:numId="8" w16cid:durableId="572785125">
    <w:abstractNumId w:val="14"/>
  </w:num>
  <w:num w:numId="9" w16cid:durableId="1008942500">
    <w:abstractNumId w:val="12"/>
  </w:num>
  <w:num w:numId="10" w16cid:durableId="184054912">
    <w:abstractNumId w:val="2"/>
  </w:num>
  <w:num w:numId="11" w16cid:durableId="1836603074">
    <w:abstractNumId w:val="7"/>
  </w:num>
  <w:num w:numId="12" w16cid:durableId="1080558772">
    <w:abstractNumId w:val="9"/>
  </w:num>
  <w:num w:numId="13" w16cid:durableId="1669627134">
    <w:abstractNumId w:val="5"/>
  </w:num>
  <w:num w:numId="14" w16cid:durableId="929267103">
    <w:abstractNumId w:val="15"/>
  </w:num>
  <w:num w:numId="15" w16cid:durableId="1794135304">
    <w:abstractNumId w:val="4"/>
  </w:num>
  <w:num w:numId="16" w16cid:durableId="152458368">
    <w:abstractNumId w:val="16"/>
  </w:num>
  <w:num w:numId="17" w16cid:durableId="2001427197">
    <w:abstractNumId w:val="3"/>
  </w:num>
  <w:num w:numId="18" w16cid:durableId="2771789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EE0"/>
    <w:rsid w:val="00015CA1"/>
    <w:rsid w:val="000F1C06"/>
    <w:rsid w:val="00184542"/>
    <w:rsid w:val="001C5C3A"/>
    <w:rsid w:val="00204990"/>
    <w:rsid w:val="00227CAE"/>
    <w:rsid w:val="002A054E"/>
    <w:rsid w:val="002D3375"/>
    <w:rsid w:val="002E1367"/>
    <w:rsid w:val="0036049C"/>
    <w:rsid w:val="003B5999"/>
    <w:rsid w:val="003D63B2"/>
    <w:rsid w:val="00416472"/>
    <w:rsid w:val="00441A9A"/>
    <w:rsid w:val="00477817"/>
    <w:rsid w:val="004B7E54"/>
    <w:rsid w:val="004C5BE0"/>
    <w:rsid w:val="004F440C"/>
    <w:rsid w:val="005366CD"/>
    <w:rsid w:val="00696C6E"/>
    <w:rsid w:val="00724623"/>
    <w:rsid w:val="00871EE0"/>
    <w:rsid w:val="009236C9"/>
    <w:rsid w:val="00923F5E"/>
    <w:rsid w:val="009A4F95"/>
    <w:rsid w:val="009D0EAE"/>
    <w:rsid w:val="009D48AF"/>
    <w:rsid w:val="00AA55EB"/>
    <w:rsid w:val="00AF6108"/>
    <w:rsid w:val="00B02698"/>
    <w:rsid w:val="00B15381"/>
    <w:rsid w:val="00B640F1"/>
    <w:rsid w:val="00C631E6"/>
    <w:rsid w:val="00D037C4"/>
    <w:rsid w:val="00D74BCE"/>
    <w:rsid w:val="00D75B39"/>
    <w:rsid w:val="00EA4286"/>
    <w:rsid w:val="00F61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A079E"/>
  <w15:chartTrackingRefBased/>
  <w15:docId w15:val="{21290A21-6C84-FC4E-8AB5-7DF09D6CB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E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1E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1E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E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E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E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E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E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E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E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1E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1E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E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E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E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E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E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EE0"/>
    <w:rPr>
      <w:rFonts w:eastAsiaTheme="majorEastAsia" w:cstheme="majorBidi"/>
      <w:color w:val="272727" w:themeColor="text1" w:themeTint="D8"/>
    </w:rPr>
  </w:style>
  <w:style w:type="paragraph" w:styleId="Title">
    <w:name w:val="Title"/>
    <w:basedOn w:val="Normal"/>
    <w:next w:val="Normal"/>
    <w:link w:val="TitleChar"/>
    <w:uiPriority w:val="10"/>
    <w:qFormat/>
    <w:rsid w:val="00871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E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E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E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EE0"/>
    <w:pPr>
      <w:spacing w:before="160"/>
      <w:jc w:val="center"/>
    </w:pPr>
    <w:rPr>
      <w:i/>
      <w:iCs/>
      <w:color w:val="404040" w:themeColor="text1" w:themeTint="BF"/>
    </w:rPr>
  </w:style>
  <w:style w:type="character" w:customStyle="1" w:styleId="QuoteChar">
    <w:name w:val="Quote Char"/>
    <w:basedOn w:val="DefaultParagraphFont"/>
    <w:link w:val="Quote"/>
    <w:uiPriority w:val="29"/>
    <w:rsid w:val="00871EE0"/>
    <w:rPr>
      <w:i/>
      <w:iCs/>
      <w:color w:val="404040" w:themeColor="text1" w:themeTint="BF"/>
    </w:rPr>
  </w:style>
  <w:style w:type="paragraph" w:styleId="ListParagraph">
    <w:name w:val="List Paragraph"/>
    <w:basedOn w:val="Normal"/>
    <w:uiPriority w:val="34"/>
    <w:qFormat/>
    <w:rsid w:val="00871EE0"/>
    <w:pPr>
      <w:ind w:left="720"/>
      <w:contextualSpacing/>
    </w:pPr>
  </w:style>
  <w:style w:type="character" w:styleId="IntenseEmphasis">
    <w:name w:val="Intense Emphasis"/>
    <w:basedOn w:val="DefaultParagraphFont"/>
    <w:uiPriority w:val="21"/>
    <w:qFormat/>
    <w:rsid w:val="00871EE0"/>
    <w:rPr>
      <w:i/>
      <w:iCs/>
      <w:color w:val="0F4761" w:themeColor="accent1" w:themeShade="BF"/>
    </w:rPr>
  </w:style>
  <w:style w:type="paragraph" w:styleId="IntenseQuote">
    <w:name w:val="Intense Quote"/>
    <w:basedOn w:val="Normal"/>
    <w:next w:val="Normal"/>
    <w:link w:val="IntenseQuoteChar"/>
    <w:uiPriority w:val="30"/>
    <w:qFormat/>
    <w:rsid w:val="00871E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EE0"/>
    <w:rPr>
      <w:i/>
      <w:iCs/>
      <w:color w:val="0F4761" w:themeColor="accent1" w:themeShade="BF"/>
    </w:rPr>
  </w:style>
  <w:style w:type="character" w:styleId="IntenseReference">
    <w:name w:val="Intense Reference"/>
    <w:basedOn w:val="DefaultParagraphFont"/>
    <w:uiPriority w:val="32"/>
    <w:qFormat/>
    <w:rsid w:val="00871EE0"/>
    <w:rPr>
      <w:b/>
      <w:bCs/>
      <w:smallCaps/>
      <w:color w:val="0F4761" w:themeColor="accent1" w:themeShade="BF"/>
      <w:spacing w:val="5"/>
    </w:rPr>
  </w:style>
  <w:style w:type="character" w:styleId="Hyperlink">
    <w:name w:val="Hyperlink"/>
    <w:basedOn w:val="DefaultParagraphFont"/>
    <w:uiPriority w:val="99"/>
    <w:unhideWhenUsed/>
    <w:rsid w:val="00871EE0"/>
    <w:rPr>
      <w:color w:val="467886" w:themeColor="hyperlink"/>
      <w:u w:val="single"/>
    </w:rPr>
  </w:style>
  <w:style w:type="character" w:styleId="UnresolvedMention">
    <w:name w:val="Unresolved Mention"/>
    <w:basedOn w:val="DefaultParagraphFont"/>
    <w:uiPriority w:val="99"/>
    <w:semiHidden/>
    <w:unhideWhenUsed/>
    <w:rsid w:val="00871EE0"/>
    <w:rPr>
      <w:color w:val="605E5C"/>
      <w:shd w:val="clear" w:color="auto" w:fill="E1DFDD"/>
    </w:rPr>
  </w:style>
  <w:style w:type="paragraph" w:styleId="NoSpacing">
    <w:name w:val="No Spacing"/>
    <w:link w:val="NoSpacingChar"/>
    <w:uiPriority w:val="1"/>
    <w:qFormat/>
    <w:rsid w:val="005366CD"/>
    <w:pPr>
      <w:spacing w:after="0" w:line="240" w:lineRule="auto"/>
    </w:pPr>
    <w:rPr>
      <w:rFonts w:eastAsiaTheme="minorEastAsia"/>
      <w:kern w:val="0"/>
      <w:szCs w:val="22"/>
      <w:lang w:val="en-US" w:eastAsia="zh-CN"/>
      <w14:ligatures w14:val="none"/>
    </w:rPr>
  </w:style>
  <w:style w:type="character" w:customStyle="1" w:styleId="NoSpacingChar">
    <w:name w:val="No Spacing Char"/>
    <w:basedOn w:val="DefaultParagraphFont"/>
    <w:link w:val="NoSpacing"/>
    <w:uiPriority w:val="1"/>
    <w:rsid w:val="005366CD"/>
    <w:rPr>
      <w:rFonts w:eastAsiaTheme="minorEastAsia"/>
      <w:kern w:val="0"/>
      <w:sz w:val="22"/>
      <w:szCs w:val="22"/>
      <w:lang w:val="en-US" w:eastAsia="zh-CN"/>
      <w14:ligatures w14:val="none"/>
    </w:rPr>
  </w:style>
  <w:style w:type="character" w:styleId="Emphasis">
    <w:name w:val="Emphasis"/>
    <w:basedOn w:val="DefaultParagraphFont"/>
    <w:uiPriority w:val="20"/>
    <w:qFormat/>
    <w:rsid w:val="00204990"/>
    <w:rPr>
      <w:i/>
      <w:iCs/>
    </w:rPr>
  </w:style>
  <w:style w:type="paragraph" w:styleId="TOCHeading">
    <w:name w:val="TOC Heading"/>
    <w:basedOn w:val="Heading1"/>
    <w:next w:val="Normal"/>
    <w:uiPriority w:val="39"/>
    <w:unhideWhenUsed/>
    <w:qFormat/>
    <w:rsid w:val="00204990"/>
    <w:pPr>
      <w:spacing w:before="480" w:after="0"/>
      <w:outlineLvl w:val="9"/>
    </w:pPr>
    <w:rPr>
      <w:b/>
      <w:bCs/>
      <w:kern w:val="0"/>
      <w:sz w:val="28"/>
      <w:szCs w:val="28"/>
      <w:lang w:val="en-US"/>
      <w14:ligatures w14:val="none"/>
    </w:rPr>
  </w:style>
  <w:style w:type="paragraph" w:styleId="TOC1">
    <w:name w:val="toc 1"/>
    <w:basedOn w:val="Normal"/>
    <w:next w:val="Normal"/>
    <w:autoRedefine/>
    <w:uiPriority w:val="39"/>
    <w:unhideWhenUsed/>
    <w:rsid w:val="00204990"/>
    <w:pPr>
      <w:spacing w:before="120" w:after="0"/>
    </w:pPr>
    <w:rPr>
      <w:rFonts w:asciiTheme="minorHAnsi" w:hAnsiTheme="minorHAnsi"/>
      <w:b/>
      <w:bCs/>
      <w:i/>
      <w:iCs/>
      <w:sz w:val="24"/>
    </w:rPr>
  </w:style>
  <w:style w:type="paragraph" w:styleId="TOC2">
    <w:name w:val="toc 2"/>
    <w:basedOn w:val="Normal"/>
    <w:next w:val="Normal"/>
    <w:autoRedefine/>
    <w:uiPriority w:val="39"/>
    <w:unhideWhenUsed/>
    <w:rsid w:val="00204990"/>
    <w:pPr>
      <w:spacing w:before="120" w:after="0"/>
      <w:ind w:left="220"/>
    </w:pPr>
    <w:rPr>
      <w:rFonts w:asciiTheme="minorHAnsi" w:hAnsiTheme="minorHAnsi"/>
      <w:b/>
      <w:bCs/>
      <w:szCs w:val="22"/>
    </w:rPr>
  </w:style>
  <w:style w:type="paragraph" w:styleId="TOC3">
    <w:name w:val="toc 3"/>
    <w:basedOn w:val="Normal"/>
    <w:next w:val="Normal"/>
    <w:autoRedefine/>
    <w:uiPriority w:val="39"/>
    <w:unhideWhenUsed/>
    <w:rsid w:val="00204990"/>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204990"/>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204990"/>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204990"/>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204990"/>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204990"/>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204990"/>
    <w:pPr>
      <w:spacing w:after="0"/>
      <w:ind w:left="1760"/>
    </w:pPr>
    <w:rPr>
      <w:rFonts w:asciiTheme="minorHAnsi" w:hAnsiTheme="minorHAnsi"/>
      <w:sz w:val="20"/>
      <w:szCs w:val="20"/>
    </w:rPr>
  </w:style>
  <w:style w:type="paragraph" w:styleId="NormalWeb">
    <w:name w:val="Normal (Web)"/>
    <w:basedOn w:val="Normal"/>
    <w:uiPriority w:val="99"/>
    <w:unhideWhenUsed/>
    <w:rsid w:val="00184542"/>
    <w:rPr>
      <w:rFonts w:ascii="Times New Roman" w:hAnsi="Times New Roman" w:cs="Times New Roman"/>
    </w:rPr>
  </w:style>
  <w:style w:type="character" w:customStyle="1" w:styleId="apple-converted-space">
    <w:name w:val="apple-converted-space"/>
    <w:basedOn w:val="DefaultParagraphFont"/>
    <w:rsid w:val="003B5999"/>
  </w:style>
  <w:style w:type="character" w:styleId="Strong">
    <w:name w:val="Strong"/>
    <w:basedOn w:val="DefaultParagraphFont"/>
    <w:uiPriority w:val="22"/>
    <w:qFormat/>
    <w:rsid w:val="003B59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vi.org" TargetMode="External"/><Relationship Id="rId13" Type="http://schemas.openxmlformats.org/officeDocument/2006/relationships/hyperlink" Target="https://www.gov.uk/government/organisations/office-for-health-improvement-and-disparities" TargetMode="External"/><Relationship Id="rId18" Type="http://schemas.openxmlformats.org/officeDocument/2006/relationships/hyperlink" Target="https://sdgs.un.org/2030agenda" TargetMode="External"/><Relationship Id="rId3" Type="http://schemas.openxmlformats.org/officeDocument/2006/relationships/styles" Target="styles.xml"/><Relationship Id="rId21" Type="http://schemas.openxmlformats.org/officeDocument/2006/relationships/hyperlink" Target="https://www.who.int" TargetMode="External"/><Relationship Id="rId7" Type="http://schemas.openxmlformats.org/officeDocument/2006/relationships/hyperlink" Target="https://www.legislation.gov.uk/ukpga/2022/31" TargetMode="External"/><Relationship Id="rId12" Type="http://schemas.openxmlformats.org/officeDocument/2006/relationships/hyperlink" Target="https://www.ons.gov.uk" TargetMode="External"/><Relationship Id="rId17" Type="http://schemas.openxmlformats.org/officeDocument/2006/relationships/hyperlink" Target="https://www.kingsfund.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ealth.org.uk" TargetMode="External"/><Relationship Id="rId20" Type="http://schemas.openxmlformats.org/officeDocument/2006/relationships/hyperlink" Target="https://www.worldbank.org" TargetMode="External"/><Relationship Id="rId1" Type="http://schemas.openxmlformats.org/officeDocument/2006/relationships/customXml" Target="../customXml/item1.xml"/><Relationship Id="rId6" Type="http://schemas.openxmlformats.org/officeDocument/2006/relationships/hyperlink" Target="https://www.birmingham.gov.uk" TargetMode="External"/><Relationship Id="rId11" Type="http://schemas.openxmlformats.org/officeDocument/2006/relationships/hyperlink" Target="https://www.nhsrho.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health-equity-assessment-tool-heat" TargetMode="External"/><Relationship Id="rId23" Type="http://schemas.openxmlformats.org/officeDocument/2006/relationships/hyperlink" Target="https://www.who.int" TargetMode="External"/><Relationship Id="rId10" Type="http://schemas.openxmlformats.org/officeDocument/2006/relationships/hyperlink" Target="https://www.longtermplan.nhs.uk" TargetMode="External"/><Relationship Id="rId19" Type="http://schemas.openxmlformats.org/officeDocument/2006/relationships/hyperlink" Target="https://www.undp.org/sustainable-development-goals" TargetMode="External"/><Relationship Id="rId4" Type="http://schemas.openxmlformats.org/officeDocument/2006/relationships/settings" Target="settings.xml"/><Relationship Id="rId9" Type="http://schemas.openxmlformats.org/officeDocument/2006/relationships/hyperlink" Target="https://www.gov.uk/government/publications/levelling-up-the-united-kingdom" TargetMode="External"/><Relationship Id="rId14" Type="http://schemas.openxmlformats.org/officeDocument/2006/relationships/hyperlink" Target="https://www.oxfam.org" TargetMode="External"/><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00C6A-FF61-D649-94CA-910B99BA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4005</Words>
  <Characters>22832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A Critical Analysis of SDGS 3 and 10</vt:lpstr>
    </vt:vector>
  </TitlesOfParts>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SDGS 3 and 10</dc:title>
  <dc:subject>Tackling UK Health Inequalities via Global, National, and Local Efforts</dc:subject>
  <dc:creator>Ela Nana Afia Sakyibea (2232149)</dc:creator>
  <cp:keywords/>
  <dc:description/>
  <cp:lastModifiedBy>Ela Nana Afia Sakyibea (2232149)</cp:lastModifiedBy>
  <cp:revision>5</cp:revision>
  <dcterms:created xsi:type="dcterms:W3CDTF">2025-11-10T21:10:00Z</dcterms:created>
  <dcterms:modified xsi:type="dcterms:W3CDTF">2025-11-10T21:12:00Z</dcterms:modified>
</cp:coreProperties>
</file>