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E627BBB" w:rsidP="119166DC" w:rsidRDefault="5E627BBB" w14:paraId="4CF9CABC" w14:textId="6FCE4BE6">
      <w:pPr>
        <w:pStyle w:val="Normal"/>
        <w:spacing w:line="360" w:lineRule="auto"/>
        <w:rPr>
          <w:rFonts w:ascii="Arial" w:hAnsi="Arial" w:eastAsia="Arial" w:cs="Arial"/>
          <w:sz w:val="22"/>
          <w:szCs w:val="22"/>
        </w:rPr>
      </w:pPr>
    </w:p>
    <w:p w:rsidR="5E627BBB" w:rsidP="119166DC" w:rsidRDefault="5E627BBB" w14:paraId="43C85DCB" w14:textId="2FDD89DE">
      <w:pPr>
        <w:pStyle w:val="Normal"/>
        <w:spacing w:line="360" w:lineRule="auto"/>
        <w:rPr>
          <w:rFonts w:ascii="Arial" w:hAnsi="Arial" w:eastAsia="Arial" w:cs="Arial"/>
          <w:sz w:val="22"/>
          <w:szCs w:val="22"/>
        </w:rPr>
      </w:pPr>
    </w:p>
    <w:p w:rsidR="5E627BBB" w:rsidP="119166DC" w:rsidRDefault="5E627BBB" w14:paraId="2D07823F" w14:textId="3A2BDB1B">
      <w:pPr>
        <w:pStyle w:val="Normal"/>
        <w:spacing w:line="360" w:lineRule="auto"/>
        <w:rPr>
          <w:rFonts w:ascii="Arial" w:hAnsi="Arial" w:eastAsia="Arial" w:cs="Arial"/>
          <w:sz w:val="22"/>
          <w:szCs w:val="22"/>
        </w:rPr>
      </w:pPr>
    </w:p>
    <w:p w:rsidR="5E627BBB" w:rsidP="119166DC" w:rsidRDefault="5E627BBB" w14:paraId="1FEB662E" w14:textId="2A5D6472">
      <w:pPr>
        <w:pStyle w:val="Normal"/>
        <w:spacing w:line="360" w:lineRule="auto"/>
        <w:rPr>
          <w:rFonts w:ascii="Arial" w:hAnsi="Arial" w:eastAsia="Arial" w:cs="Arial"/>
          <w:sz w:val="22"/>
          <w:szCs w:val="22"/>
        </w:rPr>
      </w:pPr>
    </w:p>
    <w:p w:rsidR="5E627BBB" w:rsidP="119166DC" w:rsidRDefault="5E627BBB" w14:paraId="1054972A" w14:textId="43EEDC74">
      <w:pPr>
        <w:pStyle w:val="Normal"/>
        <w:spacing w:line="360" w:lineRule="auto"/>
        <w:rPr>
          <w:rFonts w:ascii="Arial" w:hAnsi="Arial" w:eastAsia="Arial" w:cs="Arial"/>
          <w:sz w:val="22"/>
          <w:szCs w:val="22"/>
        </w:rPr>
      </w:pPr>
    </w:p>
    <w:p w:rsidR="5E627BBB" w:rsidP="119166DC" w:rsidRDefault="5E627BBB" w14:paraId="4E6FDAE2" w14:textId="1DF59087">
      <w:pPr>
        <w:pStyle w:val="Normal"/>
        <w:spacing w:line="360" w:lineRule="auto"/>
        <w:rPr>
          <w:rFonts w:ascii="Arial" w:hAnsi="Arial" w:eastAsia="Arial" w:cs="Arial"/>
          <w:sz w:val="22"/>
          <w:szCs w:val="22"/>
        </w:rPr>
      </w:pPr>
    </w:p>
    <w:p w:rsidR="5E627BBB" w:rsidP="119166DC" w:rsidRDefault="5E627BBB" w14:paraId="174A1832" w14:textId="3CF10919">
      <w:pPr>
        <w:pStyle w:val="Normal"/>
        <w:spacing w:line="360" w:lineRule="auto"/>
        <w:rPr>
          <w:rFonts w:ascii="Arial" w:hAnsi="Arial" w:eastAsia="Arial" w:cs="Arial"/>
          <w:sz w:val="22"/>
          <w:szCs w:val="22"/>
        </w:rPr>
      </w:pPr>
    </w:p>
    <w:p w:rsidR="5E627BBB" w:rsidP="119166DC" w:rsidRDefault="5E627BBB" w14:paraId="42C59ADF" w14:textId="6B7BA0BE">
      <w:pPr>
        <w:pStyle w:val="Normal"/>
        <w:spacing w:line="360" w:lineRule="auto"/>
        <w:rPr>
          <w:rFonts w:ascii="Arial" w:hAnsi="Arial" w:eastAsia="Arial" w:cs="Arial"/>
          <w:sz w:val="22"/>
          <w:szCs w:val="22"/>
        </w:rPr>
      </w:pPr>
    </w:p>
    <w:p w:rsidR="5E627BBB" w:rsidP="119166DC" w:rsidRDefault="5E627BBB" w14:paraId="50602685" w14:textId="07881DE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627BBB" w:rsidP="119166DC" w:rsidRDefault="5E627BBB" w14:paraId="4102DD51" w14:textId="70CDF1D4">
      <w:pPr>
        <w:spacing w:after="160"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119166DC" w:rsidR="119166D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Assessment Component BMPF7023 Written assignment</w:t>
      </w:r>
    </w:p>
    <w:p w:rsidR="5E627BBB" w:rsidP="119166DC" w:rsidRDefault="5E627BBB" w14:paraId="6EFB33C3" w14:textId="11ED189E">
      <w:pPr>
        <w:pStyle w:val="Normal"/>
        <w:spacing w:after="160"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119166DC" w:rsidR="119166D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2241055</w:t>
      </w:r>
    </w:p>
    <w:p w:rsidR="5E627BBB" w:rsidP="119166DC" w:rsidRDefault="5E627BBB" w14:paraId="0FAF8BB1" w14:textId="52E6EC74">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Word count: 5321</w:t>
      </w:r>
    </w:p>
    <w:p w:rsidR="5E627BBB" w:rsidP="119166DC" w:rsidRDefault="5E627BBB" w14:paraId="6F04D57A" w14:textId="1846708C">
      <w:pPr>
        <w:pStyle w:val="Normal"/>
        <w:spacing w:line="360" w:lineRule="auto"/>
        <w:rPr>
          <w:rFonts w:ascii="Arial" w:hAnsi="Arial" w:eastAsia="Arial" w:cs="Arial"/>
          <w:sz w:val="22"/>
          <w:szCs w:val="22"/>
        </w:rPr>
      </w:pPr>
    </w:p>
    <w:p w:rsidR="5E627BBB" w:rsidP="119166DC" w:rsidRDefault="5E627BBB" w14:paraId="400081F1" w14:textId="1014711B">
      <w:pPr>
        <w:pStyle w:val="Normal"/>
        <w:spacing w:line="360" w:lineRule="auto"/>
        <w:rPr>
          <w:rFonts w:ascii="Arial" w:hAnsi="Arial" w:eastAsia="Arial" w:cs="Arial"/>
          <w:sz w:val="22"/>
          <w:szCs w:val="22"/>
        </w:rPr>
      </w:pPr>
    </w:p>
    <w:p w:rsidR="5E627BBB" w:rsidP="119166DC" w:rsidRDefault="5E627BBB" w14:paraId="5C8C39C5" w14:textId="0B6302F5">
      <w:pPr>
        <w:pStyle w:val="Normal"/>
        <w:spacing w:line="360" w:lineRule="auto"/>
        <w:rPr>
          <w:rFonts w:ascii="Arial" w:hAnsi="Arial" w:eastAsia="Arial" w:cs="Arial"/>
          <w:sz w:val="22"/>
          <w:szCs w:val="22"/>
        </w:rPr>
      </w:pPr>
    </w:p>
    <w:p w:rsidR="5E627BBB" w:rsidP="119166DC" w:rsidRDefault="5E627BBB" w14:paraId="603D46D2" w14:textId="2770D329">
      <w:pPr>
        <w:pStyle w:val="Normal"/>
        <w:spacing w:line="360" w:lineRule="auto"/>
        <w:rPr>
          <w:rFonts w:ascii="Arial" w:hAnsi="Arial" w:eastAsia="Arial" w:cs="Arial"/>
          <w:sz w:val="22"/>
          <w:szCs w:val="22"/>
        </w:rPr>
      </w:pPr>
    </w:p>
    <w:p w:rsidR="5E627BBB" w:rsidP="119166DC" w:rsidRDefault="5E627BBB" w14:paraId="1062D24F" w14:textId="51F977C7">
      <w:pPr>
        <w:pStyle w:val="Normal"/>
        <w:spacing w:line="360" w:lineRule="auto"/>
        <w:rPr>
          <w:rFonts w:ascii="Arial" w:hAnsi="Arial" w:eastAsia="Arial" w:cs="Arial"/>
          <w:sz w:val="22"/>
          <w:szCs w:val="22"/>
        </w:rPr>
      </w:pPr>
    </w:p>
    <w:p w:rsidR="5E627BBB" w:rsidP="119166DC" w:rsidRDefault="5E627BBB" w14:paraId="3724266D" w14:textId="23F1E4DA">
      <w:pPr>
        <w:pStyle w:val="Normal"/>
        <w:spacing w:line="360" w:lineRule="auto"/>
        <w:rPr>
          <w:rFonts w:ascii="Arial" w:hAnsi="Arial" w:eastAsia="Arial" w:cs="Arial"/>
          <w:sz w:val="22"/>
          <w:szCs w:val="22"/>
        </w:rPr>
      </w:pPr>
    </w:p>
    <w:p w:rsidR="5E627BBB" w:rsidP="119166DC" w:rsidRDefault="5E627BBB" w14:paraId="37800603" w14:textId="1C7B0DB4">
      <w:pPr>
        <w:pStyle w:val="Normal"/>
        <w:spacing w:line="360" w:lineRule="auto"/>
        <w:rPr>
          <w:rFonts w:ascii="Arial" w:hAnsi="Arial" w:eastAsia="Arial" w:cs="Arial"/>
          <w:sz w:val="22"/>
          <w:szCs w:val="22"/>
        </w:rPr>
      </w:pPr>
    </w:p>
    <w:p w:rsidR="5E627BBB" w:rsidP="119166DC" w:rsidRDefault="5E627BBB" w14:paraId="5E59B04D" w14:textId="602E5693">
      <w:pPr>
        <w:pStyle w:val="Normal"/>
        <w:spacing w:line="360" w:lineRule="auto"/>
        <w:rPr>
          <w:rFonts w:ascii="Arial" w:hAnsi="Arial" w:eastAsia="Arial" w:cs="Arial"/>
          <w:sz w:val="22"/>
          <w:szCs w:val="22"/>
        </w:rPr>
      </w:pPr>
    </w:p>
    <w:p w:rsidR="5E627BBB" w:rsidP="119166DC" w:rsidRDefault="5E627BBB" w14:paraId="64D291DD" w14:textId="10AF0B4C">
      <w:pPr>
        <w:pStyle w:val="Normal"/>
        <w:spacing w:line="360" w:lineRule="auto"/>
        <w:rPr>
          <w:rFonts w:ascii="Arial" w:hAnsi="Arial" w:eastAsia="Arial" w:cs="Arial"/>
          <w:sz w:val="22"/>
          <w:szCs w:val="22"/>
        </w:rPr>
      </w:pPr>
    </w:p>
    <w:p w:rsidR="5E627BBB" w:rsidP="119166DC" w:rsidRDefault="5E627BBB" w14:paraId="0FA0D951" w14:textId="65487817">
      <w:pPr>
        <w:pStyle w:val="Normal"/>
        <w:spacing w:line="360" w:lineRule="auto"/>
        <w:rPr>
          <w:rFonts w:ascii="Arial" w:hAnsi="Arial" w:eastAsia="Arial" w:cs="Arial"/>
          <w:sz w:val="22"/>
          <w:szCs w:val="22"/>
        </w:rPr>
      </w:pPr>
    </w:p>
    <w:p w:rsidR="5E627BBB" w:rsidP="119166DC" w:rsidRDefault="5E627BBB" w14:paraId="2306D3CB" w14:textId="4FEB6C7E">
      <w:pPr>
        <w:pStyle w:val="Normal"/>
        <w:spacing w:line="360" w:lineRule="auto"/>
        <w:rPr>
          <w:rFonts w:ascii="Arial" w:hAnsi="Arial" w:eastAsia="Arial" w:cs="Arial"/>
          <w:sz w:val="22"/>
          <w:szCs w:val="22"/>
        </w:rPr>
      </w:pPr>
    </w:p>
    <w:p w:rsidR="5E627BBB" w:rsidP="119166DC" w:rsidRDefault="5E627BBB" w14:paraId="387054DF" w14:textId="5D6AA8EE">
      <w:pPr>
        <w:pStyle w:val="Normal"/>
        <w:spacing w:line="360" w:lineRule="auto"/>
        <w:rPr>
          <w:rFonts w:ascii="Arial" w:hAnsi="Arial" w:eastAsia="Arial" w:cs="Arial"/>
          <w:sz w:val="22"/>
          <w:szCs w:val="22"/>
        </w:rPr>
      </w:pPr>
    </w:p>
    <w:p w:rsidR="5E627BBB" w:rsidP="119166DC" w:rsidRDefault="5E627BBB" w14:paraId="34663A7C" w14:textId="692B6CAC">
      <w:pPr>
        <w:pStyle w:val="Normal"/>
        <w:spacing w:line="360" w:lineRule="auto"/>
        <w:rPr>
          <w:rFonts w:ascii="Arial" w:hAnsi="Arial" w:eastAsia="Arial" w:cs="Arial"/>
          <w:sz w:val="22"/>
          <w:szCs w:val="22"/>
        </w:rPr>
      </w:pPr>
      <w:r w:rsidRPr="119166DC" w:rsidR="119166DC">
        <w:rPr>
          <w:rFonts w:ascii="Arial" w:hAnsi="Arial" w:eastAsia="Arial" w:cs="Arial"/>
          <w:sz w:val="22"/>
          <w:szCs w:val="22"/>
        </w:rPr>
        <w:t>There is incumbent within all who dare to stand forward and assume a role of command and authority to buttress their activity with rigorous planning (</w:t>
      </w:r>
      <w:r w:rsidRPr="119166DC" w:rsidR="119166DC">
        <w:rPr>
          <w:rFonts w:ascii="Arial" w:hAnsi="Arial" w:eastAsia="Arial" w:cs="Arial"/>
          <w:sz w:val="22"/>
          <w:szCs w:val="22"/>
        </w:rPr>
        <w:t>Askenas</w:t>
      </w:r>
      <w:r w:rsidRPr="119166DC" w:rsidR="119166DC">
        <w:rPr>
          <w:rFonts w:ascii="Arial" w:hAnsi="Arial" w:eastAsia="Arial" w:cs="Arial"/>
          <w:sz w:val="22"/>
          <w:szCs w:val="22"/>
        </w:rPr>
        <w:t xml:space="preserve"> and Manville, 2018; Burns, 1978). If leadership </w:t>
      </w:r>
      <w:r w:rsidRPr="119166DC" w:rsidR="119166DC">
        <w:rPr>
          <w:rFonts w:ascii="Arial" w:hAnsi="Arial" w:eastAsia="Arial" w:cs="Arial"/>
          <w:sz w:val="22"/>
          <w:szCs w:val="22"/>
        </w:rPr>
        <w:t>contains</w:t>
      </w:r>
      <w:r w:rsidRPr="119166DC" w:rsidR="119166DC">
        <w:rPr>
          <w:rFonts w:ascii="Arial" w:hAnsi="Arial" w:eastAsia="Arial" w:cs="Arial"/>
          <w:sz w:val="22"/>
          <w:szCs w:val="22"/>
        </w:rPr>
        <w:t xml:space="preserve"> within it the implicit promise of achieving change (Carlyle, 2017; Cohen, 2012) then one must lay out the structure of how to grasp the tiller and steer that progress or risk the metaphorical rocks (Michel, 2017). I am one individual amongst many in a national organisation; while I, like a supplicant pilgrim, reach out my hand towards that which can be done to improve standards, there is resistance and hesitancy amongst my peers. Understanding this paradigm is key to achieving one’s truest potential as a leader (Maxwell, 2018). For my sins, I am a Senior Paramedic in the Welsh Ambulance Service (WAST). As a clinical manager I am part of a supportive network for staff, as a kind of locality clinical lead answerable to the Health Board Clinical Lead. I perform ride-outs with staff where I can push audit compliance, support competency &amp; development and </w:t>
      </w:r>
      <w:r w:rsidRPr="119166DC" w:rsidR="119166DC">
        <w:rPr>
          <w:rFonts w:ascii="Arial" w:hAnsi="Arial" w:eastAsia="Arial" w:cs="Arial"/>
          <w:sz w:val="22"/>
          <w:szCs w:val="22"/>
        </w:rPr>
        <w:t>identify</w:t>
      </w:r>
      <w:r w:rsidRPr="119166DC" w:rsidR="119166DC">
        <w:rPr>
          <w:rFonts w:ascii="Arial" w:hAnsi="Arial" w:eastAsia="Arial" w:cs="Arial"/>
          <w:sz w:val="22"/>
          <w:szCs w:val="22"/>
        </w:rPr>
        <w:t xml:space="preserve"> potential issues. Additionally, I work as solo responding Paramedic for 25% of the time, with advanced clinical skills. This is a high acuity role with an emphasis on attendance for further clinical skills and leadership at trauma cases, cardiac </w:t>
      </w:r>
      <w:r w:rsidRPr="119166DC" w:rsidR="119166DC">
        <w:rPr>
          <w:rFonts w:ascii="Arial" w:hAnsi="Arial" w:eastAsia="Arial" w:cs="Arial"/>
          <w:sz w:val="22"/>
          <w:szCs w:val="22"/>
        </w:rPr>
        <w:t>arrests</w:t>
      </w:r>
      <w:r w:rsidRPr="119166DC" w:rsidR="119166DC">
        <w:rPr>
          <w:rFonts w:ascii="Arial" w:hAnsi="Arial" w:eastAsia="Arial" w:cs="Arial"/>
          <w:sz w:val="22"/>
          <w:szCs w:val="22"/>
        </w:rPr>
        <w:t xml:space="preserve"> and major incidents. The </w:t>
      </w:r>
      <w:r w:rsidRPr="119166DC" w:rsidR="119166DC">
        <w:rPr>
          <w:rFonts w:ascii="Arial" w:hAnsi="Arial" w:eastAsia="Arial" w:cs="Arial"/>
          <w:sz w:val="22"/>
          <w:szCs w:val="22"/>
        </w:rPr>
        <w:t>remainder</w:t>
      </w:r>
      <w:r w:rsidRPr="119166DC" w:rsidR="119166DC">
        <w:rPr>
          <w:rFonts w:ascii="Arial" w:hAnsi="Arial" w:eastAsia="Arial" w:cs="Arial"/>
          <w:sz w:val="22"/>
          <w:szCs w:val="22"/>
        </w:rPr>
        <w:t xml:space="preserve"> of the time is spent on clinical governance; this </w:t>
      </w:r>
      <w:r w:rsidRPr="119166DC" w:rsidR="119166DC">
        <w:rPr>
          <w:rFonts w:ascii="Arial" w:hAnsi="Arial" w:eastAsia="Arial" w:cs="Arial"/>
          <w:sz w:val="22"/>
          <w:szCs w:val="22"/>
        </w:rPr>
        <w:t>constitutes</w:t>
      </w:r>
      <w:r w:rsidRPr="119166DC" w:rsidR="119166DC">
        <w:rPr>
          <w:rFonts w:ascii="Arial" w:hAnsi="Arial" w:eastAsia="Arial" w:cs="Arial"/>
          <w:sz w:val="22"/>
          <w:szCs w:val="22"/>
        </w:rPr>
        <w:t xml:space="preserve"> the provision of Clinical Reviews, the review of electronic paperwork, the return-to-work support and provision of education support for staff. I work within an environment of glacial change, where the senior clinical leadership of the Welsh Ambulance Service seem more intent on minor but flashy changes to promote their own image, taking credit on social media for innovations of dubious providence and effectiveness (Cornelissen, 2020). </w:t>
      </w:r>
    </w:p>
    <w:p w:rsidR="642EA9C3" w:rsidP="119166DC" w:rsidRDefault="642EA9C3" w14:paraId="73ADE691" w14:textId="5B720218">
      <w:pPr>
        <w:pStyle w:val="Normal"/>
        <w:spacing w:line="360" w:lineRule="auto"/>
        <w:rPr>
          <w:rFonts w:ascii="Arial" w:hAnsi="Arial" w:eastAsia="Arial" w:cs="Arial"/>
          <w:sz w:val="22"/>
          <w:szCs w:val="22"/>
        </w:rPr>
      </w:pPr>
      <w:r w:rsidRPr="119166DC" w:rsidR="119166DC">
        <w:rPr>
          <w:rFonts w:ascii="Arial" w:hAnsi="Arial" w:eastAsia="Arial" w:cs="Arial"/>
          <w:sz w:val="22"/>
          <w:szCs w:val="22"/>
        </w:rPr>
        <w:t xml:space="preserve">At the heart of structure of change is a fundamental assessment of the nature of the influence of organisational culture and the positive and more often negative (Buchanan and Huczynski, 2017) effect it can have on any introduced change initiative. To that end it is necessary to define organisational culture through a lens of the influence it can have on the ability to drive change (Graetz, 2016). There are a variety of different models that can be used to ease said evaluation. However, as a preface it will be necessary to impart a general sense of the status of </w:t>
      </w:r>
      <w:r w:rsidRPr="119166DC" w:rsidR="119166DC">
        <w:rPr>
          <w:rFonts w:ascii="Arial" w:hAnsi="Arial" w:eastAsia="Arial" w:cs="Arial"/>
          <w:sz w:val="22"/>
          <w:szCs w:val="22"/>
        </w:rPr>
        <w:t>hierarchy</w:t>
      </w:r>
      <w:r w:rsidRPr="119166DC" w:rsidR="119166DC">
        <w:rPr>
          <w:rFonts w:ascii="Arial" w:hAnsi="Arial" w:eastAsia="Arial" w:cs="Arial"/>
          <w:sz w:val="22"/>
          <w:szCs w:val="22"/>
        </w:rPr>
        <w:t xml:space="preserve"> within the Welsh Ambulance Service. At its core there are twin structures of management, Clinical and Operations. The first, Clinical, takes responsibility over the medical practice and interventions of staff towards patients. It has a purview over the medications, </w:t>
      </w:r>
      <w:r w:rsidRPr="119166DC" w:rsidR="119166DC">
        <w:rPr>
          <w:rFonts w:ascii="Arial" w:hAnsi="Arial" w:eastAsia="Arial" w:cs="Arial"/>
          <w:sz w:val="22"/>
          <w:szCs w:val="22"/>
        </w:rPr>
        <w:t>training</w:t>
      </w:r>
      <w:r w:rsidRPr="119166DC" w:rsidR="119166DC">
        <w:rPr>
          <w:rFonts w:ascii="Arial" w:hAnsi="Arial" w:eastAsia="Arial" w:cs="Arial"/>
          <w:sz w:val="22"/>
          <w:szCs w:val="22"/>
        </w:rPr>
        <w:t xml:space="preserve"> and skills of the frontline staff. It is the area in which the change project that this essay focuses on is based. The latter, Operations, concerns itself with Response Times, Fleet, Staff health and welfare, Estates and Logistics. Nominally, the Welsh Ambulance Service is intended to be clinically led, however in reality the Operational Directorate is in charge. There are greater complexities beyond this simplistic binary, however it is </w:t>
      </w:r>
      <w:r w:rsidRPr="119166DC" w:rsidR="119166DC">
        <w:rPr>
          <w:rFonts w:ascii="Arial" w:hAnsi="Arial" w:eastAsia="Arial" w:cs="Arial"/>
          <w:sz w:val="22"/>
          <w:szCs w:val="22"/>
        </w:rPr>
        <w:t>an appropriate approximate</w:t>
      </w:r>
      <w:r w:rsidRPr="119166DC" w:rsidR="119166DC">
        <w:rPr>
          <w:rFonts w:ascii="Arial" w:hAnsi="Arial" w:eastAsia="Arial" w:cs="Arial"/>
          <w:sz w:val="22"/>
          <w:szCs w:val="22"/>
        </w:rPr>
        <w:t xml:space="preserve"> summation.</w:t>
      </w:r>
    </w:p>
    <w:p w:rsidR="642EA9C3" w:rsidP="119166DC" w:rsidRDefault="642EA9C3" w14:paraId="5798DCE1" w14:textId="24461442">
      <w:pPr>
        <w:pStyle w:val="Normal"/>
        <w:spacing w:line="360" w:lineRule="auto"/>
        <w:rPr>
          <w:rFonts w:ascii="Arial" w:hAnsi="Arial" w:eastAsia="Arial" w:cs="Arial"/>
          <w:sz w:val="22"/>
          <w:szCs w:val="22"/>
        </w:rPr>
      </w:pPr>
      <w:r w:rsidRPr="119166DC" w:rsidR="119166DC">
        <w:rPr>
          <w:rFonts w:ascii="Arial" w:hAnsi="Arial" w:eastAsia="Arial" w:cs="Arial"/>
          <w:sz w:val="22"/>
          <w:szCs w:val="22"/>
        </w:rPr>
        <w:t>Using Hofstede’s model of Organisational Culture (Hofstede and Pedersen, 2002), which originates in a long form investigation of cross-cultural psychology (Hofstede, 1991). For our purposes, the model will be laid out with the utilised implications for the Welsh Ambulance Service:</w:t>
      </w:r>
    </w:p>
    <w:p w:rsidR="642EA9C3" w:rsidP="119166DC" w:rsidRDefault="642EA9C3" w14:paraId="60F400BC" w14:textId="7952060F">
      <w:pPr>
        <w:pStyle w:val="Normal"/>
        <w:spacing w:line="360" w:lineRule="auto"/>
        <w:rPr>
          <w:rFonts w:ascii="Arial" w:hAnsi="Arial" w:eastAsia="Arial" w:cs="Arial"/>
          <w:sz w:val="22"/>
          <w:szCs w:val="22"/>
          <w:u w:val="single"/>
        </w:rPr>
      </w:pPr>
      <w:r w:rsidRPr="119166DC" w:rsidR="119166DC">
        <w:rPr>
          <w:rFonts w:ascii="Arial" w:hAnsi="Arial" w:eastAsia="Arial" w:cs="Arial"/>
          <w:sz w:val="22"/>
          <w:szCs w:val="22"/>
          <w:u w:val="single"/>
        </w:rPr>
        <w:t>Means Oriented Versus Goal Oriented</w:t>
      </w:r>
    </w:p>
    <w:p w:rsidR="642EA9C3" w:rsidP="119166DC" w:rsidRDefault="642EA9C3" w14:paraId="364A417A" w14:textId="4E37A964">
      <w:pPr>
        <w:pStyle w:val="Normal"/>
        <w:spacing w:line="360" w:lineRule="auto"/>
        <w:rPr>
          <w:rFonts w:ascii="Arial" w:hAnsi="Arial" w:eastAsia="Arial" w:cs="Arial"/>
          <w:sz w:val="22"/>
          <w:szCs w:val="22"/>
        </w:rPr>
      </w:pPr>
      <w:r w:rsidRPr="119166DC" w:rsidR="119166DC">
        <w:rPr>
          <w:rFonts w:ascii="Arial" w:hAnsi="Arial" w:eastAsia="Arial" w:cs="Arial"/>
          <w:sz w:val="22"/>
          <w:szCs w:val="22"/>
        </w:rPr>
        <w:t xml:space="preserve">This is the imbroglio of whether an organisation remains committed to the intent of the mission or has become focused on the delivery instead. The Welsh Ambulance Service has targets associated with response time and not care delivery. It is irrelevant to the dictated </w:t>
      </w:r>
      <w:r w:rsidRPr="119166DC" w:rsidR="119166DC">
        <w:rPr>
          <w:rFonts w:ascii="Arial" w:hAnsi="Arial" w:eastAsia="Arial" w:cs="Arial"/>
          <w:sz w:val="22"/>
          <w:szCs w:val="22"/>
        </w:rPr>
        <w:t>objectives</w:t>
      </w:r>
      <w:r w:rsidRPr="119166DC" w:rsidR="119166DC">
        <w:rPr>
          <w:rFonts w:ascii="Arial" w:hAnsi="Arial" w:eastAsia="Arial" w:cs="Arial"/>
          <w:sz w:val="22"/>
          <w:szCs w:val="22"/>
        </w:rPr>
        <w:t xml:space="preserve"> and therefore the success state of WAST if, as an example, a patient attended in the community survives to discharge (Welsh Ambulance Service, 2024). The arrival of a responding vehicle within an 8-minute </w:t>
      </w:r>
      <w:r w:rsidRPr="119166DC" w:rsidR="119166DC">
        <w:rPr>
          <w:rFonts w:ascii="Arial" w:hAnsi="Arial" w:eastAsia="Arial" w:cs="Arial"/>
          <w:sz w:val="22"/>
          <w:szCs w:val="22"/>
        </w:rPr>
        <w:t>time frame</w:t>
      </w:r>
      <w:r w:rsidRPr="119166DC" w:rsidR="119166DC">
        <w:rPr>
          <w:rFonts w:ascii="Arial" w:hAnsi="Arial" w:eastAsia="Arial" w:cs="Arial"/>
          <w:sz w:val="22"/>
          <w:szCs w:val="22"/>
        </w:rPr>
        <w:t xml:space="preserve"> is the paramount concern (Goddard, 2022). Tragically, this creates a political impetus which innately focuses the attention of WAST into a means-oriented pitch rather than the goal. This induces within the organisation a desire to see operational improvements rather than clinical competency gains as the more necessary salvation to our problems; and as such any improvements in terms of staff training must not be perceived to come at the cost of response time.</w:t>
      </w:r>
    </w:p>
    <w:p w:rsidR="642EA9C3" w:rsidP="119166DC" w:rsidRDefault="642EA9C3" w14:paraId="1D358C21" w14:textId="117CBDA1">
      <w:pPr>
        <w:pStyle w:val="Normal"/>
        <w:spacing w:line="360" w:lineRule="auto"/>
        <w:rPr>
          <w:rFonts w:ascii="Arial" w:hAnsi="Arial" w:eastAsia="Arial" w:cs="Arial"/>
          <w:sz w:val="22"/>
          <w:szCs w:val="22"/>
          <w:u w:val="single"/>
        </w:rPr>
      </w:pPr>
      <w:r w:rsidRPr="119166DC" w:rsidR="119166DC">
        <w:rPr>
          <w:rFonts w:ascii="Arial" w:hAnsi="Arial" w:eastAsia="Arial" w:cs="Arial"/>
          <w:sz w:val="22"/>
          <w:szCs w:val="22"/>
          <w:u w:val="single"/>
        </w:rPr>
        <w:t>Internally versus Externally Driven</w:t>
      </w:r>
    </w:p>
    <w:p w:rsidR="642EA9C3" w:rsidP="119166DC" w:rsidRDefault="642EA9C3" w14:paraId="13AFEA17" w14:textId="741B159B">
      <w:pPr>
        <w:pStyle w:val="Normal"/>
        <w:spacing w:line="360" w:lineRule="auto"/>
        <w:rPr>
          <w:rFonts w:ascii="Arial" w:hAnsi="Arial" w:eastAsia="Arial" w:cs="Arial"/>
          <w:sz w:val="22"/>
          <w:szCs w:val="22"/>
        </w:rPr>
      </w:pPr>
      <w:r w:rsidRPr="119166DC" w:rsidR="119166DC">
        <w:rPr>
          <w:rFonts w:ascii="Arial" w:hAnsi="Arial" w:eastAsia="Arial" w:cs="Arial"/>
          <w:sz w:val="22"/>
          <w:szCs w:val="22"/>
        </w:rPr>
        <w:t xml:space="preserve">The question of whether the organisation is motivated by requirements set by its obligations to the patients, associated healthcare agencies and governmental bodies or is introspectively self-mandated to achieve results. It would be most adroit to acknowledge that in the case of WAST it is likely a combination of both with a tendency towards the external. The greatest bulk of clinical changes and staff training has been dictated by His Majesty’s Coroners (National Quality Board, 2019) in recent years, and not by thematic weakness identification. </w:t>
      </w:r>
    </w:p>
    <w:p w:rsidR="642EA9C3" w:rsidP="119166DC" w:rsidRDefault="642EA9C3" w14:paraId="2415700F" w14:textId="7059F6D5">
      <w:pPr>
        <w:pStyle w:val="Normal"/>
        <w:spacing w:line="360" w:lineRule="auto"/>
        <w:rPr>
          <w:rFonts w:ascii="Arial" w:hAnsi="Arial" w:eastAsia="Arial" w:cs="Arial"/>
          <w:sz w:val="22"/>
          <w:szCs w:val="22"/>
          <w:u w:val="single"/>
        </w:rPr>
      </w:pPr>
      <w:r w:rsidRPr="119166DC" w:rsidR="119166DC">
        <w:rPr>
          <w:rFonts w:ascii="Arial" w:hAnsi="Arial" w:eastAsia="Arial" w:cs="Arial"/>
          <w:sz w:val="22"/>
          <w:szCs w:val="22"/>
          <w:u w:val="single"/>
        </w:rPr>
        <w:t>Laissez-Faire versus Strict</w:t>
      </w:r>
    </w:p>
    <w:p w:rsidR="642EA9C3" w:rsidP="119166DC" w:rsidRDefault="642EA9C3" w14:paraId="448BBB87" w14:textId="604941DC">
      <w:pPr>
        <w:pStyle w:val="Normal"/>
        <w:spacing w:line="360" w:lineRule="auto"/>
        <w:rPr>
          <w:rFonts w:ascii="Arial" w:hAnsi="Arial" w:eastAsia="Arial" w:cs="Arial"/>
          <w:sz w:val="22"/>
          <w:szCs w:val="22"/>
        </w:rPr>
      </w:pPr>
      <w:r w:rsidRPr="119166DC" w:rsidR="119166DC">
        <w:rPr>
          <w:rFonts w:ascii="Arial" w:hAnsi="Arial" w:eastAsia="Arial" w:cs="Arial"/>
          <w:sz w:val="22"/>
          <w:szCs w:val="22"/>
        </w:rPr>
        <w:t>Assessing whether the organisation trends towards the use of discipline and control or is more improvisationally bound. For WAST, it is, unfortunately, rigidly strict and centralised. Innovation is stifled at all local levels and most junior to middle management grades are effectively acting as glorified data collectors, in order to push an audit cycle. The most effective pathway for local improvements may lie in insulating awareness of the change from the more senior management of the service (Lawrence, 1970; Green, 2021).</w:t>
      </w:r>
    </w:p>
    <w:p w:rsidR="642EA9C3" w:rsidP="119166DC" w:rsidRDefault="642EA9C3" w14:paraId="4ACB9822" w14:textId="0FB8FBF7">
      <w:pPr>
        <w:pStyle w:val="Normal"/>
        <w:spacing w:line="360" w:lineRule="auto"/>
        <w:rPr>
          <w:rFonts w:ascii="Arial" w:hAnsi="Arial" w:eastAsia="Arial" w:cs="Arial"/>
          <w:sz w:val="22"/>
          <w:szCs w:val="22"/>
          <w:u w:val="single"/>
        </w:rPr>
      </w:pPr>
      <w:r w:rsidRPr="119166DC" w:rsidR="119166DC">
        <w:rPr>
          <w:rFonts w:ascii="Arial" w:hAnsi="Arial" w:eastAsia="Arial" w:cs="Arial"/>
          <w:sz w:val="22"/>
          <w:szCs w:val="22"/>
          <w:u w:val="single"/>
        </w:rPr>
        <w:t>Local versus Professional</w:t>
      </w:r>
    </w:p>
    <w:p w:rsidR="642EA9C3" w:rsidP="119166DC" w:rsidRDefault="642EA9C3" w14:paraId="612147A4" w14:textId="787A08B8">
      <w:pPr>
        <w:pStyle w:val="Normal"/>
        <w:spacing w:line="360" w:lineRule="auto"/>
        <w:rPr>
          <w:rFonts w:ascii="Arial" w:hAnsi="Arial" w:eastAsia="Arial" w:cs="Arial"/>
          <w:sz w:val="22"/>
          <w:szCs w:val="22"/>
        </w:rPr>
      </w:pPr>
      <w:r w:rsidRPr="119166DC" w:rsidR="119166DC">
        <w:rPr>
          <w:rFonts w:ascii="Arial" w:hAnsi="Arial" w:eastAsia="Arial" w:cs="Arial"/>
          <w:sz w:val="22"/>
          <w:szCs w:val="22"/>
        </w:rPr>
        <w:t xml:space="preserve">An organisation can have unifying concepts which tie staff of all levels together, or trend towards smaller norms of practice with more immediate colleagues. WAST has </w:t>
      </w:r>
      <w:r w:rsidRPr="119166DC" w:rsidR="119166DC">
        <w:rPr>
          <w:rFonts w:ascii="Arial" w:hAnsi="Arial" w:eastAsia="Arial" w:cs="Arial"/>
          <w:sz w:val="22"/>
          <w:szCs w:val="22"/>
        </w:rPr>
        <w:t>attempted</w:t>
      </w:r>
      <w:r w:rsidRPr="119166DC" w:rsidR="119166DC">
        <w:rPr>
          <w:rFonts w:ascii="Arial" w:hAnsi="Arial" w:eastAsia="Arial" w:cs="Arial"/>
          <w:sz w:val="22"/>
          <w:szCs w:val="22"/>
        </w:rPr>
        <w:t xml:space="preserve"> to step into the pathway of a national framework with a structural culture. It has failed in this regard, despite commonalities in uniforms, hierarchies and so-called visions and values (Welsh Ambulance Service, 2020). Staff most readily identify with their peers and managers within their localities and not with an unknowable national mo</w:t>
      </w:r>
      <w:r w:rsidRPr="119166DC" w:rsidR="119166DC">
        <w:rPr>
          <w:rFonts w:ascii="Arial" w:hAnsi="Arial" w:eastAsia="Arial" w:cs="Arial"/>
          <w:sz w:val="22"/>
          <w:szCs w:val="22"/>
        </w:rPr>
        <w:t>del (</w:t>
      </w:r>
      <w:r w:rsidRPr="119166DC" w:rsidR="119166DC">
        <w:rPr>
          <w:rFonts w:ascii="Arial" w:hAnsi="Arial" w:eastAsia="Arial" w:cs="Arial"/>
          <w:noProof w:val="0"/>
          <w:sz w:val="22"/>
          <w:szCs w:val="22"/>
          <w:lang w:val="en-GB"/>
        </w:rPr>
        <w:t>Broekstra</w:t>
      </w:r>
      <w:r w:rsidRPr="119166DC" w:rsidR="119166DC">
        <w:rPr>
          <w:rFonts w:ascii="Arial" w:hAnsi="Arial" w:eastAsia="Arial" w:cs="Arial"/>
          <w:noProof w:val="0"/>
          <w:sz w:val="22"/>
          <w:szCs w:val="22"/>
          <w:lang w:val="en-GB"/>
        </w:rPr>
        <w:t>, 2014</w:t>
      </w:r>
      <w:r w:rsidRPr="119166DC" w:rsidR="119166DC">
        <w:rPr>
          <w:rFonts w:ascii="Arial" w:hAnsi="Arial" w:eastAsia="Arial" w:cs="Arial"/>
          <w:sz w:val="22"/>
          <w:szCs w:val="22"/>
        </w:rPr>
        <w:t>).</w:t>
      </w:r>
    </w:p>
    <w:p w:rsidR="642EA9C3" w:rsidP="119166DC" w:rsidRDefault="642EA9C3" w14:paraId="2B434808" w14:textId="7DA1C231">
      <w:pPr>
        <w:pStyle w:val="Normal"/>
        <w:spacing w:line="360" w:lineRule="auto"/>
        <w:rPr>
          <w:rFonts w:ascii="Arial" w:hAnsi="Arial" w:eastAsia="Arial" w:cs="Arial"/>
          <w:sz w:val="22"/>
          <w:szCs w:val="22"/>
          <w:u w:val="single"/>
        </w:rPr>
      </w:pPr>
      <w:r w:rsidRPr="119166DC" w:rsidR="119166DC">
        <w:rPr>
          <w:rFonts w:ascii="Arial" w:hAnsi="Arial" w:eastAsia="Arial" w:cs="Arial"/>
          <w:sz w:val="22"/>
          <w:szCs w:val="22"/>
          <w:u w:val="single"/>
        </w:rPr>
        <w:t>Open versus Closed System</w:t>
      </w:r>
    </w:p>
    <w:p w:rsidR="642EA9C3" w:rsidP="119166DC" w:rsidRDefault="642EA9C3" w14:paraId="77C8EFB3" w14:textId="356C0A58">
      <w:pPr>
        <w:pStyle w:val="Normal"/>
        <w:spacing w:line="360" w:lineRule="auto"/>
        <w:rPr>
          <w:rFonts w:ascii="Arial" w:hAnsi="Arial" w:eastAsia="Arial" w:cs="Arial"/>
          <w:sz w:val="22"/>
          <w:szCs w:val="22"/>
        </w:rPr>
      </w:pPr>
      <w:r w:rsidRPr="119166DC" w:rsidR="119166DC">
        <w:rPr>
          <w:rFonts w:ascii="Arial" w:hAnsi="Arial" w:eastAsia="Arial" w:cs="Arial"/>
          <w:sz w:val="22"/>
          <w:szCs w:val="22"/>
        </w:rPr>
        <w:t xml:space="preserve">The extent to which the organisation allows for </w:t>
      </w:r>
      <w:r w:rsidRPr="119166DC" w:rsidR="119166DC">
        <w:rPr>
          <w:rFonts w:ascii="Arial" w:hAnsi="Arial" w:eastAsia="Arial" w:cs="Arial"/>
          <w:sz w:val="22"/>
          <w:szCs w:val="22"/>
        </w:rPr>
        <w:t>new faces</w:t>
      </w:r>
      <w:r w:rsidRPr="119166DC" w:rsidR="119166DC">
        <w:rPr>
          <w:rFonts w:ascii="Arial" w:hAnsi="Arial" w:eastAsia="Arial" w:cs="Arial"/>
          <w:sz w:val="22"/>
          <w:szCs w:val="22"/>
        </w:rPr>
        <w:t xml:space="preserve"> with </w:t>
      </w:r>
      <w:r w:rsidRPr="119166DC" w:rsidR="119166DC">
        <w:rPr>
          <w:rFonts w:ascii="Arial" w:hAnsi="Arial" w:eastAsia="Arial" w:cs="Arial"/>
          <w:sz w:val="22"/>
          <w:szCs w:val="22"/>
        </w:rPr>
        <w:t>new ideas</w:t>
      </w:r>
      <w:r w:rsidRPr="119166DC" w:rsidR="119166DC">
        <w:rPr>
          <w:rFonts w:ascii="Arial" w:hAnsi="Arial" w:eastAsia="Arial" w:cs="Arial"/>
          <w:sz w:val="22"/>
          <w:szCs w:val="22"/>
        </w:rPr>
        <w:t xml:space="preserve"> to become accepted into the organisation. Historically WAST has been inconsistent with this, with iterative periods where it was receptive to varying degrees to external agencies for change. Currently, due to major financial considerations it has become more </w:t>
      </w:r>
      <w:r w:rsidRPr="119166DC" w:rsidR="119166DC">
        <w:rPr>
          <w:rFonts w:ascii="Arial" w:hAnsi="Arial" w:eastAsia="Arial" w:cs="Arial"/>
          <w:sz w:val="22"/>
          <w:szCs w:val="22"/>
        </w:rPr>
        <w:t>closed.</w:t>
      </w:r>
    </w:p>
    <w:p w:rsidR="642EA9C3" w:rsidP="119166DC" w:rsidRDefault="642EA9C3" w14:paraId="27777F67" w14:textId="5CEDBEE3">
      <w:pPr>
        <w:pStyle w:val="Normal"/>
        <w:spacing w:line="360" w:lineRule="auto"/>
        <w:rPr>
          <w:rFonts w:ascii="Arial" w:hAnsi="Arial" w:eastAsia="Arial" w:cs="Arial"/>
          <w:sz w:val="22"/>
          <w:szCs w:val="22"/>
          <w:u w:val="single"/>
        </w:rPr>
      </w:pPr>
      <w:r w:rsidRPr="119166DC" w:rsidR="119166DC">
        <w:rPr>
          <w:rFonts w:ascii="Arial" w:hAnsi="Arial" w:eastAsia="Arial" w:cs="Arial"/>
          <w:sz w:val="22"/>
          <w:szCs w:val="22"/>
          <w:u w:val="single"/>
        </w:rPr>
        <w:t>Employee versus Task Oriented</w:t>
      </w:r>
    </w:p>
    <w:p w:rsidR="642EA9C3" w:rsidP="119166DC" w:rsidRDefault="642EA9C3" w14:paraId="13B455D9" w14:textId="23043F3E">
      <w:pPr>
        <w:pStyle w:val="Normal"/>
        <w:spacing w:line="360" w:lineRule="auto"/>
        <w:rPr>
          <w:rFonts w:ascii="Arial" w:hAnsi="Arial" w:eastAsia="Arial" w:cs="Arial"/>
          <w:sz w:val="22"/>
          <w:szCs w:val="22"/>
        </w:rPr>
      </w:pPr>
      <w:r w:rsidRPr="119166DC" w:rsidR="119166DC">
        <w:rPr>
          <w:rFonts w:ascii="Arial" w:hAnsi="Arial" w:eastAsia="Arial" w:cs="Arial"/>
          <w:sz w:val="22"/>
          <w:szCs w:val="22"/>
        </w:rPr>
        <w:t xml:space="preserve">Public bodies have a responsibility to provide attention and contingency to the task that they are assigned (Cabinet Office, 2013). As such, they have a duality, that of time and attention paid to staff care versus goal orientation. Within the Welsh Ambulance Service, it, to its credit, has a fidelity to its workforce with pro staff policies that come at the cost of </w:t>
      </w:r>
      <w:r w:rsidRPr="119166DC" w:rsidR="119166DC">
        <w:rPr>
          <w:rFonts w:ascii="Arial" w:hAnsi="Arial" w:eastAsia="Arial" w:cs="Arial"/>
          <w:sz w:val="22"/>
          <w:szCs w:val="22"/>
        </w:rPr>
        <w:t>likely task</w:t>
      </w:r>
      <w:r w:rsidRPr="119166DC" w:rsidR="119166DC">
        <w:rPr>
          <w:rFonts w:ascii="Arial" w:hAnsi="Arial" w:eastAsia="Arial" w:cs="Arial"/>
          <w:sz w:val="22"/>
          <w:szCs w:val="22"/>
        </w:rPr>
        <w:t xml:space="preserve"> success.</w:t>
      </w:r>
      <w:r w:rsidRPr="119166DC" w:rsidR="119166DC">
        <w:rPr>
          <w:rFonts w:ascii="Arial" w:hAnsi="Arial" w:eastAsia="Arial" w:cs="Arial"/>
          <w:sz w:val="22"/>
          <w:szCs w:val="22"/>
        </w:rPr>
        <w:t xml:space="preserve"> It has tak</w:t>
      </w:r>
      <w:r w:rsidRPr="119166DC" w:rsidR="119166DC">
        <w:rPr>
          <w:rFonts w:ascii="Arial" w:hAnsi="Arial" w:eastAsia="Arial" w:cs="Arial"/>
          <w:sz w:val="22"/>
          <w:szCs w:val="22"/>
        </w:rPr>
        <w:t>en these pastoral considerations deeply into account.</w:t>
      </w:r>
    </w:p>
    <w:p w:rsidR="642EA9C3" w:rsidP="119166DC" w:rsidRDefault="642EA9C3" w14:paraId="3C5AF6E1" w14:textId="27C16A75">
      <w:pPr>
        <w:pStyle w:val="Normal"/>
        <w:spacing w:line="360" w:lineRule="auto"/>
        <w:rPr>
          <w:rFonts w:ascii="Arial" w:hAnsi="Arial" w:eastAsia="Arial" w:cs="Arial"/>
          <w:sz w:val="22"/>
          <w:szCs w:val="22"/>
        </w:rPr>
      </w:pPr>
      <w:r w:rsidRPr="119166DC" w:rsidR="119166DC">
        <w:rPr>
          <w:rFonts w:ascii="Arial" w:hAnsi="Arial" w:eastAsia="Arial" w:cs="Arial"/>
          <w:sz w:val="22"/>
          <w:szCs w:val="22"/>
        </w:rPr>
        <w:t xml:space="preserve">The totality of this model and its applicability to WAST is </w:t>
      </w:r>
      <w:r w:rsidRPr="119166DC" w:rsidR="119166DC">
        <w:rPr>
          <w:rFonts w:ascii="Arial" w:hAnsi="Arial" w:eastAsia="Arial" w:cs="Arial"/>
          <w:sz w:val="22"/>
          <w:szCs w:val="22"/>
        </w:rPr>
        <w:t>generally good</w:t>
      </w:r>
      <w:r w:rsidRPr="119166DC" w:rsidR="119166DC">
        <w:rPr>
          <w:rFonts w:ascii="Arial" w:hAnsi="Arial" w:eastAsia="Arial" w:cs="Arial"/>
          <w:sz w:val="22"/>
          <w:szCs w:val="22"/>
        </w:rPr>
        <w:t xml:space="preserve">. It allows for not only a baseline assessment on the part of an insider with organisational awareness. Additionally, it can allow an ease of communication of the constraints and advantages of pushing a change initiative to someone who is not familiar with the peculiarities of health services in general. Nevertheless, Hofstede’s model does have deficiencies, it pays insufficient attention to the nature of keyholders of power (Herriot, 1998; Denison et al., 1995) in favour of a greater analysis of general workforce receptivity to change. Handy (2014), can be utilised to balance this; by the focus that is brought to bear upon the interplay of the dynamic of power, role, </w:t>
      </w:r>
      <w:r w:rsidRPr="119166DC" w:rsidR="119166DC">
        <w:rPr>
          <w:rFonts w:ascii="Arial" w:hAnsi="Arial" w:eastAsia="Arial" w:cs="Arial"/>
          <w:sz w:val="22"/>
          <w:szCs w:val="22"/>
        </w:rPr>
        <w:t>task</w:t>
      </w:r>
      <w:r w:rsidRPr="119166DC" w:rsidR="119166DC">
        <w:rPr>
          <w:rFonts w:ascii="Arial" w:hAnsi="Arial" w:eastAsia="Arial" w:cs="Arial"/>
          <w:sz w:val="22"/>
          <w:szCs w:val="22"/>
        </w:rPr>
        <w:t xml:space="preserve"> and person culture. It would be beneficial if WAST was in between task and person within this matrix, where power was exercised by competent teams and individuals strove for local change. Instead, there is a command-and-control bureaucratic structure where centralised power is hierarchically </w:t>
      </w:r>
      <w:r w:rsidRPr="119166DC" w:rsidR="119166DC">
        <w:rPr>
          <w:rFonts w:ascii="Arial" w:hAnsi="Arial" w:eastAsia="Arial" w:cs="Arial"/>
          <w:sz w:val="22"/>
          <w:szCs w:val="22"/>
        </w:rPr>
        <w:t>disseminated</w:t>
      </w:r>
      <w:r w:rsidRPr="119166DC" w:rsidR="119166DC">
        <w:rPr>
          <w:rFonts w:ascii="Arial" w:hAnsi="Arial" w:eastAsia="Arial" w:cs="Arial"/>
          <w:sz w:val="22"/>
          <w:szCs w:val="22"/>
        </w:rPr>
        <w:t>, crushing opportunity for rapid or local change (Clavelle, 2012; Downton, 1973).</w:t>
      </w:r>
    </w:p>
    <w:p w:rsidR="642EA9C3" w:rsidP="119166DC" w:rsidRDefault="642EA9C3" w14:paraId="469154C1" w14:textId="30AF425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2"/>
          <w:szCs w:val="22"/>
        </w:rPr>
      </w:pPr>
      <w:r w:rsidRPr="119166DC" w:rsidR="119166DC">
        <w:rPr>
          <w:rFonts w:ascii="Arial" w:hAnsi="Arial" w:eastAsia="Arial" w:cs="Arial"/>
          <w:b w:val="0"/>
          <w:bCs w:val="0"/>
          <w:i w:val="0"/>
          <w:iCs w:val="0"/>
          <w:caps w:val="0"/>
          <w:smallCaps w:val="0"/>
          <w:color w:val="000000" w:themeColor="text1" w:themeTint="FF" w:themeShade="FF"/>
          <w:sz w:val="22"/>
          <w:szCs w:val="22"/>
        </w:rPr>
        <w:t xml:space="preserve">Armed with the greater foreknowledge of the inner workings of the Ambulance Service it is therefore possible to assess the common pitfalls and challenges facing any attempt to implement a change programme both generally and specifically to WAST. Currently, the Welsh Ambulance Service covers the entirety of Wales its startingly disparate and diverse geography, </w:t>
      </w:r>
      <w:r w:rsidRPr="119166DC" w:rsidR="119166DC">
        <w:rPr>
          <w:rFonts w:ascii="Arial" w:hAnsi="Arial" w:eastAsia="Arial" w:cs="Arial"/>
          <w:b w:val="0"/>
          <w:bCs w:val="0"/>
          <w:i w:val="0"/>
          <w:iCs w:val="0"/>
          <w:caps w:val="0"/>
          <w:smallCaps w:val="0"/>
          <w:color w:val="000000" w:themeColor="text1" w:themeTint="FF" w:themeShade="FF"/>
          <w:sz w:val="22"/>
          <w:szCs w:val="22"/>
        </w:rPr>
        <w:t>people</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and challenges. Due to an adoption of a centralised model of management, decisions are made on a </w:t>
      </w:r>
      <w:r w:rsidRPr="119166DC" w:rsidR="119166DC">
        <w:rPr>
          <w:rFonts w:ascii="Arial" w:hAnsi="Arial" w:eastAsia="Arial" w:cs="Arial"/>
          <w:b w:val="0"/>
          <w:bCs w:val="0"/>
          <w:i w:val="0"/>
          <w:iCs w:val="0"/>
          <w:caps w:val="0"/>
          <w:smallCaps w:val="0"/>
          <w:color w:val="000000" w:themeColor="text1" w:themeTint="FF" w:themeShade="FF"/>
          <w:sz w:val="22"/>
          <w:szCs w:val="22"/>
        </w:rPr>
        <w:t>generally national</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basis. With </w:t>
      </w:r>
      <w:r w:rsidRPr="119166DC" w:rsidR="119166DC">
        <w:rPr>
          <w:rFonts w:ascii="Arial" w:hAnsi="Arial" w:eastAsia="Arial" w:cs="Arial"/>
          <w:b w:val="0"/>
          <w:bCs w:val="0"/>
          <w:i w:val="0"/>
          <w:iCs w:val="0"/>
          <w:caps w:val="0"/>
          <w:smallCaps w:val="0"/>
          <w:color w:val="000000" w:themeColor="text1" w:themeTint="FF" w:themeShade="FF"/>
          <w:sz w:val="22"/>
          <w:szCs w:val="22"/>
        </w:rPr>
        <w:t>nearly half</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of the population of Wales living in the major urban swathe of Swansea, </w:t>
      </w:r>
      <w:r w:rsidRPr="119166DC" w:rsidR="119166DC">
        <w:rPr>
          <w:rFonts w:ascii="Arial" w:hAnsi="Arial" w:eastAsia="Arial" w:cs="Arial"/>
          <w:b w:val="0"/>
          <w:bCs w:val="0"/>
          <w:i w:val="0"/>
          <w:iCs w:val="0"/>
          <w:caps w:val="0"/>
          <w:smallCaps w:val="0"/>
          <w:color w:val="000000" w:themeColor="text1" w:themeTint="FF" w:themeShade="FF"/>
          <w:sz w:val="22"/>
          <w:szCs w:val="22"/>
        </w:rPr>
        <w:t>Cardiff</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and Newport (Lawson-Jones, 2013), the trajectory and feasibility of the bulk of these choices are designed to be of the greatest benefit to the largest number of people. This comes with the hidden cost, the question of whether a one size fits all approach to pre-hospital care can solve the myriad issues facing WAST (Fine et al., 2018). As an example, the staff and patients face a difficult paradigm in Powys, where there are no receiving Emergency Departments in the Health Board. Contrast that to Cardiff, where </w:t>
      </w:r>
      <w:bookmarkStart w:name="_Int_CZLho5qd" w:id="2089560881"/>
      <w:r w:rsidRPr="119166DC" w:rsidR="119166DC">
        <w:rPr>
          <w:rFonts w:ascii="Arial" w:hAnsi="Arial" w:eastAsia="Arial" w:cs="Arial"/>
          <w:b w:val="0"/>
          <w:bCs w:val="0"/>
          <w:i w:val="0"/>
          <w:iCs w:val="0"/>
          <w:caps w:val="0"/>
          <w:smallCaps w:val="0"/>
          <w:color w:val="000000" w:themeColor="text1" w:themeTint="FF" w:themeShade="FF"/>
          <w:sz w:val="22"/>
          <w:szCs w:val="22"/>
        </w:rPr>
        <w:t>the overwhelming majority of</w:t>
      </w:r>
      <w:bookmarkEnd w:id="2089560881"/>
      <w:r w:rsidRPr="119166DC" w:rsidR="119166DC">
        <w:rPr>
          <w:rFonts w:ascii="Arial" w:hAnsi="Arial" w:eastAsia="Arial" w:cs="Arial"/>
          <w:b w:val="0"/>
          <w:bCs w:val="0"/>
          <w:i w:val="0"/>
          <w:iCs w:val="0"/>
          <w:caps w:val="0"/>
          <w:smallCaps w:val="0"/>
          <w:color w:val="000000" w:themeColor="text1" w:themeTint="FF" w:themeShade="FF"/>
          <w:sz w:val="22"/>
          <w:szCs w:val="22"/>
        </w:rPr>
        <w:t xml:space="preserve"> the population live within a catchment of 10 miles to the University Hospital Wales. The structure of the organisation has a propensity to enforce this issue at multiple rungs but in inconsistent ways. At a regional level, the Clinical Directorate places the strikingly different areas of Swansea, Pembrokeshire, Ceredigion, </w:t>
      </w:r>
      <w:r w:rsidRPr="119166DC" w:rsidR="119166DC">
        <w:rPr>
          <w:rFonts w:ascii="Arial" w:hAnsi="Arial" w:eastAsia="Arial" w:cs="Arial"/>
          <w:b w:val="0"/>
          <w:bCs w:val="0"/>
          <w:i w:val="0"/>
          <w:iCs w:val="0"/>
          <w:caps w:val="0"/>
          <w:smallCaps w:val="0"/>
          <w:color w:val="000000" w:themeColor="text1" w:themeTint="FF" w:themeShade="FF"/>
          <w:sz w:val="22"/>
          <w:szCs w:val="22"/>
        </w:rPr>
        <w:t>Carmarthenshire</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and Powys in a region while </w:t>
      </w:r>
      <w:bookmarkStart w:name="_Int_QdHwrJM3" w:id="1915457334"/>
      <w:r w:rsidRPr="119166DC" w:rsidR="119166DC">
        <w:rPr>
          <w:rFonts w:ascii="Arial" w:hAnsi="Arial" w:eastAsia="Arial" w:cs="Arial"/>
          <w:b w:val="0"/>
          <w:bCs w:val="0"/>
          <w:i w:val="0"/>
          <w:iCs w:val="0"/>
          <w:caps w:val="0"/>
          <w:smallCaps w:val="0"/>
          <w:color w:val="000000" w:themeColor="text1" w:themeTint="FF" w:themeShade="FF"/>
          <w:sz w:val="22"/>
          <w:szCs w:val="22"/>
        </w:rPr>
        <w:t>Operationally</w:t>
      </w:r>
      <w:bookmarkEnd w:id="1915457334"/>
      <w:r w:rsidRPr="119166DC" w:rsidR="119166DC">
        <w:rPr>
          <w:rFonts w:ascii="Arial" w:hAnsi="Arial" w:eastAsia="Arial" w:cs="Arial"/>
          <w:b w:val="0"/>
          <w:bCs w:val="0"/>
          <w:i w:val="0"/>
          <w:iCs w:val="0"/>
          <w:caps w:val="0"/>
          <w:smallCaps w:val="0"/>
          <w:color w:val="000000" w:themeColor="text1" w:themeTint="FF" w:themeShade="FF"/>
          <w:sz w:val="22"/>
          <w:szCs w:val="22"/>
        </w:rPr>
        <w:t xml:space="preserve">, Swansea is placed with Cwm </w:t>
      </w:r>
      <w:r w:rsidRPr="119166DC" w:rsidR="119166DC">
        <w:rPr>
          <w:rFonts w:ascii="Arial" w:hAnsi="Arial" w:eastAsia="Arial" w:cs="Arial"/>
          <w:b w:val="0"/>
          <w:bCs w:val="0"/>
          <w:i w:val="0"/>
          <w:iCs w:val="0"/>
          <w:caps w:val="0"/>
          <w:smallCaps w:val="0"/>
          <w:color w:val="000000" w:themeColor="text1" w:themeTint="FF" w:themeShade="FF"/>
          <w:sz w:val="22"/>
          <w:szCs w:val="22"/>
        </w:rPr>
        <w:t>Taf</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which share </w:t>
      </w:r>
      <w:r w:rsidRPr="119166DC" w:rsidR="119166DC">
        <w:rPr>
          <w:rFonts w:ascii="Arial" w:hAnsi="Arial" w:eastAsia="Arial" w:cs="Arial"/>
          <w:b w:val="0"/>
          <w:bCs w:val="0"/>
          <w:i w:val="0"/>
          <w:iCs w:val="0"/>
          <w:caps w:val="0"/>
          <w:smallCaps w:val="0"/>
          <w:color w:val="000000" w:themeColor="text1" w:themeTint="FF" w:themeShade="FF"/>
          <w:sz w:val="22"/>
          <w:szCs w:val="22"/>
        </w:rPr>
        <w:t>very little</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similarities in terms of geography and healthcare challenges. </w:t>
      </w:r>
    </w:p>
    <w:p w:rsidR="642EA9C3" w:rsidP="119166DC" w:rsidRDefault="642EA9C3" w14:paraId="7C0837ED" w14:textId="7BAF10DB">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2"/>
          <w:szCs w:val="22"/>
        </w:rPr>
      </w:pPr>
      <w:r w:rsidRPr="119166DC" w:rsidR="119166DC">
        <w:rPr>
          <w:rFonts w:ascii="Arial" w:hAnsi="Arial" w:eastAsia="Arial" w:cs="Arial"/>
          <w:b w:val="0"/>
          <w:bCs w:val="0"/>
          <w:i w:val="0"/>
          <w:iCs w:val="0"/>
          <w:caps w:val="0"/>
          <w:smallCaps w:val="0"/>
          <w:color w:val="000000" w:themeColor="text1" w:themeTint="FF" w:themeShade="FF"/>
          <w:sz w:val="22"/>
          <w:szCs w:val="22"/>
        </w:rPr>
        <w:t xml:space="preserve">This centralised perspective has led to the creation of All Wales projects (Welsh Partnership Forum, 2022) which have had varied but usually limited success and stifled the opportunities for smaller areas to act as creches (Kaiser, 2006; Northouse, 2021). Stakeholder engagement is seen as a rarified sphere, rather than a concept which extends from the bottom to the top of the organisation (Carroll et al., 2018). The current paradigm has seen unexplained initiatives descend from the heights of the management structure, organised by those who have not worked frontline, in some cases, for decades. Advocation for changed practice is reactive, usually to discovered or perceived failures (Newton, 2012). Little to no time is taken to gain consensus for the training with the utility, clearly defining and delineating benefits (). Governmental bodies and other healthcare agencies have a compromised understanding of how pre-hospital care and emergency provision works (Eaton, 2023). Patients in the community are entirely shielded from </w:t>
      </w:r>
      <w:r w:rsidRPr="119166DC" w:rsidR="119166DC">
        <w:rPr>
          <w:rFonts w:ascii="Arial" w:hAnsi="Arial" w:eastAsia="Arial" w:cs="Arial"/>
          <w:b w:val="0"/>
          <w:bCs w:val="0"/>
          <w:i w:val="0"/>
          <w:iCs w:val="0"/>
          <w:caps w:val="0"/>
          <w:smallCaps w:val="0"/>
          <w:color w:val="000000" w:themeColor="text1" w:themeTint="FF" w:themeShade="FF"/>
          <w:sz w:val="22"/>
          <w:szCs w:val="22"/>
        </w:rPr>
        <w:t>any and all</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improvements bar what is advertised on social media; with a lack of medical literacy within the general population (Booker et al., 2019), there is limited awareness of the paltry nature of the training on offer for staff. Despite engagement in life saving measures, total organisational led training time consists of less than 0.5% of contracted hours. </w:t>
      </w:r>
    </w:p>
    <w:p w:rsidR="119166DC" w:rsidP="119166DC" w:rsidRDefault="119166DC" w14:paraId="2CA96C93" w14:textId="16500F5F">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color w:val="000000" w:themeColor="text1" w:themeTint="FF" w:themeShade="FF"/>
          <w:sz w:val="22"/>
          <w:szCs w:val="22"/>
        </w:rPr>
        <w:t xml:space="preserve">Broadly, these afore mentioned issues tend to lead to the same, repetitive leadership failures. Projects are All Wales in scope, </w:t>
      </w:r>
      <w:r w:rsidRPr="119166DC" w:rsidR="119166DC">
        <w:rPr>
          <w:rFonts w:ascii="Arial" w:hAnsi="Arial" w:eastAsia="Arial" w:cs="Arial"/>
          <w:b w:val="0"/>
          <w:bCs w:val="0"/>
          <w:i w:val="0"/>
          <w:iCs w:val="0"/>
          <w:caps w:val="0"/>
          <w:smallCaps w:val="0"/>
          <w:color w:val="000000" w:themeColor="text1" w:themeTint="FF" w:themeShade="FF"/>
          <w:sz w:val="22"/>
          <w:szCs w:val="22"/>
        </w:rPr>
        <w:t>seeking</w:t>
      </w:r>
      <w:r w:rsidRPr="119166DC" w:rsidR="119166DC">
        <w:rPr>
          <w:rFonts w:ascii="Arial" w:hAnsi="Arial" w:eastAsia="Arial" w:cs="Arial"/>
          <w:b w:val="0"/>
          <w:bCs w:val="0"/>
          <w:i w:val="0"/>
          <w:iCs w:val="0"/>
          <w:caps w:val="0"/>
          <w:smallCaps w:val="0"/>
          <w:color w:val="000000" w:themeColor="text1" w:themeTint="FF" w:themeShade="FF"/>
          <w:sz w:val="22"/>
          <w:szCs w:val="22"/>
        </w:rPr>
        <w:t xml:space="preserve"> to change the entire organisation. This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generally limits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utility of any change project, as proposals are put in place that must match the expectations of every individual locality despite the differences. No significant training is provided to liaise with the rollout of any progression and often the only news that staff members will receive as to the nature of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newly created pathway or process will be in a clinical bulletin announced on an underutilised app. These communication issues are rife as the organisation continues to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fail to</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drive staff buy in. These are the internal limiting factors. </w:t>
      </w:r>
    </w:p>
    <w:p w:rsidR="119166DC" w:rsidP="119166DC" w:rsidRDefault="119166DC" w14:paraId="50469F3C" w14:textId="442885AE">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A PESTLE (Aguilar, 1967) analysis shows the external influences that can drastically curtail change even further. These are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to the already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stated</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internal barriers.</w:t>
      </w:r>
    </w:p>
    <w:p w:rsidR="119166DC" w:rsidP="119166DC" w:rsidRDefault="119166DC" w14:paraId="3A06BF0E" w14:textId="08726D57">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Political Factors</w:t>
      </w:r>
    </w:p>
    <w:p w:rsidR="119166DC" w:rsidP="119166DC" w:rsidRDefault="119166DC" w14:paraId="70A64533" w14:textId="6E2F006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Government Initiatives: Government initiatives aimed at healthcare reform, emergency services collaboration, or digital health strategies can drive change in operational procedures, funding, and technology adoption.</w:t>
      </w:r>
    </w:p>
    <w:p w:rsidR="119166DC" w:rsidP="119166DC" w:rsidRDefault="119166DC" w14:paraId="53DEFF6F" w14:textId="0A8EA3A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Success Metrics: NHS Wales has not adopted the broader Key Performance Indicators created by NHS England for UK Ambulance Services (Welsh Ambulance Service, 2024). This limits the criteria for positive agency from Political Factors to drive clinical care improvements and reduces outcome performance pursuit.</w:t>
      </w:r>
    </w:p>
    <w:p w:rsidR="119166DC" w:rsidP="119166DC" w:rsidRDefault="119166DC" w14:paraId="7B2ACA4C" w14:textId="5270B58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Working in Partnership: Due to the efforts by the Welsh Government to attempt to lead collaboratively, it has been a staple of decision making for it to involve partner organisations. This can be beneficial, in ensuring stakeholder buy in, but also adds another layer of bureaucracy to an already byzantine system (Welsh Partnership Forum, 2022).</w:t>
      </w:r>
    </w:p>
    <w:p w:rsidR="119166DC" w:rsidP="119166DC" w:rsidRDefault="119166DC" w14:paraId="70F960D3" w14:textId="2BECEAC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Economic Factors</w:t>
      </w:r>
    </w:p>
    <w:p w:rsidR="119166DC" w:rsidP="119166DC" w:rsidRDefault="119166DC" w14:paraId="1ECBD94E" w14:textId="28A58AF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Funding: Changes in funding allocations as part of an ongoing Welsh Government need for effective austerity, with a £5 million cut incoming will cause a re-orientation of priorities and significantly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impact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ambulance service care and appetite for change. This will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impact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pre-existing avenues for improvement and curtail progress unless it is either cost neutral or saves money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immediately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19166DC" w:rsidP="119166DC" w:rsidRDefault="119166DC" w14:paraId="0273B467" w14:textId="0854515E">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Economic Uncertainty: Continuing uncertainty with growth forecasting with the Welsh economy (Winckler, 2024) coupled with likely incoming strike action will place a greater strain on the financial viability of WAST. Due to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likely ever-increasing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cuts, WAST will become less and less capable of innovation.</w:t>
      </w:r>
    </w:p>
    <w:p w:rsidR="119166DC" w:rsidP="119166DC" w:rsidRDefault="119166DC" w14:paraId="5140A63F" w14:textId="7C28412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Social Factors</w:t>
      </w:r>
    </w:p>
    <w:p w:rsidR="119166DC" w:rsidP="119166DC" w:rsidRDefault="119166DC" w14:paraId="165C6753" w14:textId="6F038F6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Increasing Aging Population: Consistent trends over time with low birth rates, a now stabilised life expectancy and a growing aging population significantly increases the demand for ambulance service care (Cristea et al., 2021). This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impacts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not only the volume of calls but also in the complexity and cost of care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required</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during assessment and conveyance.</w:t>
      </w:r>
    </w:p>
    <w:p w:rsidR="119166DC" w:rsidP="119166DC" w:rsidRDefault="119166DC" w14:paraId="76D3D239" w14:textId="55AA666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Increasing Co-Morbidity: Ever increasing numbers of obesity with associative diabetes, heart disease and the myriad other health conditions (Pizzorno and Stephenson, 2017), plus the rise in mental health prevalence (Baker and Kirk-Wade, 2023) and the effects of smoking cessation reduced by the rise in vaping (Hageman, 2020), there is increased generalised healthcare demand which then places WAST under greater pressure. This supply to demand mismatch will lead to greater restrictions on perceived lost time.</w:t>
      </w:r>
    </w:p>
    <w:p w:rsidR="119166DC" w:rsidP="119166DC" w:rsidRDefault="119166DC" w14:paraId="2A9B9944" w14:textId="321FD9A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Public Awareness and Expectation: Due to the rise in damning news stories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capability of the UK Ambulance Services on the rise due to hospital delays, public faith in the ambulance services is on the decline (NHS England, 2024).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Previous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high public expectations for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timely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and high-quality emergency care are now atrophying, putting significant pressure on ambulance services to improve. This is despite the crisis being outside of the responsibility and capability of the ambulance services to change (NHS England, 2024).</w:t>
      </w:r>
    </w:p>
    <w:p w:rsidR="119166DC" w:rsidP="119166DC" w:rsidRDefault="119166DC" w14:paraId="7ED26654" w14:textId="61B7136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Diversity, Equity and Inclusivity: With the broad failures occuring across the UK ambulance services and in particular WAST, it is no surprise that the organisation has turned towards the promotion of politics of dubious providence in order to attempt to improve public image. With no evidence of improving patient outcome (Stanford, 2020), these measures are at best a distraction (Cavanagh, 2007).</w:t>
      </w:r>
    </w:p>
    <w:p w:rsidR="119166DC" w:rsidP="119166DC" w:rsidRDefault="119166DC" w14:paraId="54AE6651" w14:textId="108A2DB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Technological Factors</w:t>
      </w:r>
    </w:p>
    <w:p w:rsidR="119166DC" w:rsidP="119166DC" w:rsidRDefault="119166DC" w14:paraId="2203D6F9" w14:textId="1A41A9D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Digital Innovation: Creation of Welsh pathways for accessing health outcomes via telephone or the internet there, ideally, should be a reduction in call volume. This will not occur, as the second order effect will be that effectiveness will drive access, creating an even greater 999 contact rate (Booker et al., 2019). </w:t>
      </w:r>
    </w:p>
    <w:p w:rsidR="119166DC" w:rsidP="119166DC" w:rsidRDefault="119166DC" w14:paraId="23DFF120" w14:textId="105BB28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EPCR: The adoption of an electronic paperwork system was intended to drive efficiency due to ease of use, higher audit potential and interfacing with other health agencies. Unfortunately, it has had a second order effect of drastically increasing on scene time and created greater Post-Production Lost Hours due to paperwork requirements.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Generally, technologically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adapted staff members write more than those with greater difficulties, leading to questions about the benefit in time gained (Amankwah-Amoah et al., 2021).</w:t>
      </w:r>
    </w:p>
    <w:p w:rsidR="119166DC" w:rsidP="119166DC" w:rsidRDefault="119166DC" w14:paraId="5D927551" w14:textId="363EFA0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Medical Technology Progression: New medical treatments, medications and equipment require, in theory, greater training and cost to deploy (National Research Council, 2002). In practice, the training continues to be non-existent even where items are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purchased</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All new WAST ambulances have been deployed with in-built hoists for over a year. So far, no frontline staff </w:t>
      </w:r>
      <w:bookmarkStart w:name="_Int_HqcNeZwU" w:id="1869295169"/>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are capable of utilising</w:t>
      </w:r>
      <w:bookmarkEnd w:id="1869295169"/>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them due to no created training package. Decisions around the acquiring of new pharmacological interventions has been focused on questionable attempts to better equip Community First Responders incurring colossal costs despite cheaper alternatives.</w:t>
      </w:r>
    </w:p>
    <w:p w:rsidR="119166DC" w:rsidP="119166DC" w:rsidRDefault="119166DC" w14:paraId="76691E0B" w14:textId="576354A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Communication Technology: Although expensive, adding to the greater woes of an already impoverished system, improvements in communication technologies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arguably can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enhance dispatch capability and drive better coordination, in theory buying more time for WAST (El-Masri and Saddik, 2012).</w:t>
      </w:r>
    </w:p>
    <w:p w:rsidR="119166DC" w:rsidP="119166DC" w:rsidRDefault="119166DC" w14:paraId="168B5F29" w14:textId="1B1DC71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Legal Factors</w:t>
      </w:r>
    </w:p>
    <w:p w:rsidR="119166DC" w:rsidP="119166DC" w:rsidRDefault="119166DC" w14:paraId="7D4C3C75" w14:textId="6C43FDE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Regulations: UK ambulance services and therefore WAST must comply with patient safety obligations, health regulations, and data protection laws. This creates a series of stresses and pressures, especially where any changes to the mandated statutory requirements (Cabinet Office, 2013)</w:t>
      </w:r>
    </w:p>
    <w:p w:rsidR="119166DC" w:rsidP="119166DC" w:rsidRDefault="119166DC" w14:paraId="7773758D" w14:textId="5B66FE1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Working Time Directives and Employment Law: Work hours with minimum times of rest between shifts and maximum working hours including overtime can cause operationally lost time, increasing a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time left is precious (Working Time Regulations, 2003). More general themes of the level of welfare can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impact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morale,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recruitment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and retention. Morale especially can </w:t>
      </w:r>
      <w:bookmarkStart w:name="_Int_w6R1ABIr" w:id="471272622"/>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have an effect on</w:t>
      </w:r>
      <w:bookmarkEnd w:id="471272622"/>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propensity and desire of staff to integrate with innovation and accept change (Gopee and Galloway, 2017).</w:t>
      </w:r>
    </w:p>
    <w:p w:rsidR="119166DC" w:rsidP="119166DC" w:rsidRDefault="119166DC" w14:paraId="4D0E0154" w14:textId="2DE6257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Liability: The vicious cycle of training deficiency is bearing poisoned fruit, with costs associated with redressing failures rising yearly. A lack of drive to improve general standards and instead only rectify identified deficiencies will inevitably lead to more cost (Edmonstone, 2013). The social care failure has led to a significant impact on the UK ambulance services (Lewis, 2022), WAST is no exception, and failures to attend patients in the community in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 timely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fashion has led to even greater litigation associated costs. This outlay of money, could be used on innovation, is instead lost to the organisation (Welsh Government, 2015).</w:t>
      </w:r>
    </w:p>
    <w:p w:rsidR="119166DC" w:rsidP="119166DC" w:rsidRDefault="119166DC" w14:paraId="4E070CF8" w14:textId="21857F4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Environmental Factors</w:t>
      </w:r>
    </w:p>
    <w:p w:rsidR="119166DC" w:rsidP="119166DC" w:rsidRDefault="119166DC" w14:paraId="32837087" w14:textId="27A84BC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Green Initiatives: Increased pressure on WAST by external forces to be an agency of change, with pushes to Net Zero are and will have an outsized effect, negatively, on patient outcome. Electric Ambulances have a range of 70 to 100 miles with an average recharge time of 4 hours (WAS, 2022). Any adoption of these as a conveyable resource will lead to significant delays due to operational vehicle charging time.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Perhaps positivel</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for training, this time where staff are unable to respond to emergencies could then be used for training. Patients will undoubtedly suffer, and legal costs will rise, making this a poor deal.</w:t>
      </w:r>
    </w:p>
    <w:p w:rsidR="119166DC" w:rsidP="119166DC" w:rsidRDefault="119166DC" w14:paraId="1193BDCF" w14:textId="7590FDB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Weather events: With increase in flooding and the occurrence of harsher weather, a natural challenge of the resilience and capacity of ambulance services to respond to emergencies is created. Extreme cold and heat has a profound impact on mortality on the at risk (Butsch et al., 2023), with increased proportions of society in that category it is likely that there will be a double effect on capability due to weather (Ramgopal et al., 2019).</w:t>
      </w:r>
    </w:p>
    <w:p w:rsidR="119166DC" w:rsidP="119166DC" w:rsidRDefault="119166DC" w14:paraId="7DCF8C33" w14:textId="1E3D871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Urban versus Rural and Infrastructure: Rural challenges are significant, with WAST covering the entirety of Wales with its diverse geography.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Essentially, each</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ambulance in the community is intrinsically less efficient in the countryside versus the city, but there are no mitigated target allowances and a</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such, urban sprawl planning becomes the default with considerations of urban navigation taking primacy (Alanazy et al., 2019).</w:t>
      </w:r>
    </w:p>
    <w:p w:rsidR="119166DC" w:rsidP="119166DC" w:rsidRDefault="119166DC" w14:paraId="41AF7B98" w14:textId="14E3674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It is clear that there is, broadly speaking, a bleak outlook for potential improvements and innovations with the near catastrophic decline, financial constraints and poor target setting and worse expectation management. It is the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likeliest prognostication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there will be no NHS in the United Kingdom within the next 15 years (Smith, 1999), at best it will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likely be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 front organisation for private sector actors. Despite this, it is possible to drive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small changes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within the structure. Attempting to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realistic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is the key, not allowing the perfect to be the enemy of the good (Voltaire, 2018). To that end, I will be using Kurt Lewin’s (Shirey, 2013) 3 Stage Model of Change. Comprehensiveness mandated the review of other potential models, I considered Kübler-Ross (2014) adapted Change Curve, however the applicability of viewing potential organisational change as an organisational carnival of pseudo-mourning seems lacking (Kuipers et al., 2013). Innovation, when entirely an act of growth will not likely lead to shock, anger,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fear</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or resentment (Buchanan and Huczynski, 2017). Apathy will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likely be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greatest enemy (Kuipers et al., 2013). The 3 Stage Model of Change allows for a baseline evaluation of the necessity of the change, a delineation of the process to achieve the growth and the tools by which the improvement can be solidified and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consolidated</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w:t>
      </w:r>
    </w:p>
    <w:p w:rsidR="119166DC" w:rsidP="119166DC" w:rsidRDefault="119166DC" w14:paraId="63C28FB2" w14:textId="74007FE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Therefore, without further ado, it is appropriate to explore the change proposal currently in action, the costs, benefits and the recommendations for achieving a successful result. There is within the Welsh Ambulance Service a deficiency of the ability of the staff to learn on a case-by-case basis (CQC, 2018). Usually, patients when either discharged at home or taken into the Emergency Department are done so with a “working diagnosis” (AACE, 2017). Near overwhelmingly Paramedics and Emergency Medical Technicians will receive no feedback as to whether their suppositions were correct. This leaves the circle of reflective learning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somewhat broken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as it is important to know whether the treatments and interventions you provided to the patient were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appropriate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Winkel et al., 2017). It would be extremely challenging both practically and legally to try and create a mechanism by which attending clinicians in the pre-hospital environment were given the patient sensitive information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ultimate diagnosis and destination of those they cared for. Data protection would be a significant obstacle, as any attempt to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identify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outcome would inevitably divulge protected information (NDG, 2020). </w:t>
      </w:r>
    </w:p>
    <w:p w:rsidR="119166DC" w:rsidP="119166DC" w:rsidRDefault="119166DC" w14:paraId="65725397" w14:textId="224DBAD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Instead, a collaborative learning experience at the summation of a greater variety of cases would be appropriate. Debriefing is a tool that is currently limited to post significant cases, such as Out of Hospital Cardiac Arrests and major trauma (Brazil et al., 2021).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Generally, the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tools to do so are not familiar to most frontline staff and the impetus to cause a debrief to occur comes from senior clinical staff, such as Critical Care Doctors/Paramedics or Senior Paramedics (Meshel et al., 2023). This is a lost opportunity for ad hoc on the case staff training. There is no explicit bar to staff utilising the same tools that work so well for high acuity cases on what would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generally appear</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to be more humdrum incidents of patient interventions. It is entirely possible and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appropriate to</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learn from a much greater variety of cases than are reviewed at present. To that end it is my intention to create a process by which all frontline members of ambulance staff with Wales become familiar with debriefing and are confident in its use after patient interactions. Envisioning the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likeliest of</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probable barriers to success, it was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appropriate to</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perform a Force Field Analysis and Action Plan (Lewin, 1943) [Appendix 2]. </w:t>
      </w:r>
    </w:p>
    <w:p w:rsidR="119166DC" w:rsidP="119166DC" w:rsidRDefault="119166DC" w14:paraId="281B2131" w14:textId="3DA7FA9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Debriefing is a well investigated and researched field, with a myriad variety of different applicable models. After deliberation and review of the differing models, the STOP5 (Walker et al., 2020) approach appears to be the most fitting to the needs of the broadest number of staff to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participate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in the debriefing process. Consisting of the following elements: Taking 5 minutes to summarise the case, state what went well, investigate opportunities to improve and consider anything that needs to be actioned.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Perhaps philosophically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but it is arguable that the simplest pathway is often the most effective (Aristotle, 2013). I believe that by keeping the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time frame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of the debrief low, as it is at 5 minutes, and keeping the ease of access high it will be easier to achieve both staff and operational management stakeholder buy in. The evidence has shown that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participating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in debriefing improves morale, learning, team cohesion and could potentially lead to the development of a culture of improvement (Walker et al., 2020; Snowdon, 2021). As a measure which is cost neutral to introduce, with the nominal downtime loss being close to negligible even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in the aggregate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as Emergency Ambulances routinely have 15 minutes after patient offload prior to despatch on the next case. This is more than enough of an opportunity to have a 5 minute debrief and still prepare properly for the next patient. As discussed, Lewin’s model acts as a guide for how the process can be pushed forward.</w:t>
      </w:r>
    </w:p>
    <w:p w:rsidR="119166DC" w:rsidP="119166DC" w:rsidRDefault="119166DC" w14:paraId="2171E16F" w14:textId="77A0252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Unfreezing</w:t>
      </w:r>
      <w:r w:rsidRPr="119166DC" w:rsidR="119166D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Is there truly a need for change:</w:t>
      </w:r>
    </w:p>
    <w:p w:rsidR="119166DC" w:rsidP="119166DC" w:rsidRDefault="119166DC" w14:paraId="0D7D138E" w14:textId="6599A8E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Minimal Training: Currently, NHS staff working for the Ambulance Service receive minimal training, mostly consisting of Mandatory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Service Training (MIST) which accounts for 8 hours with an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hour per week for Continuing Professional Development which is entirely un-directed and therefore of dubious benefit. </w:t>
      </w:r>
    </w:p>
    <w:p w:rsidR="119166DC" w:rsidP="119166DC" w:rsidRDefault="119166DC" w14:paraId="192E25CE" w14:textId="24E61D7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Consistent Crews: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By and large, across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Wales, Emergency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Ambulances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are crewed by a team that consistently work together. Although this can lead to extremely effective cohesion, it can also contribute to compounding of errors. Taking time to truly reflect as a part of a team as to the benefit or suitability of actions performed can give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golden opportunities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to break this cycle.</w:t>
      </w:r>
    </w:p>
    <w:p w:rsidR="119166DC" w:rsidP="119166DC" w:rsidRDefault="119166DC" w14:paraId="799D9CBF" w14:textId="6215C80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Technological Advancements: In years gone by, staff would be issued with a quick access guidebook. This has become an App for staff on their personal phones and iPad. The ability for staff to check to see if the practice they have engaged with is up to date is now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unparalleled</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compared to any other time in WAST’s history. However, assessment of staff’s accessing of the App shows that many staff are not routinely accessing the wealth of information at their disposal.</w:t>
      </w:r>
    </w:p>
    <w:p w:rsidR="119166DC" w:rsidP="119166DC" w:rsidRDefault="119166DC" w14:paraId="45E3C272" w14:textId="02606DC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Workforce Issues: Due to a recruitment and retention challenge, linked to many factors including pay and conditions, the staff with the greatest experience are retiring or changing career direction. Increasingly, the workforce is becoming younger, and despite lift of the requirement to qualify as a Paramedic being increased to require a BSc, the staff that are newly starting or recently started as Paramedics are amongst the worst trained and most inexperienced that have ever been on the road, mostly due to delays at the Emergency Department (O’Hara et al., 2014).</w:t>
      </w:r>
    </w:p>
    <w:p w:rsidR="119166DC" w:rsidP="119166DC" w:rsidRDefault="119166DC" w14:paraId="5B7F8DF0" w14:textId="04D2362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Change</w:t>
      </w:r>
      <w:r w:rsidRPr="119166DC" w:rsidR="119166D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 N</w:t>
      </w:r>
      <w:r w:rsidRPr="119166DC" w:rsidR="119166DC">
        <w:rPr>
          <w:rFonts w:ascii="Arial" w:hAnsi="Arial" w:eastAsia="Arial" w:cs="Arial"/>
          <w:b w:val="0"/>
          <w:bCs w:val="0"/>
          <w:i w:val="0"/>
          <w:iCs w:val="0"/>
          <w:caps w:val="0"/>
          <w:smallCaps w:val="0"/>
          <w:noProof w:val="0"/>
          <w:color w:val="000000" w:themeColor="text1" w:themeTint="FF" w:themeShade="FF"/>
          <w:sz w:val="22"/>
          <w:szCs w:val="22"/>
          <w:u w:val="none"/>
          <w:lang w:val="en-GB"/>
        </w:rPr>
        <w:t>ew</w:t>
      </w:r>
      <w:r w:rsidRPr="119166DC" w:rsidR="119166D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Strategies and Practices:</w:t>
      </w:r>
    </w:p>
    <w:p w:rsidR="119166DC" w:rsidP="119166DC" w:rsidRDefault="119166DC" w14:paraId="24DA91FC" w14:textId="7BECA6D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Casual Debriefing: Providing training on staff on how to effectively perform a debrief will allow all grades the opportunity to access a rapid team reflective practice designed to maximise potential learning from </w:t>
      </w:r>
      <w:bookmarkStart w:name="_Int_EGGXKMbL" w:id="38850907"/>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any and all</w:t>
      </w:r>
      <w:bookmarkEnd w:id="38850907"/>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patient interactions (Snowdon, 2021).</w:t>
      </w:r>
    </w:p>
    <w:p w:rsidR="119166DC" w:rsidP="119166DC" w:rsidRDefault="119166DC" w14:paraId="2B1CF91B" w14:textId="6104C2D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Hot Debriefing: With the dissemination of information about the debriefing process, where led by a Senior Paramedic, Critical Care Paramedic or Pre-Hospital Emergency Medicine trained Doctor, staff will better </w:t>
      </w:r>
      <w:bookmarkStart w:name="_Int_tZF87nzs" w:id="218787192"/>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placed</w:t>
      </w:r>
      <w:bookmarkEnd w:id="218787192"/>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to be active participants in the process. In theory, this would allow the staff to take as much knowledge as possible from experiential occurrences rather than having any sense of anxiety reducing their benefit due to unfamiliarity (Walker et al., 2020).</w:t>
      </w:r>
    </w:p>
    <w:p w:rsidR="119166DC" w:rsidP="119166DC" w:rsidRDefault="119166DC" w14:paraId="2865A532" w14:textId="3E180E0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Refreezing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 Solidifying the Change:</w:t>
      </w:r>
    </w:p>
    <w:p w:rsidR="119166DC" w:rsidP="119166DC" w:rsidRDefault="119166DC" w14:paraId="5E705B7F" w14:textId="19116A9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Policy and Procedure Updates: Some of the change could be solidified by ratifying the process of debriefing into a formal policy of case management. This is not a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likely outcome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as it would require an Operational compromise.</w:t>
      </w:r>
    </w:p>
    <w:p w:rsidR="119166DC" w:rsidP="119166DC" w:rsidRDefault="119166DC" w14:paraId="4B154F0B" w14:textId="6EEE965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Celebrating Successes: Recognising where staff have engaged with debriefing and giving positive reinforcement would help to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consolidate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practice and celebrating improvements resulting from this could, in theory, boost morale (Tannenbaum and Cerasoli, 2012) and solidify the commitment to debriefing as a central model of team reflection (Twigg, 2020). Onward sharing of this could lead to further embedding of the changes within the organization.</w:t>
      </w:r>
    </w:p>
    <w:p w:rsidR="119166DC" w:rsidP="119166DC" w:rsidRDefault="119166DC" w14:paraId="74EAC87C" w14:textId="1EF6130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Therefore, in order to achieve a dissemination of the act of debriefing across the organisation will require multiple avenues of communication and attack. Initially, the plan is and has been at the locality level. All Pembrokeshire staff already have one to one clinical supervision time that is abstracted in order to try and rectify historic issues and develop individualised clinical progression plans. Debriefing as a concept, covering its uses, constraints and how to properly form one have been folded into the information disseminated to staff. Within 9 months it will be the case that over 90% of frontline staff in the locality of Pembrokeshire will be aware of how and when to perform a debrief. At that stage, it would be prudent to escalate up the management structure of the Clinical Directorate and to make a case for a broader adoption by the Welsh Ambulance Service. That is not my intention, instead the plan is to circumvent the management entirely and on a case by case, individual by individual, persuade each and every locality’s resident Senior Paramedics of the utility of teaching the staff under their care of the process of debriefing. Ultimately, these are the key stakeholders in properly and effectively teaching staff, remedying clinical errors and have the greatest amount of hands-on time with staff giving them the greatest ability to be effective advocates of change. It is unfortunately the case that the senior leadership of the clinical directorate could all resign, and no frontline staff would notice for years;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perhaps that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is the intent, to utilise the maxim of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GB"/>
        </w:rPr>
        <w:t>si</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GB"/>
        </w:rPr>
        <w:t>tacuisses</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GB"/>
        </w:rPr>
        <w:t>philosophus</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GB"/>
        </w:rPr>
        <w:t>mansisses</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(Boethius, 2021). The argument could be made that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in order for</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the change project to be considered a success, some form of data collection and audit trail must be collated. Respectfully, that holds little veracity, as the evidence of the benefit of debriefing has already been gathered (Walker et al., 2020). Instituting any kind of procedural requirement to performing a debrief is likely to lead to less uptake,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attemptin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to mandate them as a requirement to staff is extremely counter-productive to the general ethos of it being a voluntary participation process. Additionally, I will create a taught session with associative material for the Senior Paramedic team pan-Wales to hold continuing professional development sessions following a broad lesson plan [Appendix 1].  </w:t>
      </w:r>
    </w:p>
    <w:p w:rsidR="119166DC" w:rsidP="119166DC" w:rsidRDefault="119166DC" w14:paraId="3150AD50" w14:textId="7616605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Once there has been broad uptake by the Senior Paramedics across Wales, it may become necessary to chart the pathway into achieving official recognition of the project to the senior leadership structures. This would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constitute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engaging with steering groups and committees to achieve the high-level stakeholder engagement. If decentralised learning is successful, then the entire process would be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somewhat un-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necessary, however there is no escaping bureaucracy in the NHS in the terminal decline of its existence. The questionable benefit it would bring is the inclusion of the Learning and Development team into the project, which delivers Statutory and Mandatory training on an annual basis. This could lead to the roll out of debriefing as a concept to all staff members across Wales regardless of individual Senior Paramedic buy in. The downfall would be that it would be nationalised into a one size fits all approach rather than allowing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each and every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locality the opportunity to craft debriefing as a tool to suit their own specific needs and requirements. So far, the uptake by staff members in the locality has been incredibly positive, with observed casual debriefs being conducted during the clinical supervision. Although anecdotal, the in person buy in is encouraging. Already, Senior Paramedics covering other localities have been receptive about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participating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in a decentralised innovation model, where they would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attempt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to push opportunities for teaching staff about how and when to perform a debrief.</w:t>
      </w:r>
    </w:p>
    <w:p w:rsidR="119166DC" w:rsidP="119166DC" w:rsidRDefault="119166DC" w14:paraId="445F3290" w14:textId="20309F5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there is a myriad of evidence already propagated throughout the medical world about the utility and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various benefits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of staff’s voluntary involvement in a debrief post. The mechanisms in place within the organisation of the Welsh Ambulance Service have become byzantine obstacles to pursuing meaningful change and the avenue that best suits the ability to create a positive learning environment for staff would consist of shutting the senior leadership thoroughly out of the equation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in order to</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ensure that the necessary staff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support,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and improvements occur. As it is a cost neutral development there is no reasonable necessity of tracking its success. Too little time is given over to subtle or holistic changes that can be achieved as they are not easily trackable. Debriefing is entirely a process that would fall under the qualifiable evidence matrix due to the evaluation of staff welfare, confidence, clinical capabilities and understanding of the cases they have attended. Created a form to track these would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require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an individual-by-individual review of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submitted</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evidence, and considering that the utility of debriefing is proven, would constitute a misapplication of time and effort. Instead, the change project’s success will have to be based upon more esoteric measures and a pinch of faith in clinicians performing better when given the tools to do so.</w:t>
      </w:r>
    </w:p>
    <w:p w:rsidR="119166DC" w:rsidP="119166DC" w:rsidRDefault="119166DC" w14:paraId="3D6C017F" w14:textId="2288E50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210551B9" w14:textId="0D509D9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7BF9D7A8" w14:textId="36D7863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3C6F0E6C" w14:textId="19E6682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69A2CCCC" w14:textId="69515C6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76819E2A" w14:textId="109E822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78B518AE" w14:textId="6E3DE67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u w:val="single"/>
          <w:lang w:val="en-GB"/>
        </w:rPr>
        <w:t>References</w:t>
      </w:r>
    </w:p>
    <w:p w:rsidR="119166DC" w:rsidP="119166DC" w:rsidRDefault="119166DC" w14:paraId="14731F7A" w14:textId="5043C48A">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AACE (2017) What is Good Ambulance Service Care? at: https://aace.org.uk/news/good-ambulance-service-care-innovative-new-research-animation-explains-need-look-beyond-response-times/ (Accessed: 18 February 2024).  </w:t>
      </w:r>
    </w:p>
    <w:p w:rsidR="119166DC" w:rsidP="119166DC" w:rsidRDefault="119166DC" w14:paraId="478A5A2D" w14:textId="1207EA5B">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Aguilar, F.J. (1967). </w:t>
      </w:r>
      <w:r w:rsidRPr="119166DC" w:rsidR="119166DC">
        <w:rPr>
          <w:rFonts w:ascii="Arial" w:hAnsi="Arial" w:eastAsia="Arial" w:cs="Arial"/>
          <w:i w:val="1"/>
          <w:iCs w:val="1"/>
          <w:noProof w:val="0"/>
          <w:sz w:val="22"/>
          <w:szCs w:val="22"/>
          <w:lang w:val="en-GB"/>
        </w:rPr>
        <w:t>Scanning the Business Environment</w:t>
      </w:r>
      <w:r w:rsidRPr="119166DC" w:rsidR="119166DC">
        <w:rPr>
          <w:rFonts w:ascii="Arial" w:hAnsi="Arial" w:eastAsia="Arial" w:cs="Arial"/>
          <w:noProof w:val="0"/>
          <w:sz w:val="22"/>
          <w:szCs w:val="22"/>
          <w:lang w:val="en-GB"/>
        </w:rPr>
        <w:t>. New York: Macmillan.</w:t>
      </w:r>
    </w:p>
    <w:p w:rsidR="119166DC" w:rsidP="119166DC" w:rsidRDefault="119166DC" w14:paraId="2610FBE0" w14:textId="157BA0C8">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Alanazy, A.R.M., Wark, S., Fraser, J. and Nagle, A. (2019). Factors Impacting Patient Outcomes Associated with Use of Emergency Medical Services Operating in Urban versus Rural Areas: </w:t>
      </w:r>
      <w:r w:rsidRPr="119166DC" w:rsidR="119166DC">
        <w:rPr>
          <w:rFonts w:ascii="Arial" w:hAnsi="Arial" w:eastAsia="Arial" w:cs="Arial"/>
          <w:noProof w:val="0"/>
          <w:sz w:val="22"/>
          <w:szCs w:val="22"/>
          <w:lang w:val="en-GB"/>
        </w:rPr>
        <w:t>a</w:t>
      </w:r>
      <w:r w:rsidRPr="119166DC" w:rsidR="119166DC">
        <w:rPr>
          <w:rFonts w:ascii="Arial" w:hAnsi="Arial" w:eastAsia="Arial" w:cs="Arial"/>
          <w:noProof w:val="0"/>
          <w:sz w:val="22"/>
          <w:szCs w:val="22"/>
          <w:lang w:val="en-GB"/>
        </w:rPr>
        <w:t xml:space="preserve"> Systematic Review. </w:t>
      </w:r>
      <w:r w:rsidRPr="119166DC" w:rsidR="119166DC">
        <w:rPr>
          <w:rFonts w:ascii="Arial" w:hAnsi="Arial" w:eastAsia="Arial" w:cs="Arial"/>
          <w:i w:val="1"/>
          <w:iCs w:val="1"/>
          <w:noProof w:val="0"/>
          <w:sz w:val="22"/>
          <w:szCs w:val="22"/>
          <w:lang w:val="en-GB"/>
        </w:rPr>
        <w:t>International Journal of Environmental Research and Public Health</w:t>
      </w:r>
      <w:r w:rsidRPr="119166DC" w:rsidR="119166DC">
        <w:rPr>
          <w:rFonts w:ascii="Arial" w:hAnsi="Arial" w:eastAsia="Arial" w:cs="Arial"/>
          <w:noProof w:val="0"/>
          <w:sz w:val="22"/>
          <w:szCs w:val="22"/>
          <w:lang w:val="en-GB"/>
        </w:rPr>
        <w:t xml:space="preserve">, [online] 16(10), p.1728.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://doi.org/10.3390/ijerph16101728.</w:t>
      </w:r>
    </w:p>
    <w:p w:rsidR="119166DC" w:rsidP="119166DC" w:rsidRDefault="119166DC" w14:paraId="2F9E6276" w14:textId="3777A9A5">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Amankwah-Amoah, J., Khan, Z., Wood, G. and Knight, G. (2021). COVID-19 and digitalization: the Great Acceleration. </w:t>
      </w:r>
      <w:r w:rsidRPr="119166DC" w:rsidR="119166DC">
        <w:rPr>
          <w:rFonts w:ascii="Arial" w:hAnsi="Arial" w:eastAsia="Arial" w:cs="Arial"/>
          <w:i w:val="1"/>
          <w:iCs w:val="1"/>
          <w:noProof w:val="0"/>
          <w:sz w:val="22"/>
          <w:szCs w:val="22"/>
          <w:lang w:val="en-GB"/>
        </w:rPr>
        <w:t>Journal of Business Research</w:t>
      </w:r>
      <w:r w:rsidRPr="119166DC" w:rsidR="119166DC">
        <w:rPr>
          <w:rFonts w:ascii="Arial" w:hAnsi="Arial" w:eastAsia="Arial" w:cs="Arial"/>
          <w:noProof w:val="0"/>
          <w:sz w:val="22"/>
          <w:szCs w:val="22"/>
          <w:lang w:val="en-GB"/>
        </w:rPr>
        <w:t xml:space="preserve">, [online] 136(136), pp.602–611.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://doi.org/10.1016/j.jbusres.2021.08.011.</w:t>
      </w:r>
    </w:p>
    <w:p w:rsidR="119166DC" w:rsidP="119166DC" w:rsidRDefault="119166DC" w14:paraId="15DCF001" w14:textId="51D8B8C9">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Aristotle (2013). </w:t>
      </w:r>
      <w:r w:rsidRPr="119166DC" w:rsidR="119166DC">
        <w:rPr>
          <w:rFonts w:ascii="Arial" w:hAnsi="Arial" w:eastAsia="Arial" w:cs="Arial"/>
          <w:i w:val="1"/>
          <w:iCs w:val="1"/>
          <w:noProof w:val="0"/>
          <w:sz w:val="22"/>
          <w:szCs w:val="22"/>
          <w:lang w:val="en-GB"/>
        </w:rPr>
        <w:t>Organon</w:t>
      </w:r>
      <w:r w:rsidRPr="119166DC" w:rsidR="119166DC">
        <w:rPr>
          <w:rFonts w:ascii="Arial" w:hAnsi="Arial" w:eastAsia="Arial" w:cs="Arial"/>
          <w:noProof w:val="0"/>
          <w:sz w:val="22"/>
          <w:szCs w:val="22"/>
          <w:lang w:val="en-GB"/>
        </w:rPr>
        <w:t xml:space="preserve">. Translated by M. Holzinger. </w:t>
      </w:r>
      <w:r w:rsidRPr="119166DC" w:rsidR="119166DC">
        <w:rPr>
          <w:rFonts w:ascii="Arial" w:hAnsi="Arial" w:eastAsia="Arial" w:cs="Arial"/>
          <w:noProof w:val="0"/>
          <w:sz w:val="22"/>
          <w:szCs w:val="22"/>
          <w:lang w:val="en-GB"/>
        </w:rPr>
        <w:t>Erscheinungsort</w:t>
      </w:r>
      <w:r w:rsidRPr="119166DC" w:rsidR="119166DC">
        <w:rPr>
          <w:rFonts w:ascii="Arial" w:hAnsi="Arial" w:eastAsia="Arial" w:cs="Arial"/>
          <w:noProof w:val="0"/>
          <w:sz w:val="22"/>
          <w:szCs w:val="22"/>
          <w:lang w:val="en-GB"/>
        </w:rPr>
        <w:t xml:space="preserve"> </w:t>
      </w:r>
      <w:r w:rsidRPr="119166DC" w:rsidR="119166DC">
        <w:rPr>
          <w:rFonts w:ascii="Arial" w:hAnsi="Arial" w:eastAsia="Arial" w:cs="Arial"/>
          <w:noProof w:val="0"/>
          <w:sz w:val="22"/>
          <w:szCs w:val="22"/>
          <w:lang w:val="en-GB"/>
        </w:rPr>
        <w:t>Nicht</w:t>
      </w:r>
      <w:r w:rsidRPr="119166DC" w:rsidR="119166DC">
        <w:rPr>
          <w:rFonts w:ascii="Arial" w:hAnsi="Arial" w:eastAsia="Arial" w:cs="Arial"/>
          <w:noProof w:val="0"/>
          <w:sz w:val="22"/>
          <w:szCs w:val="22"/>
          <w:lang w:val="en-GB"/>
        </w:rPr>
        <w:t xml:space="preserve"> </w:t>
      </w:r>
      <w:r w:rsidRPr="119166DC" w:rsidR="119166DC">
        <w:rPr>
          <w:rFonts w:ascii="Arial" w:hAnsi="Arial" w:eastAsia="Arial" w:cs="Arial"/>
          <w:noProof w:val="0"/>
          <w:sz w:val="22"/>
          <w:szCs w:val="22"/>
          <w:lang w:val="en-GB"/>
        </w:rPr>
        <w:t>Ermittelbar</w:t>
      </w:r>
      <w:r w:rsidRPr="119166DC" w:rsidR="119166DC">
        <w:rPr>
          <w:rFonts w:ascii="Arial" w:hAnsi="Arial" w:eastAsia="Arial" w:cs="Arial"/>
          <w:noProof w:val="0"/>
          <w:sz w:val="22"/>
          <w:szCs w:val="22"/>
          <w:lang w:val="en-GB"/>
        </w:rPr>
        <w:t xml:space="preserve">] </w:t>
      </w:r>
      <w:r w:rsidRPr="119166DC" w:rsidR="119166DC">
        <w:rPr>
          <w:rFonts w:ascii="Arial" w:hAnsi="Arial" w:eastAsia="Arial" w:cs="Arial"/>
          <w:noProof w:val="0"/>
          <w:sz w:val="22"/>
          <w:szCs w:val="22"/>
          <w:lang w:val="en-GB"/>
        </w:rPr>
        <w:t>Createspace</w:t>
      </w:r>
      <w:r w:rsidRPr="119166DC" w:rsidR="119166DC">
        <w:rPr>
          <w:rFonts w:ascii="Arial" w:hAnsi="Arial" w:eastAsia="Arial" w:cs="Arial"/>
          <w:noProof w:val="0"/>
          <w:sz w:val="22"/>
          <w:szCs w:val="22"/>
          <w:lang w:val="en-GB"/>
        </w:rPr>
        <w:t xml:space="preserve"> Independent Publishing Platform.</w:t>
      </w:r>
    </w:p>
    <w:p w:rsidR="119166DC" w:rsidP="119166DC" w:rsidRDefault="119166DC" w14:paraId="70B96173" w14:textId="494DBB61">
      <w:pPr>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Ashkenas</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R. and Manville, B. (2018) The Harvard Business Review Leader’s Handbook. Harvard Business Press.</w:t>
      </w:r>
    </w:p>
    <w:p w:rsidR="119166DC" w:rsidP="119166DC" w:rsidRDefault="119166DC" w14:paraId="14C68830" w14:textId="62C016AC">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Baker, C. and Kirk-Wade, E. (2023). Mental health statistics: Prevalence, </w:t>
      </w:r>
      <w:r w:rsidRPr="119166DC" w:rsidR="119166DC">
        <w:rPr>
          <w:rFonts w:ascii="Arial" w:hAnsi="Arial" w:eastAsia="Arial" w:cs="Arial"/>
          <w:noProof w:val="0"/>
          <w:sz w:val="22"/>
          <w:szCs w:val="22"/>
          <w:lang w:val="en-GB"/>
        </w:rPr>
        <w:t>services</w:t>
      </w:r>
      <w:r w:rsidRPr="119166DC" w:rsidR="119166DC">
        <w:rPr>
          <w:rFonts w:ascii="Arial" w:hAnsi="Arial" w:eastAsia="Arial" w:cs="Arial"/>
          <w:noProof w:val="0"/>
          <w:sz w:val="22"/>
          <w:szCs w:val="22"/>
          <w:lang w:val="en-GB"/>
        </w:rPr>
        <w:t xml:space="preserve"> and funding in </w:t>
      </w:r>
      <w:r w:rsidRPr="119166DC" w:rsidR="119166DC">
        <w:rPr>
          <w:rFonts w:ascii="Arial" w:hAnsi="Arial" w:eastAsia="Arial" w:cs="Arial"/>
          <w:noProof w:val="0"/>
          <w:sz w:val="22"/>
          <w:szCs w:val="22"/>
          <w:lang w:val="en-GB"/>
        </w:rPr>
        <w:t>england</w:t>
      </w:r>
      <w:r w:rsidRPr="119166DC" w:rsidR="119166DC">
        <w:rPr>
          <w:rFonts w:ascii="Arial" w:hAnsi="Arial" w:eastAsia="Arial" w:cs="Arial"/>
          <w:noProof w:val="0"/>
          <w:sz w:val="22"/>
          <w:szCs w:val="22"/>
          <w:lang w:val="en-GB"/>
        </w:rPr>
        <w:t xml:space="preserve">. </w:t>
      </w:r>
      <w:r w:rsidRPr="119166DC" w:rsidR="119166DC">
        <w:rPr>
          <w:rFonts w:ascii="Arial" w:hAnsi="Arial" w:eastAsia="Arial" w:cs="Arial"/>
          <w:i w:val="1"/>
          <w:iCs w:val="1"/>
          <w:noProof w:val="0"/>
          <w:sz w:val="22"/>
          <w:szCs w:val="22"/>
          <w:lang w:val="en-GB"/>
        </w:rPr>
        <w:t xml:space="preserve">Mental health statistics: prevalence, </w:t>
      </w:r>
      <w:r w:rsidRPr="119166DC" w:rsidR="119166DC">
        <w:rPr>
          <w:rFonts w:ascii="Arial" w:hAnsi="Arial" w:eastAsia="Arial" w:cs="Arial"/>
          <w:i w:val="1"/>
          <w:iCs w:val="1"/>
          <w:noProof w:val="0"/>
          <w:sz w:val="22"/>
          <w:szCs w:val="22"/>
          <w:lang w:val="en-GB"/>
        </w:rPr>
        <w:t>services</w:t>
      </w:r>
      <w:r w:rsidRPr="119166DC" w:rsidR="119166DC">
        <w:rPr>
          <w:rFonts w:ascii="Arial" w:hAnsi="Arial" w:eastAsia="Arial" w:cs="Arial"/>
          <w:i w:val="1"/>
          <w:iCs w:val="1"/>
          <w:noProof w:val="0"/>
          <w:sz w:val="22"/>
          <w:szCs w:val="22"/>
          <w:lang w:val="en-GB"/>
        </w:rPr>
        <w:t xml:space="preserve"> and funding in England</w:t>
      </w:r>
      <w:r w:rsidRPr="119166DC" w:rsidR="119166DC">
        <w:rPr>
          <w:rFonts w:ascii="Arial" w:hAnsi="Arial" w:eastAsia="Arial" w:cs="Arial"/>
          <w:noProof w:val="0"/>
          <w:sz w:val="22"/>
          <w:szCs w:val="22"/>
          <w:lang w:val="en-GB"/>
        </w:rPr>
        <w:t xml:space="preserve">. [online] Available at: </w:t>
      </w:r>
      <w:r w:rsidRPr="119166DC" w:rsidR="119166DC">
        <w:rPr>
          <w:rFonts w:ascii="Arial" w:hAnsi="Arial" w:eastAsia="Arial" w:cs="Arial"/>
          <w:noProof w:val="0"/>
          <w:sz w:val="22"/>
          <w:szCs w:val="22"/>
          <w:lang w:val="en-GB"/>
        </w:rPr>
        <w:t>https://commonslibrary.parliament.uk/research-briefings/sn06988/</w:t>
      </w:r>
      <w:r w:rsidRPr="119166DC" w:rsidR="119166DC">
        <w:rPr>
          <w:rFonts w:ascii="Arial" w:hAnsi="Arial" w:eastAsia="Arial" w:cs="Arial"/>
          <w:noProof w:val="0"/>
          <w:sz w:val="22"/>
          <w:szCs w:val="22"/>
          <w:lang w:val="en-GB"/>
        </w:rPr>
        <w:t xml:space="preserve"> [Accessed 20 Feb. 2024].</w:t>
      </w:r>
    </w:p>
    <w:p w:rsidR="119166DC" w:rsidP="119166DC" w:rsidRDefault="119166DC" w14:paraId="53C7A3E4" w14:textId="0F9FE33A">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Boethius, A.M.S. (2021). </w:t>
      </w:r>
      <w:r w:rsidRPr="119166DC" w:rsidR="119166DC">
        <w:rPr>
          <w:rFonts w:ascii="Arial" w:hAnsi="Arial" w:eastAsia="Arial" w:cs="Arial"/>
          <w:i w:val="1"/>
          <w:iCs w:val="1"/>
          <w:noProof w:val="0"/>
          <w:sz w:val="22"/>
          <w:szCs w:val="22"/>
          <w:lang w:val="en-GB"/>
        </w:rPr>
        <w:t>The Consolation of Philosophy</w:t>
      </w:r>
      <w:r w:rsidRPr="119166DC" w:rsidR="119166DC">
        <w:rPr>
          <w:rFonts w:ascii="Arial" w:hAnsi="Arial" w:eastAsia="Arial" w:cs="Arial"/>
          <w:noProof w:val="0"/>
          <w:sz w:val="22"/>
          <w:szCs w:val="22"/>
          <w:lang w:val="en-GB"/>
        </w:rPr>
        <w:t>. Mint Editions.</w:t>
      </w:r>
    </w:p>
    <w:p w:rsidR="119166DC" w:rsidP="119166DC" w:rsidRDefault="119166DC" w14:paraId="5F35451F" w14:textId="5BDDCF58">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Booker, M.J., Purdy, S., Barnes, </w:t>
      </w:r>
      <w:r w:rsidRPr="119166DC" w:rsidR="119166DC">
        <w:rPr>
          <w:rFonts w:ascii="Arial" w:hAnsi="Arial" w:eastAsia="Arial" w:cs="Arial"/>
          <w:noProof w:val="0"/>
          <w:sz w:val="22"/>
          <w:szCs w:val="22"/>
          <w:lang w:val="en-GB"/>
        </w:rPr>
        <w:t>R.</w:t>
      </w:r>
      <w:r w:rsidRPr="119166DC" w:rsidR="119166DC">
        <w:rPr>
          <w:rFonts w:ascii="Arial" w:hAnsi="Arial" w:eastAsia="Arial" w:cs="Arial"/>
          <w:noProof w:val="0"/>
          <w:sz w:val="22"/>
          <w:szCs w:val="22"/>
          <w:lang w:val="en-GB"/>
        </w:rPr>
        <w:t xml:space="preserve"> and Shaw, A.R.G. (2019). Ambulance Use for ‘Primary Care’ problems: an Ethnographic Study of Seeking and Providing Help in a UK Ambulance Service. </w:t>
      </w:r>
      <w:r w:rsidRPr="119166DC" w:rsidR="119166DC">
        <w:rPr>
          <w:rFonts w:ascii="Arial" w:hAnsi="Arial" w:eastAsia="Arial" w:cs="Arial"/>
          <w:i w:val="1"/>
          <w:iCs w:val="1"/>
          <w:noProof w:val="0"/>
          <w:sz w:val="22"/>
          <w:szCs w:val="22"/>
          <w:lang w:val="en-GB"/>
        </w:rPr>
        <w:t>BMJ Open</w:t>
      </w:r>
      <w:r w:rsidRPr="119166DC" w:rsidR="119166DC">
        <w:rPr>
          <w:rFonts w:ascii="Arial" w:hAnsi="Arial" w:eastAsia="Arial" w:cs="Arial"/>
          <w:noProof w:val="0"/>
          <w:sz w:val="22"/>
          <w:szCs w:val="22"/>
          <w:lang w:val="en-GB"/>
        </w:rPr>
        <w:t xml:space="preserve">, [online] 9(10), p.e033037.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://doi.org/10.1136/bmjopen-2019-033037.</w:t>
      </w:r>
    </w:p>
    <w:p w:rsidR="119166DC" w:rsidP="119166DC" w:rsidRDefault="119166DC" w14:paraId="619054A5" w14:textId="46B99CD1">
      <w:pPr>
        <w:bidi w:val="0"/>
        <w:spacing w:before="0" w:beforeAutospacing="off" w:line="360" w:lineRule="auto"/>
        <w:ind w:left="-20" w:right="-2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xml:space="preserve">Brazil, V., Symon, B. and Twigg, S. (2021) ‘Clinical debriefing in the emergency department’,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US"/>
        </w:rPr>
        <w:t>Emergency Medicine Australasia</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33(5), pp. 778–779. doi:10.1111/1742-6723.13834.</w:t>
      </w:r>
    </w:p>
    <w:p w:rsidR="119166DC" w:rsidP="119166DC" w:rsidRDefault="119166DC" w14:paraId="3A4E8BC1" w14:textId="4F902158">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Broekstra</w:t>
      </w:r>
      <w:r w:rsidRPr="119166DC" w:rsidR="119166DC">
        <w:rPr>
          <w:rFonts w:ascii="Arial" w:hAnsi="Arial" w:eastAsia="Arial" w:cs="Arial"/>
          <w:noProof w:val="0"/>
          <w:sz w:val="22"/>
          <w:szCs w:val="22"/>
          <w:lang w:val="en-GB"/>
        </w:rPr>
        <w:t xml:space="preserve">, G. (2014). </w:t>
      </w:r>
      <w:r w:rsidRPr="119166DC" w:rsidR="119166DC">
        <w:rPr>
          <w:rFonts w:ascii="Arial" w:hAnsi="Arial" w:eastAsia="Arial" w:cs="Arial"/>
          <w:i w:val="1"/>
          <w:iCs w:val="1"/>
          <w:noProof w:val="0"/>
          <w:sz w:val="22"/>
          <w:szCs w:val="22"/>
          <w:lang w:val="en-GB"/>
        </w:rPr>
        <w:t>Building High-Performance, High-Trust Organizations</w:t>
      </w:r>
      <w:r w:rsidRPr="119166DC" w:rsidR="119166DC">
        <w:rPr>
          <w:rFonts w:ascii="Arial" w:hAnsi="Arial" w:eastAsia="Arial" w:cs="Arial"/>
          <w:noProof w:val="0"/>
          <w:sz w:val="22"/>
          <w:szCs w:val="22"/>
          <w:lang w:val="en-GB"/>
        </w:rPr>
        <w:t>. Springer.</w:t>
      </w:r>
    </w:p>
    <w:p w:rsidR="119166DC" w:rsidP="119166DC" w:rsidRDefault="119166DC" w14:paraId="687DD5E5" w14:textId="0C0135B6">
      <w:pPr>
        <w:pStyle w:val="Normal"/>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Butsch, C., Beckers, L.-M., Nilson, E., </w:t>
      </w:r>
      <w:r w:rsidRPr="119166DC" w:rsidR="119166DC">
        <w:rPr>
          <w:rFonts w:ascii="Arial" w:hAnsi="Arial" w:eastAsia="Arial" w:cs="Arial"/>
          <w:noProof w:val="0"/>
          <w:sz w:val="22"/>
          <w:szCs w:val="22"/>
          <w:lang w:val="en-GB"/>
        </w:rPr>
        <w:t>Frassl</w:t>
      </w:r>
      <w:r w:rsidRPr="119166DC" w:rsidR="119166DC">
        <w:rPr>
          <w:rFonts w:ascii="Arial" w:hAnsi="Arial" w:eastAsia="Arial" w:cs="Arial"/>
          <w:noProof w:val="0"/>
          <w:sz w:val="22"/>
          <w:szCs w:val="22"/>
          <w:lang w:val="en-GB"/>
        </w:rPr>
        <w:t xml:space="preserve">, M.A., </w:t>
      </w:r>
      <w:r w:rsidRPr="119166DC" w:rsidR="119166DC">
        <w:rPr>
          <w:rFonts w:ascii="Arial" w:hAnsi="Arial" w:eastAsia="Arial" w:cs="Arial"/>
          <w:noProof w:val="0"/>
          <w:sz w:val="22"/>
          <w:szCs w:val="22"/>
          <w:lang w:val="en-GB"/>
        </w:rPr>
        <w:t>Brennholt</w:t>
      </w:r>
      <w:r w:rsidRPr="119166DC" w:rsidR="119166DC">
        <w:rPr>
          <w:rFonts w:ascii="Arial" w:hAnsi="Arial" w:eastAsia="Arial" w:cs="Arial"/>
          <w:noProof w:val="0"/>
          <w:sz w:val="22"/>
          <w:szCs w:val="22"/>
          <w:lang w:val="en-GB"/>
        </w:rPr>
        <w:t xml:space="preserve">, N., Kwiatkowski, R.E. and Mareike Söder (2023). Health Impacts of Extreme Weather Events - Cascading Risks in a Changing climate. </w:t>
      </w:r>
      <w:r w:rsidRPr="119166DC" w:rsidR="119166DC">
        <w:rPr>
          <w:rFonts w:ascii="Arial" w:hAnsi="Arial" w:eastAsia="Arial" w:cs="Arial"/>
          <w:i w:val="1"/>
          <w:iCs w:val="1"/>
          <w:noProof w:val="0"/>
          <w:sz w:val="22"/>
          <w:szCs w:val="22"/>
          <w:lang w:val="en-GB"/>
        </w:rPr>
        <w:t>PubMed</w:t>
      </w:r>
      <w:r w:rsidRPr="119166DC" w:rsidR="119166DC">
        <w:rPr>
          <w:rFonts w:ascii="Arial" w:hAnsi="Arial" w:eastAsia="Arial" w:cs="Arial"/>
          <w:noProof w:val="0"/>
          <w:sz w:val="22"/>
          <w:szCs w:val="22"/>
          <w:lang w:val="en-GB"/>
        </w:rPr>
        <w:t>, [online] 8(</w:t>
      </w:r>
      <w:r w:rsidRPr="119166DC" w:rsidR="119166DC">
        <w:rPr>
          <w:rFonts w:ascii="Arial" w:hAnsi="Arial" w:eastAsia="Arial" w:cs="Arial"/>
          <w:noProof w:val="0"/>
          <w:sz w:val="22"/>
          <w:szCs w:val="22"/>
          <w:lang w:val="en-GB"/>
        </w:rPr>
        <w:t>Suppl</w:t>
      </w:r>
      <w:r w:rsidRPr="119166DC" w:rsidR="119166DC">
        <w:rPr>
          <w:rFonts w:ascii="Arial" w:hAnsi="Arial" w:eastAsia="Arial" w:cs="Arial"/>
          <w:noProof w:val="0"/>
          <w:sz w:val="22"/>
          <w:szCs w:val="22"/>
          <w:lang w:val="en-GB"/>
        </w:rPr>
        <w:t xml:space="preserve"> 4), pp.33–56.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://doi.org/10.25646/11652.</w:t>
      </w:r>
    </w:p>
    <w:p w:rsidR="119166DC" w:rsidP="119166DC" w:rsidRDefault="119166DC" w14:paraId="71A346C9" w14:textId="11F4F333">
      <w:pPr>
        <w:pStyle w:val="Normal"/>
        <w:bidi w:val="0"/>
        <w:spacing w:before="0" w:beforeAutospacing="off" w:line="360" w:lineRule="auto"/>
        <w:ind w:left="-20" w:right="-2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Buchanan, D.A. and Huczynski, A. (2017) Organizational Behaviour. 9th edn. Harlow: Pearson.</w:t>
      </w:r>
    </w:p>
    <w:p w:rsidR="119166DC" w:rsidP="119166DC" w:rsidRDefault="119166DC" w14:paraId="24802F91" w14:textId="0807461B">
      <w:pPr>
        <w:pStyle w:val="Normal"/>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Burns, J.M. (1978) Leadership. New York: Harper &amp; Row.</w:t>
      </w:r>
    </w:p>
    <w:p w:rsidR="119166DC" w:rsidP="119166DC" w:rsidRDefault="119166DC" w14:paraId="2F61F3EC" w14:textId="3C9DB7B0">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Cabinet Office (2013). </w:t>
      </w:r>
      <w:r w:rsidRPr="119166DC" w:rsidR="119166DC">
        <w:rPr>
          <w:rFonts w:ascii="Arial" w:hAnsi="Arial" w:eastAsia="Arial" w:cs="Arial"/>
          <w:i w:val="1"/>
          <w:iCs w:val="1"/>
          <w:noProof w:val="0"/>
          <w:sz w:val="22"/>
          <w:szCs w:val="22"/>
          <w:lang w:val="en-GB"/>
        </w:rPr>
        <w:t>Public Bodies</w:t>
      </w:r>
      <w:r w:rsidRPr="119166DC" w:rsidR="119166DC">
        <w:rPr>
          <w:rFonts w:ascii="Arial" w:hAnsi="Arial" w:eastAsia="Arial" w:cs="Arial"/>
          <w:noProof w:val="0"/>
          <w:sz w:val="22"/>
          <w:szCs w:val="22"/>
          <w:lang w:val="en-GB"/>
        </w:rPr>
        <w:t xml:space="preserve">. [online] GOV.UK. Available at: </w:t>
      </w:r>
      <w:r w:rsidRPr="119166DC" w:rsidR="119166DC">
        <w:rPr>
          <w:rFonts w:ascii="Arial" w:hAnsi="Arial" w:eastAsia="Arial" w:cs="Arial"/>
          <w:noProof w:val="0"/>
          <w:sz w:val="22"/>
          <w:szCs w:val="22"/>
          <w:lang w:val="en-GB"/>
        </w:rPr>
        <w:t>https://www.gov.uk/guidance/public-bodies-reform</w:t>
      </w:r>
      <w:r w:rsidRPr="119166DC" w:rsidR="119166DC">
        <w:rPr>
          <w:rFonts w:ascii="Arial" w:hAnsi="Arial" w:eastAsia="Arial" w:cs="Arial"/>
          <w:noProof w:val="0"/>
          <w:sz w:val="22"/>
          <w:szCs w:val="22"/>
          <w:lang w:val="en-GB"/>
        </w:rPr>
        <w:t xml:space="preserve"> [Accessed 18 Jan. 2024].</w:t>
      </w:r>
    </w:p>
    <w:p w:rsidR="119166DC" w:rsidP="119166DC" w:rsidRDefault="119166DC" w14:paraId="6593D149" w14:textId="5D032BAE">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Carlyle, T. (2017) On Heroes, Hero-Worship, And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Heroic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History. S.L.: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Hansebooks</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119166DC" w:rsidP="119166DC" w:rsidRDefault="119166DC" w14:paraId="3983E332" w14:textId="3F351810">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Carroll, A.B., Brown, J.A. and Buchholtz, A.K. (2018). </w:t>
      </w:r>
      <w:r w:rsidRPr="119166DC" w:rsidR="119166DC">
        <w:rPr>
          <w:rFonts w:ascii="Arial" w:hAnsi="Arial" w:eastAsia="Arial" w:cs="Arial"/>
          <w:i w:val="1"/>
          <w:iCs w:val="1"/>
          <w:noProof w:val="0"/>
          <w:sz w:val="22"/>
          <w:szCs w:val="22"/>
          <w:lang w:val="en-GB"/>
        </w:rPr>
        <w:t>Business &amp; society: Ethics, sustainability, and Stakeholder Management</w:t>
      </w:r>
      <w:r w:rsidRPr="119166DC" w:rsidR="119166DC">
        <w:rPr>
          <w:rFonts w:ascii="Arial" w:hAnsi="Arial" w:eastAsia="Arial" w:cs="Arial"/>
          <w:noProof w:val="0"/>
          <w:sz w:val="22"/>
          <w:szCs w:val="22"/>
          <w:lang w:val="en-GB"/>
        </w:rPr>
        <w:t>. 10th ed. Boston, Ma: Cengage Learning.</w:t>
      </w:r>
    </w:p>
    <w:p w:rsidR="119166DC" w:rsidP="119166DC" w:rsidRDefault="119166DC" w14:paraId="6B06FE96" w14:textId="026F84D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Cavanagh, M. (2007) Against Equality of Opportunity. New York: Oxford University Press.</w:t>
      </w:r>
    </w:p>
    <w:p w:rsidR="119166DC" w:rsidP="119166DC" w:rsidRDefault="119166DC" w14:paraId="41A62E2B" w14:textId="72A66D42">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Clavelle, J.T. (2012) ‘Transformational Leadership: Visibility, Accessibility, and Communication’, JONA: The Journal of Nursing Administration, 42(7/8), pp. 345–346. Available at: </w:t>
      </w:r>
      <w:r w:rsidRPr="119166DC" w:rsidR="119166DC">
        <w:rPr>
          <w:rFonts w:ascii="Arial" w:hAnsi="Arial" w:eastAsia="Arial" w:cs="Arial"/>
          <w:b w:val="0"/>
          <w:bCs w:val="0"/>
          <w:i w:val="0"/>
          <w:iCs w:val="0"/>
          <w:caps w:val="0"/>
          <w:smallCaps w:val="0"/>
          <w:strike w:val="0"/>
          <w:dstrike w:val="0"/>
          <w:noProof w:val="0"/>
          <w:sz w:val="22"/>
          <w:szCs w:val="22"/>
          <w:lang w:val="en-GB"/>
        </w:rPr>
        <w:t>https://doi.org/10.1097/nna.0b013e31826193d2</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119166DC" w:rsidP="119166DC" w:rsidRDefault="119166DC" w14:paraId="131BD98F" w14:textId="05452880">
      <w:pPr>
        <w:pStyle w:val="Normal"/>
        <w:bidi w:val="0"/>
        <w:spacing w:before="0" w:beforeAutospacing="off" w:line="360" w:lineRule="auto"/>
        <w:ind w:left="-20" w:right="-2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Cohen, E.A. (2012) Supreme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Command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Soldiers, Statesmen and Leadership in Wartime. London: Simon &amp; Schuster, Limited.</w:t>
      </w:r>
    </w:p>
    <w:p w:rsidR="119166DC" w:rsidP="119166DC" w:rsidRDefault="119166DC" w14:paraId="35E98DEF" w14:textId="0532FBA4">
      <w:pPr>
        <w:pStyle w:val="Normal"/>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Cornelissen, J. (2020). </w:t>
      </w:r>
      <w:r w:rsidRPr="119166DC" w:rsidR="119166DC">
        <w:rPr>
          <w:rFonts w:ascii="Arial" w:hAnsi="Arial" w:eastAsia="Arial" w:cs="Arial"/>
          <w:i w:val="1"/>
          <w:iCs w:val="1"/>
          <w:noProof w:val="0"/>
          <w:sz w:val="22"/>
          <w:szCs w:val="22"/>
          <w:lang w:val="en-GB"/>
        </w:rPr>
        <w:t xml:space="preserve">Corporate Communication: </w:t>
      </w:r>
      <w:r w:rsidRPr="119166DC" w:rsidR="119166DC">
        <w:rPr>
          <w:rFonts w:ascii="Arial" w:hAnsi="Arial" w:eastAsia="Arial" w:cs="Arial"/>
          <w:i w:val="1"/>
          <w:iCs w:val="1"/>
          <w:noProof w:val="0"/>
          <w:sz w:val="22"/>
          <w:szCs w:val="22"/>
          <w:lang w:val="en-GB"/>
        </w:rPr>
        <w:t>a</w:t>
      </w:r>
      <w:r w:rsidRPr="119166DC" w:rsidR="119166DC">
        <w:rPr>
          <w:rFonts w:ascii="Arial" w:hAnsi="Arial" w:eastAsia="Arial" w:cs="Arial"/>
          <w:i w:val="1"/>
          <w:iCs w:val="1"/>
          <w:noProof w:val="0"/>
          <w:sz w:val="22"/>
          <w:szCs w:val="22"/>
          <w:lang w:val="en-GB"/>
        </w:rPr>
        <w:t xml:space="preserve"> Guide to Theory &amp; Practice</w:t>
      </w:r>
      <w:r w:rsidRPr="119166DC" w:rsidR="119166DC">
        <w:rPr>
          <w:rFonts w:ascii="Arial" w:hAnsi="Arial" w:eastAsia="Arial" w:cs="Arial"/>
          <w:noProof w:val="0"/>
          <w:sz w:val="22"/>
          <w:szCs w:val="22"/>
          <w:lang w:val="en-GB"/>
        </w:rPr>
        <w:t>. 6th ed. London: Sage Publications Ltd.</w:t>
      </w:r>
    </w:p>
    <w:p w:rsidR="119166DC" w:rsidP="119166DC" w:rsidRDefault="119166DC" w14:paraId="76A1D863" w14:textId="01109A95">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Cristea, M., </w:t>
      </w:r>
      <w:r w:rsidRPr="119166DC" w:rsidR="119166DC">
        <w:rPr>
          <w:rFonts w:ascii="Arial" w:hAnsi="Arial" w:eastAsia="Arial" w:cs="Arial"/>
          <w:noProof w:val="0"/>
          <w:sz w:val="22"/>
          <w:szCs w:val="22"/>
          <w:lang w:val="en-GB"/>
        </w:rPr>
        <w:t>Noja</w:t>
      </w:r>
      <w:r w:rsidRPr="119166DC" w:rsidR="119166DC">
        <w:rPr>
          <w:rFonts w:ascii="Arial" w:hAnsi="Arial" w:eastAsia="Arial" w:cs="Arial"/>
          <w:noProof w:val="0"/>
          <w:sz w:val="22"/>
          <w:szCs w:val="22"/>
          <w:lang w:val="en-GB"/>
        </w:rPr>
        <w:t xml:space="preserve">, G.G., </w:t>
      </w:r>
      <w:r w:rsidRPr="119166DC" w:rsidR="119166DC">
        <w:rPr>
          <w:rFonts w:ascii="Arial" w:hAnsi="Arial" w:eastAsia="Arial" w:cs="Arial"/>
          <w:noProof w:val="0"/>
          <w:sz w:val="22"/>
          <w:szCs w:val="22"/>
          <w:lang w:val="en-GB"/>
        </w:rPr>
        <w:t>Stefea</w:t>
      </w:r>
      <w:r w:rsidRPr="119166DC" w:rsidR="119166DC">
        <w:rPr>
          <w:rFonts w:ascii="Arial" w:hAnsi="Arial" w:eastAsia="Arial" w:cs="Arial"/>
          <w:noProof w:val="0"/>
          <w:sz w:val="22"/>
          <w:szCs w:val="22"/>
          <w:lang w:val="en-GB"/>
        </w:rPr>
        <w:t xml:space="preserve">, P. and Sala, A.L. (2020). The Impact of Population Aging and Public Health Support on EU Labor Markets. </w:t>
      </w:r>
      <w:r w:rsidRPr="119166DC" w:rsidR="119166DC">
        <w:rPr>
          <w:rFonts w:ascii="Arial" w:hAnsi="Arial" w:eastAsia="Arial" w:cs="Arial"/>
          <w:i w:val="1"/>
          <w:iCs w:val="1"/>
          <w:noProof w:val="0"/>
          <w:sz w:val="22"/>
          <w:szCs w:val="22"/>
          <w:lang w:val="en-GB"/>
        </w:rPr>
        <w:t>International Journal of Environmental Research and Public Health</w:t>
      </w:r>
      <w:r w:rsidRPr="119166DC" w:rsidR="119166DC">
        <w:rPr>
          <w:rFonts w:ascii="Arial" w:hAnsi="Arial" w:eastAsia="Arial" w:cs="Arial"/>
          <w:noProof w:val="0"/>
          <w:sz w:val="22"/>
          <w:szCs w:val="22"/>
          <w:lang w:val="en-GB"/>
        </w:rPr>
        <w:t xml:space="preserve">, [online] 17(4), p.1439.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://doi.org/10.3390/ijerph17041439.</w:t>
      </w:r>
    </w:p>
    <w:p w:rsidR="119166DC" w:rsidP="119166DC" w:rsidRDefault="119166DC" w14:paraId="7D615765" w14:textId="2B7CA21D">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Care Quality Commission (2018). </w:t>
      </w:r>
      <w:r w:rsidRPr="119166DC" w:rsidR="119166DC">
        <w:rPr>
          <w:rFonts w:ascii="Arial" w:hAnsi="Arial" w:eastAsia="Arial" w:cs="Arial"/>
          <w:i w:val="1"/>
          <w:iCs w:val="1"/>
          <w:noProof w:val="0"/>
          <w:sz w:val="22"/>
          <w:szCs w:val="22"/>
          <w:lang w:val="en-GB"/>
        </w:rPr>
        <w:t>Opening the Door to Change NHS Safety Culture and the Need for Transformation</w:t>
      </w:r>
      <w:r w:rsidRPr="119166DC" w:rsidR="119166DC">
        <w:rPr>
          <w:rFonts w:ascii="Arial" w:hAnsi="Arial" w:eastAsia="Arial" w:cs="Arial"/>
          <w:noProof w:val="0"/>
          <w:sz w:val="22"/>
          <w:szCs w:val="22"/>
          <w:lang w:val="en-GB"/>
        </w:rPr>
        <w:t xml:space="preserve">. [online] Available at: </w:t>
      </w:r>
      <w:r w:rsidRPr="119166DC" w:rsidR="119166DC">
        <w:rPr>
          <w:rFonts w:ascii="Arial" w:hAnsi="Arial" w:eastAsia="Arial" w:cs="Arial"/>
          <w:noProof w:val="0"/>
          <w:sz w:val="22"/>
          <w:szCs w:val="22"/>
          <w:lang w:val="en-GB"/>
        </w:rPr>
        <w:t>https://www.cqc.org.uk/sites/default/files/20181224_openingthedoor_report.pdf</w:t>
      </w:r>
      <w:r w:rsidRPr="119166DC" w:rsidR="119166DC">
        <w:rPr>
          <w:rFonts w:ascii="Arial" w:hAnsi="Arial" w:eastAsia="Arial" w:cs="Arial"/>
          <w:noProof w:val="0"/>
          <w:sz w:val="22"/>
          <w:szCs w:val="22"/>
          <w:lang w:val="en-GB"/>
        </w:rPr>
        <w:t>.</w:t>
      </w:r>
    </w:p>
    <w:p w:rsidR="119166DC" w:rsidP="119166DC" w:rsidRDefault="119166DC" w14:paraId="0378D8FC" w14:textId="014F0544">
      <w:pPr>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Denison, D.R.,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Hooijberg</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R. and Quinn, R.E. (1995) ‘Paradox and Performance: Toward a Theory of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Behavioral</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Complexity in Managerial Leadership’, Organization Science, 6(5), pp. 524–540. Available at: </w:t>
      </w:r>
      <w:r w:rsidRPr="119166DC" w:rsidR="119166DC">
        <w:rPr>
          <w:rFonts w:ascii="Arial" w:hAnsi="Arial" w:eastAsia="Arial" w:cs="Arial"/>
          <w:b w:val="0"/>
          <w:bCs w:val="0"/>
          <w:i w:val="0"/>
          <w:iCs w:val="0"/>
          <w:caps w:val="0"/>
          <w:smallCaps w:val="0"/>
          <w:strike w:val="0"/>
          <w:dstrike w:val="0"/>
          <w:noProof w:val="0"/>
          <w:sz w:val="22"/>
          <w:szCs w:val="22"/>
          <w:lang w:val="en-GB"/>
        </w:rPr>
        <w:t>https://doi.org/10.1287/orsc.6.5.524</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119166DC" w:rsidP="119166DC" w:rsidRDefault="119166DC" w14:paraId="2AD3FC06" w14:textId="77AFCEAF">
      <w:pPr>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Downton, J.V. (1973) Rebel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Leadership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Commitment and Charisma in the Revolutionary Process. New York: Free Press.</w:t>
      </w:r>
    </w:p>
    <w:p w:rsidR="119166DC" w:rsidP="119166DC" w:rsidRDefault="119166DC" w14:paraId="7BD48C36" w14:textId="51BBAB73">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Eaton, G. (2023). Addressing the Challenges Facing the Paramedic Profession in the United Kingdom. </w:t>
      </w:r>
      <w:r w:rsidRPr="119166DC" w:rsidR="119166DC">
        <w:rPr>
          <w:rFonts w:ascii="Arial" w:hAnsi="Arial" w:eastAsia="Arial" w:cs="Arial"/>
          <w:i w:val="1"/>
          <w:iCs w:val="1"/>
          <w:noProof w:val="0"/>
          <w:sz w:val="22"/>
          <w:szCs w:val="22"/>
          <w:lang w:val="en-GB"/>
        </w:rPr>
        <w:t>British Medical Bulletin</w:t>
      </w:r>
      <w:r w:rsidRPr="119166DC" w:rsidR="119166DC">
        <w:rPr>
          <w:rFonts w:ascii="Arial" w:hAnsi="Arial" w:eastAsia="Arial" w:cs="Arial"/>
          <w:noProof w:val="0"/>
          <w:sz w:val="22"/>
          <w:szCs w:val="22"/>
          <w:lang w:val="en-GB"/>
        </w:rPr>
        <w:t xml:space="preserve">, [online] 148(1), </w:t>
      </w:r>
      <w:r w:rsidRPr="119166DC" w:rsidR="119166DC">
        <w:rPr>
          <w:rFonts w:ascii="Arial" w:hAnsi="Arial" w:eastAsia="Arial" w:cs="Arial"/>
          <w:noProof w:val="0"/>
          <w:sz w:val="22"/>
          <w:szCs w:val="22"/>
          <w:lang w:val="en-GB"/>
        </w:rPr>
        <w:t>p.ldad</w:t>
      </w:r>
      <w:r w:rsidRPr="119166DC" w:rsidR="119166DC">
        <w:rPr>
          <w:rFonts w:ascii="Arial" w:hAnsi="Arial" w:eastAsia="Arial" w:cs="Arial"/>
          <w:noProof w:val="0"/>
          <w:sz w:val="22"/>
          <w:szCs w:val="22"/>
          <w:lang w:val="en-GB"/>
        </w:rPr>
        <w:t xml:space="preserve">024.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://doi.org/10.1093/</w:t>
      </w:r>
      <w:r w:rsidRPr="119166DC" w:rsidR="119166DC">
        <w:rPr>
          <w:rFonts w:ascii="Arial" w:hAnsi="Arial" w:eastAsia="Arial" w:cs="Arial"/>
          <w:noProof w:val="0"/>
          <w:sz w:val="22"/>
          <w:szCs w:val="22"/>
          <w:lang w:val="en-GB"/>
        </w:rPr>
        <w:t>bmb</w:t>
      </w:r>
      <w:r w:rsidRPr="119166DC" w:rsidR="119166DC">
        <w:rPr>
          <w:rFonts w:ascii="Arial" w:hAnsi="Arial" w:eastAsia="Arial" w:cs="Arial"/>
          <w:noProof w:val="0"/>
          <w:sz w:val="22"/>
          <w:szCs w:val="22"/>
          <w:lang w:val="en-GB"/>
        </w:rPr>
        <w:t>/ldad024.</w:t>
      </w:r>
    </w:p>
    <w:p w:rsidR="119166DC" w:rsidP="119166DC" w:rsidRDefault="119166DC" w14:paraId="7943E836" w14:textId="38EE4AA5">
      <w:pPr>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Edmonstone, J. (2013) ‘What Is Wrong with NHS Leadership development?’, British Journal of Healthcare Management, 19(11), pp. 531–538. Available at: </w:t>
      </w:r>
      <w:r w:rsidRPr="119166DC" w:rsidR="119166DC">
        <w:rPr>
          <w:rFonts w:ascii="Arial" w:hAnsi="Arial" w:eastAsia="Arial" w:cs="Arial"/>
          <w:b w:val="0"/>
          <w:bCs w:val="0"/>
          <w:i w:val="0"/>
          <w:iCs w:val="0"/>
          <w:caps w:val="0"/>
          <w:smallCaps w:val="0"/>
          <w:strike w:val="0"/>
          <w:dstrike w:val="0"/>
          <w:noProof w:val="0"/>
          <w:sz w:val="22"/>
          <w:szCs w:val="22"/>
          <w:lang w:val="en-GB"/>
        </w:rPr>
        <w:t>https://doi.org/10.12968/bjhc.2013.19.11.531</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119166DC" w:rsidP="119166DC" w:rsidRDefault="119166DC" w14:paraId="0DAFBAB4" w14:textId="72C4302A">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El-Masri, S. and Saddik, B. (2012). An Emergency System to Improve Ambulance Dispatching, Ambulance Diversion and Clinical Handover Communication—A Proposed Model. </w:t>
      </w:r>
      <w:r w:rsidRPr="119166DC" w:rsidR="119166DC">
        <w:rPr>
          <w:rFonts w:ascii="Arial" w:hAnsi="Arial" w:eastAsia="Arial" w:cs="Arial"/>
          <w:i w:val="1"/>
          <w:iCs w:val="1"/>
          <w:noProof w:val="0"/>
          <w:sz w:val="22"/>
          <w:szCs w:val="22"/>
          <w:lang w:val="en-GB"/>
        </w:rPr>
        <w:t>Journal of Medical Systems</w:t>
      </w:r>
      <w:r w:rsidRPr="119166DC" w:rsidR="119166DC">
        <w:rPr>
          <w:rFonts w:ascii="Arial" w:hAnsi="Arial" w:eastAsia="Arial" w:cs="Arial"/>
          <w:noProof w:val="0"/>
          <w:sz w:val="22"/>
          <w:szCs w:val="22"/>
          <w:lang w:val="en-GB"/>
        </w:rPr>
        <w:t xml:space="preserve">, 36(6), pp.3917–3923.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://doi.org/10.1007/s10916-012-9863-x.</w:t>
      </w:r>
    </w:p>
    <w:p w:rsidR="119166DC" w:rsidP="119166DC" w:rsidRDefault="119166DC" w14:paraId="395BC5CD" w14:textId="4060BE61">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Fine, J., Burnham, L., Griffith, K., Ji, M., Narro, V., Pitts, </w:t>
      </w:r>
      <w:r w:rsidRPr="119166DC" w:rsidR="119166DC">
        <w:rPr>
          <w:rFonts w:ascii="Arial" w:hAnsi="Arial" w:eastAsia="Arial" w:cs="Arial"/>
          <w:noProof w:val="0"/>
          <w:sz w:val="22"/>
          <w:szCs w:val="22"/>
          <w:lang w:val="en-GB"/>
        </w:rPr>
        <w:t>S.C.</w:t>
      </w:r>
      <w:r w:rsidRPr="119166DC" w:rsidR="119166DC">
        <w:rPr>
          <w:rFonts w:ascii="Arial" w:hAnsi="Arial" w:eastAsia="Arial" w:cs="Arial"/>
          <w:noProof w:val="0"/>
          <w:sz w:val="22"/>
          <w:szCs w:val="22"/>
          <w:lang w:val="en-GB"/>
        </w:rPr>
        <w:t xml:space="preserve"> and Labor </w:t>
      </w:r>
      <w:r w:rsidRPr="119166DC" w:rsidR="119166DC">
        <w:rPr>
          <w:rFonts w:ascii="Arial" w:hAnsi="Arial" w:eastAsia="Arial" w:cs="Arial"/>
          <w:noProof w:val="0"/>
          <w:sz w:val="22"/>
          <w:szCs w:val="22"/>
          <w:lang w:val="en-GB"/>
        </w:rPr>
        <w:t>And</w:t>
      </w:r>
      <w:r w:rsidRPr="119166DC" w:rsidR="119166DC">
        <w:rPr>
          <w:rFonts w:ascii="Arial" w:hAnsi="Arial" w:eastAsia="Arial" w:cs="Arial"/>
          <w:noProof w:val="0"/>
          <w:sz w:val="22"/>
          <w:szCs w:val="22"/>
          <w:lang w:val="en-GB"/>
        </w:rPr>
        <w:t xml:space="preserve"> Employment Relations Association (2018). </w:t>
      </w:r>
      <w:r w:rsidRPr="119166DC" w:rsidR="119166DC">
        <w:rPr>
          <w:rFonts w:ascii="Arial" w:hAnsi="Arial" w:eastAsia="Arial" w:cs="Arial"/>
          <w:i w:val="1"/>
          <w:iCs w:val="1"/>
          <w:noProof w:val="0"/>
          <w:sz w:val="22"/>
          <w:szCs w:val="22"/>
          <w:lang w:val="en-GB"/>
        </w:rPr>
        <w:t xml:space="preserve">No One Size Fits </w:t>
      </w:r>
      <w:r w:rsidRPr="119166DC" w:rsidR="119166DC">
        <w:rPr>
          <w:rFonts w:ascii="Arial" w:hAnsi="Arial" w:eastAsia="Arial" w:cs="Arial"/>
          <w:i w:val="1"/>
          <w:iCs w:val="1"/>
          <w:noProof w:val="0"/>
          <w:sz w:val="22"/>
          <w:szCs w:val="22"/>
          <w:lang w:val="en-GB"/>
        </w:rPr>
        <w:t>All :</w:t>
      </w:r>
      <w:r w:rsidRPr="119166DC" w:rsidR="119166DC">
        <w:rPr>
          <w:rFonts w:ascii="Arial" w:hAnsi="Arial" w:eastAsia="Arial" w:cs="Arial"/>
          <w:i w:val="1"/>
          <w:iCs w:val="1"/>
          <w:noProof w:val="0"/>
          <w:sz w:val="22"/>
          <w:szCs w:val="22"/>
          <w:lang w:val="en-GB"/>
        </w:rPr>
        <w:t xml:space="preserve"> Worker Organization, Policy, and Movement in a New Economic Age</w:t>
      </w:r>
      <w:r w:rsidRPr="119166DC" w:rsidR="119166DC">
        <w:rPr>
          <w:rFonts w:ascii="Arial" w:hAnsi="Arial" w:eastAsia="Arial" w:cs="Arial"/>
          <w:noProof w:val="0"/>
          <w:sz w:val="22"/>
          <w:szCs w:val="22"/>
          <w:lang w:val="en-GB"/>
        </w:rPr>
        <w:t xml:space="preserve">. Champaign, Il: Labor and Employment Relations Association, University of Illinois at Urbana-Champaign, School of </w:t>
      </w:r>
      <w:r w:rsidRPr="119166DC" w:rsidR="119166DC">
        <w:rPr>
          <w:rFonts w:ascii="Arial" w:hAnsi="Arial" w:eastAsia="Arial" w:cs="Arial"/>
          <w:noProof w:val="0"/>
          <w:sz w:val="22"/>
          <w:szCs w:val="22"/>
          <w:lang w:val="en-GB"/>
        </w:rPr>
        <w:t>Labor</w:t>
      </w:r>
      <w:r w:rsidRPr="119166DC" w:rsidR="119166DC">
        <w:rPr>
          <w:rFonts w:ascii="Arial" w:hAnsi="Arial" w:eastAsia="Arial" w:cs="Arial"/>
          <w:noProof w:val="0"/>
          <w:sz w:val="22"/>
          <w:szCs w:val="22"/>
          <w:lang w:val="en-GB"/>
        </w:rPr>
        <w:t xml:space="preserve"> and Employment Relations.</w:t>
      </w:r>
    </w:p>
    <w:p w:rsidR="119166DC" w:rsidP="119166DC" w:rsidRDefault="119166DC" w14:paraId="0A8891C4" w14:textId="440FC6A3">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Goddard, J. (2022). Ambulance Response Times in England: </w:t>
      </w:r>
      <w:r w:rsidRPr="119166DC" w:rsidR="119166DC">
        <w:rPr>
          <w:rFonts w:ascii="Arial" w:hAnsi="Arial" w:eastAsia="Arial" w:cs="Arial"/>
          <w:noProof w:val="0"/>
          <w:sz w:val="22"/>
          <w:szCs w:val="22"/>
          <w:lang w:val="en-GB"/>
        </w:rPr>
        <w:t>an</w:t>
      </w:r>
      <w:r w:rsidRPr="119166DC" w:rsidR="119166DC">
        <w:rPr>
          <w:rFonts w:ascii="Arial" w:hAnsi="Arial" w:eastAsia="Arial" w:cs="Arial"/>
          <w:noProof w:val="0"/>
          <w:sz w:val="22"/>
          <w:szCs w:val="22"/>
          <w:lang w:val="en-GB"/>
        </w:rPr>
        <w:t xml:space="preserve"> Emergency? </w:t>
      </w:r>
      <w:r w:rsidRPr="119166DC" w:rsidR="119166DC">
        <w:rPr>
          <w:rFonts w:ascii="Arial" w:hAnsi="Arial" w:eastAsia="Arial" w:cs="Arial"/>
          <w:i w:val="1"/>
          <w:iCs w:val="1"/>
          <w:noProof w:val="0"/>
          <w:sz w:val="22"/>
          <w:szCs w:val="22"/>
          <w:lang w:val="en-GB"/>
        </w:rPr>
        <w:t>lordslibrary.parliament.uk</w:t>
      </w:r>
      <w:r w:rsidRPr="119166DC" w:rsidR="119166DC">
        <w:rPr>
          <w:rFonts w:ascii="Arial" w:hAnsi="Arial" w:eastAsia="Arial" w:cs="Arial"/>
          <w:noProof w:val="0"/>
          <w:sz w:val="22"/>
          <w:szCs w:val="22"/>
          <w:lang w:val="en-GB"/>
        </w:rPr>
        <w:t xml:space="preserve">. [online] Available at: </w:t>
      </w:r>
      <w:r w:rsidRPr="119166DC" w:rsidR="119166DC">
        <w:rPr>
          <w:rFonts w:ascii="Arial" w:hAnsi="Arial" w:eastAsia="Arial" w:cs="Arial"/>
          <w:noProof w:val="0"/>
          <w:sz w:val="22"/>
          <w:szCs w:val="22"/>
          <w:lang w:val="en-GB"/>
        </w:rPr>
        <w:t>https://lordslibrary.parliament.uk/ambulance-response-times-in-england-an-emergency/</w:t>
      </w:r>
      <w:r w:rsidRPr="119166DC" w:rsidR="119166DC">
        <w:rPr>
          <w:rFonts w:ascii="Arial" w:hAnsi="Arial" w:eastAsia="Arial" w:cs="Arial"/>
          <w:noProof w:val="0"/>
          <w:sz w:val="22"/>
          <w:szCs w:val="22"/>
          <w:lang w:val="en-GB"/>
        </w:rPr>
        <w:t xml:space="preserve"> [Accessed 12 Mar. 2024].</w:t>
      </w:r>
    </w:p>
    <w:p w:rsidR="119166DC" w:rsidP="119166DC" w:rsidRDefault="119166DC" w14:paraId="2C401ECC" w14:textId="07115C1F">
      <w:pPr>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Gopee, N. and Galloway, J. (2017) Leadership and management in healthcare. 3rd edn. Los Angeles: Sage.</w:t>
      </w:r>
    </w:p>
    <w:p w:rsidR="119166DC" w:rsidP="119166DC" w:rsidRDefault="119166DC" w14:paraId="188C6A87" w14:textId="2BC82638">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Graetz, F. (2016). </w:t>
      </w:r>
      <w:r w:rsidRPr="119166DC" w:rsidR="119166DC">
        <w:rPr>
          <w:rFonts w:ascii="Arial" w:hAnsi="Arial" w:eastAsia="Arial" w:cs="Arial"/>
          <w:i w:val="1"/>
          <w:iCs w:val="1"/>
          <w:noProof w:val="0"/>
          <w:sz w:val="22"/>
          <w:szCs w:val="22"/>
          <w:lang w:val="en-GB"/>
        </w:rPr>
        <w:t>Managing Organisational Change</w:t>
      </w:r>
      <w:r w:rsidRPr="119166DC" w:rsidR="119166DC">
        <w:rPr>
          <w:rFonts w:ascii="Arial" w:hAnsi="Arial" w:eastAsia="Arial" w:cs="Arial"/>
          <w:noProof w:val="0"/>
          <w:sz w:val="22"/>
          <w:szCs w:val="22"/>
          <w:lang w:val="en-GB"/>
        </w:rPr>
        <w:t>. Milton, Qld.: John Wiley &amp; Sons Australia.</w:t>
      </w:r>
    </w:p>
    <w:p w:rsidR="119166DC" w:rsidP="119166DC" w:rsidRDefault="119166DC" w14:paraId="5E393EC4" w14:textId="54AD0622">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Green, M. (2021). </w:t>
      </w:r>
      <w:r w:rsidRPr="119166DC" w:rsidR="119166DC">
        <w:rPr>
          <w:rFonts w:ascii="Arial" w:hAnsi="Arial" w:eastAsia="Arial" w:cs="Arial"/>
          <w:i w:val="1"/>
          <w:iCs w:val="1"/>
          <w:noProof w:val="0"/>
          <w:sz w:val="22"/>
          <w:szCs w:val="22"/>
          <w:lang w:val="en-GB"/>
        </w:rPr>
        <w:t xml:space="preserve">Change Management </w:t>
      </w:r>
      <w:r w:rsidRPr="119166DC" w:rsidR="119166DC">
        <w:rPr>
          <w:rFonts w:ascii="Arial" w:hAnsi="Arial" w:eastAsia="Arial" w:cs="Arial"/>
          <w:i w:val="1"/>
          <w:iCs w:val="1"/>
          <w:noProof w:val="0"/>
          <w:sz w:val="22"/>
          <w:szCs w:val="22"/>
          <w:lang w:val="en-GB"/>
        </w:rPr>
        <w:t>Masterclass :</w:t>
      </w:r>
      <w:r w:rsidRPr="119166DC" w:rsidR="119166DC">
        <w:rPr>
          <w:rFonts w:ascii="Arial" w:hAnsi="Arial" w:eastAsia="Arial" w:cs="Arial"/>
          <w:i w:val="1"/>
          <w:iCs w:val="1"/>
          <w:noProof w:val="0"/>
          <w:sz w:val="22"/>
          <w:szCs w:val="22"/>
          <w:lang w:val="en-GB"/>
        </w:rPr>
        <w:t xml:space="preserve"> a </w:t>
      </w:r>
      <w:r w:rsidRPr="119166DC" w:rsidR="119166DC">
        <w:rPr>
          <w:rFonts w:ascii="Arial" w:hAnsi="Arial" w:eastAsia="Arial" w:cs="Arial"/>
          <w:i w:val="1"/>
          <w:iCs w:val="1"/>
          <w:noProof w:val="0"/>
          <w:sz w:val="22"/>
          <w:szCs w:val="22"/>
          <w:lang w:val="en-GB"/>
        </w:rPr>
        <w:t>Step by Step</w:t>
      </w:r>
      <w:r w:rsidRPr="119166DC" w:rsidR="119166DC">
        <w:rPr>
          <w:rFonts w:ascii="Arial" w:hAnsi="Arial" w:eastAsia="Arial" w:cs="Arial"/>
          <w:i w:val="1"/>
          <w:iCs w:val="1"/>
          <w:noProof w:val="0"/>
          <w:sz w:val="22"/>
          <w:szCs w:val="22"/>
          <w:lang w:val="en-GB"/>
        </w:rPr>
        <w:t xml:space="preserve"> Guide to Successful Change Management</w:t>
      </w:r>
      <w:r w:rsidRPr="119166DC" w:rsidR="119166DC">
        <w:rPr>
          <w:rFonts w:ascii="Arial" w:hAnsi="Arial" w:eastAsia="Arial" w:cs="Arial"/>
          <w:noProof w:val="0"/>
          <w:sz w:val="22"/>
          <w:szCs w:val="22"/>
          <w:lang w:val="en-GB"/>
        </w:rPr>
        <w:t>. London: Kogan Page.</w:t>
      </w:r>
    </w:p>
    <w:p w:rsidR="119166DC" w:rsidP="119166DC" w:rsidRDefault="119166DC" w14:paraId="40B62252" w14:textId="5001D6E3">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Hageman, J.R. (2020). E-Cigarette and Vaping Use in Children and Adolescents. </w:t>
      </w:r>
      <w:r w:rsidRPr="119166DC" w:rsidR="119166DC">
        <w:rPr>
          <w:rFonts w:ascii="Arial" w:hAnsi="Arial" w:eastAsia="Arial" w:cs="Arial"/>
          <w:i w:val="1"/>
          <w:iCs w:val="1"/>
          <w:noProof w:val="0"/>
          <w:sz w:val="22"/>
          <w:szCs w:val="22"/>
          <w:lang w:val="en-GB"/>
        </w:rPr>
        <w:t>Pediatric</w:t>
      </w:r>
      <w:r w:rsidRPr="119166DC" w:rsidR="119166DC">
        <w:rPr>
          <w:rFonts w:ascii="Arial" w:hAnsi="Arial" w:eastAsia="Arial" w:cs="Arial"/>
          <w:i w:val="1"/>
          <w:iCs w:val="1"/>
          <w:noProof w:val="0"/>
          <w:sz w:val="22"/>
          <w:szCs w:val="22"/>
          <w:lang w:val="en-GB"/>
        </w:rPr>
        <w:t xml:space="preserve"> Annals</w:t>
      </w:r>
      <w:r w:rsidRPr="119166DC" w:rsidR="119166DC">
        <w:rPr>
          <w:rFonts w:ascii="Arial" w:hAnsi="Arial" w:eastAsia="Arial" w:cs="Arial"/>
          <w:noProof w:val="0"/>
          <w:sz w:val="22"/>
          <w:szCs w:val="22"/>
          <w:lang w:val="en-GB"/>
        </w:rPr>
        <w:t xml:space="preserve">, 49(2), </w:t>
      </w:r>
      <w:r w:rsidRPr="119166DC" w:rsidR="119166DC">
        <w:rPr>
          <w:rFonts w:ascii="Arial" w:hAnsi="Arial" w:eastAsia="Arial" w:cs="Arial"/>
          <w:noProof w:val="0"/>
          <w:sz w:val="22"/>
          <w:szCs w:val="22"/>
          <w:lang w:val="en-GB"/>
        </w:rPr>
        <w:t>pp.e</w:t>
      </w:r>
      <w:r w:rsidRPr="119166DC" w:rsidR="119166DC">
        <w:rPr>
          <w:rFonts w:ascii="Arial" w:hAnsi="Arial" w:eastAsia="Arial" w:cs="Arial"/>
          <w:noProof w:val="0"/>
          <w:sz w:val="22"/>
          <w:szCs w:val="22"/>
          <w:lang w:val="en-GB"/>
        </w:rPr>
        <w:t xml:space="preserve">59–e60.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://doi.org/10.3928/19382359-20200121-04.</w:t>
      </w:r>
    </w:p>
    <w:p w:rsidR="119166DC" w:rsidP="119166DC" w:rsidRDefault="119166DC" w14:paraId="07D35CB9" w14:textId="29245FBF">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Handy, C. (2014). The Shamrock Organisation. </w:t>
      </w:r>
      <w:r w:rsidRPr="119166DC" w:rsidR="119166DC">
        <w:rPr>
          <w:rFonts w:ascii="Arial" w:hAnsi="Arial" w:eastAsia="Arial" w:cs="Arial"/>
          <w:i w:val="1"/>
          <w:iCs w:val="1"/>
          <w:noProof w:val="0"/>
          <w:sz w:val="22"/>
          <w:szCs w:val="22"/>
          <w:lang w:val="en-GB"/>
        </w:rPr>
        <w:t>Business Strategy Review</w:t>
      </w:r>
      <w:r w:rsidRPr="119166DC" w:rsidR="119166DC">
        <w:rPr>
          <w:rFonts w:ascii="Arial" w:hAnsi="Arial" w:eastAsia="Arial" w:cs="Arial"/>
          <w:noProof w:val="0"/>
          <w:sz w:val="22"/>
          <w:szCs w:val="22"/>
          <w:lang w:val="en-GB"/>
        </w:rPr>
        <w:t xml:space="preserve">, 25(4), pp.81–81.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://doi.org/10.1111/j.1467-8616.2014.01131.x.</w:t>
      </w:r>
    </w:p>
    <w:p w:rsidR="119166DC" w:rsidP="119166DC" w:rsidRDefault="119166DC" w14:paraId="69E580A7" w14:textId="4AD5EC1B">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Herriot, </w:t>
      </w:r>
      <w:r w:rsidRPr="119166DC" w:rsidR="119166DC">
        <w:rPr>
          <w:rFonts w:ascii="Arial" w:hAnsi="Arial" w:eastAsia="Arial" w:cs="Arial"/>
          <w:noProof w:val="0"/>
          <w:sz w:val="22"/>
          <w:szCs w:val="22"/>
          <w:lang w:val="en-GB"/>
        </w:rPr>
        <w:t>P.</w:t>
      </w:r>
      <w:r w:rsidRPr="119166DC" w:rsidR="119166DC">
        <w:rPr>
          <w:rFonts w:ascii="Arial" w:hAnsi="Arial" w:eastAsia="Arial" w:cs="Arial"/>
          <w:noProof w:val="0"/>
          <w:sz w:val="22"/>
          <w:szCs w:val="22"/>
          <w:lang w:val="en-GB"/>
        </w:rPr>
        <w:t xml:space="preserve"> and European Association </w:t>
      </w:r>
      <w:r w:rsidRPr="119166DC" w:rsidR="119166DC">
        <w:rPr>
          <w:rFonts w:ascii="Arial" w:hAnsi="Arial" w:eastAsia="Arial" w:cs="Arial"/>
          <w:noProof w:val="0"/>
          <w:sz w:val="22"/>
          <w:szCs w:val="22"/>
          <w:lang w:val="en-GB"/>
        </w:rPr>
        <w:t>Of</w:t>
      </w:r>
      <w:r w:rsidRPr="119166DC" w:rsidR="119166DC">
        <w:rPr>
          <w:rFonts w:ascii="Arial" w:hAnsi="Arial" w:eastAsia="Arial" w:cs="Arial"/>
          <w:noProof w:val="0"/>
          <w:sz w:val="22"/>
          <w:szCs w:val="22"/>
          <w:lang w:val="en-GB"/>
        </w:rPr>
        <w:t xml:space="preserve"> Work </w:t>
      </w:r>
      <w:r w:rsidRPr="119166DC" w:rsidR="119166DC">
        <w:rPr>
          <w:rFonts w:ascii="Arial" w:hAnsi="Arial" w:eastAsia="Arial" w:cs="Arial"/>
          <w:noProof w:val="0"/>
          <w:sz w:val="22"/>
          <w:szCs w:val="22"/>
          <w:lang w:val="en-GB"/>
        </w:rPr>
        <w:t>And</w:t>
      </w:r>
      <w:r w:rsidRPr="119166DC" w:rsidR="119166DC">
        <w:rPr>
          <w:rFonts w:ascii="Arial" w:hAnsi="Arial" w:eastAsia="Arial" w:cs="Arial"/>
          <w:noProof w:val="0"/>
          <w:sz w:val="22"/>
          <w:szCs w:val="22"/>
          <w:lang w:val="en-GB"/>
        </w:rPr>
        <w:t xml:space="preserve"> Organizational Change (1998). </w:t>
      </w:r>
      <w:r w:rsidRPr="119166DC" w:rsidR="119166DC">
        <w:rPr>
          <w:rFonts w:ascii="Arial" w:hAnsi="Arial" w:eastAsia="Arial" w:cs="Arial"/>
          <w:i w:val="1"/>
          <w:iCs w:val="1"/>
          <w:noProof w:val="0"/>
          <w:sz w:val="22"/>
          <w:szCs w:val="22"/>
          <w:lang w:val="en-GB"/>
        </w:rPr>
        <w:t>Power Dynamics and Organizational Change</w:t>
      </w:r>
      <w:r w:rsidRPr="119166DC" w:rsidR="119166DC">
        <w:rPr>
          <w:rFonts w:ascii="Arial" w:hAnsi="Arial" w:eastAsia="Arial" w:cs="Arial"/>
          <w:noProof w:val="0"/>
          <w:sz w:val="22"/>
          <w:szCs w:val="22"/>
          <w:lang w:val="en-GB"/>
        </w:rPr>
        <w:t xml:space="preserve">. East Sussex, Uk: </w:t>
      </w:r>
      <w:r w:rsidRPr="119166DC" w:rsidR="119166DC">
        <w:rPr>
          <w:rFonts w:ascii="Arial" w:hAnsi="Arial" w:eastAsia="Arial" w:cs="Arial"/>
          <w:noProof w:val="0"/>
          <w:sz w:val="22"/>
          <w:szCs w:val="22"/>
          <w:lang w:val="en-GB"/>
        </w:rPr>
        <w:t>Psuchology</w:t>
      </w:r>
      <w:r w:rsidRPr="119166DC" w:rsidR="119166DC">
        <w:rPr>
          <w:rFonts w:ascii="Arial" w:hAnsi="Arial" w:eastAsia="Arial" w:cs="Arial"/>
          <w:noProof w:val="0"/>
          <w:sz w:val="22"/>
          <w:szCs w:val="22"/>
          <w:lang w:val="en-GB"/>
        </w:rPr>
        <w:t xml:space="preserve"> Press.</w:t>
      </w:r>
    </w:p>
    <w:p w:rsidR="119166DC" w:rsidP="119166DC" w:rsidRDefault="119166DC" w14:paraId="6A9B709A" w14:textId="4E124D01">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Hofstede, G. (1991). </w:t>
      </w:r>
      <w:r w:rsidRPr="119166DC" w:rsidR="119166DC">
        <w:rPr>
          <w:rFonts w:ascii="Arial" w:hAnsi="Arial" w:eastAsia="Arial" w:cs="Arial"/>
          <w:i w:val="1"/>
          <w:iCs w:val="1"/>
          <w:noProof w:val="0"/>
          <w:sz w:val="22"/>
          <w:szCs w:val="22"/>
          <w:lang w:val="en-GB"/>
        </w:rPr>
        <w:t>Cultures and Organizations: Software of the Mind</w:t>
      </w:r>
      <w:r w:rsidRPr="119166DC" w:rsidR="119166DC">
        <w:rPr>
          <w:rFonts w:ascii="Arial" w:hAnsi="Arial" w:eastAsia="Arial" w:cs="Arial"/>
          <w:noProof w:val="0"/>
          <w:sz w:val="22"/>
          <w:szCs w:val="22"/>
          <w:lang w:val="en-GB"/>
        </w:rPr>
        <w:t>. London: McGraw-Hill.</w:t>
      </w:r>
    </w:p>
    <w:p w:rsidR="119166DC" w:rsidP="119166DC" w:rsidRDefault="119166DC" w14:paraId="5FDFE483" w14:textId="70F9C161">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Hofstede, </w:t>
      </w:r>
      <w:r w:rsidRPr="119166DC" w:rsidR="119166DC">
        <w:rPr>
          <w:rFonts w:ascii="Arial" w:hAnsi="Arial" w:eastAsia="Arial" w:cs="Arial"/>
          <w:noProof w:val="0"/>
          <w:sz w:val="22"/>
          <w:szCs w:val="22"/>
          <w:lang w:val="en-GB"/>
        </w:rPr>
        <w:t>G.</w:t>
      </w:r>
      <w:r w:rsidRPr="119166DC" w:rsidR="119166DC">
        <w:rPr>
          <w:rFonts w:ascii="Arial" w:hAnsi="Arial" w:eastAsia="Arial" w:cs="Arial"/>
          <w:noProof w:val="0"/>
          <w:sz w:val="22"/>
          <w:szCs w:val="22"/>
          <w:lang w:val="en-GB"/>
        </w:rPr>
        <w:t xml:space="preserve"> and Pedersen, P.B. (2002). </w:t>
      </w:r>
      <w:r w:rsidRPr="119166DC" w:rsidR="119166DC">
        <w:rPr>
          <w:rFonts w:ascii="Arial" w:hAnsi="Arial" w:eastAsia="Arial" w:cs="Arial"/>
          <w:i w:val="1"/>
          <w:iCs w:val="1"/>
          <w:noProof w:val="0"/>
          <w:sz w:val="22"/>
          <w:szCs w:val="22"/>
          <w:lang w:val="en-GB"/>
        </w:rPr>
        <w:t xml:space="preserve">Exploring </w:t>
      </w:r>
      <w:r w:rsidRPr="119166DC" w:rsidR="119166DC">
        <w:rPr>
          <w:rFonts w:ascii="Arial" w:hAnsi="Arial" w:eastAsia="Arial" w:cs="Arial"/>
          <w:i w:val="1"/>
          <w:iCs w:val="1"/>
          <w:noProof w:val="0"/>
          <w:sz w:val="22"/>
          <w:szCs w:val="22"/>
          <w:lang w:val="en-GB"/>
        </w:rPr>
        <w:t>Culture :</w:t>
      </w:r>
      <w:r w:rsidRPr="119166DC" w:rsidR="119166DC">
        <w:rPr>
          <w:rFonts w:ascii="Arial" w:hAnsi="Arial" w:eastAsia="Arial" w:cs="Arial"/>
          <w:i w:val="1"/>
          <w:iCs w:val="1"/>
          <w:noProof w:val="0"/>
          <w:sz w:val="22"/>
          <w:szCs w:val="22"/>
          <w:lang w:val="en-GB"/>
        </w:rPr>
        <w:t xml:space="preserve"> Exercises, Stories and Synthetic Cultures</w:t>
      </w:r>
      <w:r w:rsidRPr="119166DC" w:rsidR="119166DC">
        <w:rPr>
          <w:rFonts w:ascii="Arial" w:hAnsi="Arial" w:eastAsia="Arial" w:cs="Arial"/>
          <w:noProof w:val="0"/>
          <w:sz w:val="22"/>
          <w:szCs w:val="22"/>
          <w:lang w:val="en-GB"/>
        </w:rPr>
        <w:t>. Boston: Intercultural Press.</w:t>
      </w:r>
    </w:p>
    <w:p w:rsidR="119166DC" w:rsidP="119166DC" w:rsidRDefault="119166DC" w14:paraId="3A8CDF45" w14:textId="3D15E29F">
      <w:pPr>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Kaiser, J.E. (2006) Winning on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Purpose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How to Organize Congregations to Succeed in Their Mission. Nashville: Abingdon Press.</w:t>
      </w:r>
    </w:p>
    <w:p w:rsidR="119166DC" w:rsidP="119166DC" w:rsidRDefault="119166DC" w14:paraId="5D39C9CE" w14:textId="43ED0229">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Kuipers, B., Higgs, M., Kickert, W., </w:t>
      </w:r>
      <w:r w:rsidRPr="119166DC" w:rsidR="119166DC">
        <w:rPr>
          <w:rFonts w:ascii="Arial" w:hAnsi="Arial" w:eastAsia="Arial" w:cs="Arial"/>
          <w:noProof w:val="0"/>
          <w:sz w:val="22"/>
          <w:szCs w:val="22"/>
          <w:lang w:val="en-GB"/>
        </w:rPr>
        <w:t>Tummers</w:t>
      </w:r>
      <w:r w:rsidRPr="119166DC" w:rsidR="119166DC">
        <w:rPr>
          <w:rFonts w:ascii="Arial" w:hAnsi="Arial" w:eastAsia="Arial" w:cs="Arial"/>
          <w:noProof w:val="0"/>
          <w:sz w:val="22"/>
          <w:szCs w:val="22"/>
          <w:lang w:val="en-GB"/>
        </w:rPr>
        <w:t xml:space="preserve">, L., Grandia, J. and Van der Voet, J. (2013). The Management of Change in Public Organizations. </w:t>
      </w:r>
      <w:r w:rsidRPr="119166DC" w:rsidR="119166DC">
        <w:rPr>
          <w:rFonts w:ascii="Arial" w:hAnsi="Arial" w:eastAsia="Arial" w:cs="Arial"/>
          <w:i w:val="1"/>
          <w:iCs w:val="1"/>
          <w:noProof w:val="0"/>
          <w:sz w:val="22"/>
          <w:szCs w:val="22"/>
          <w:lang w:val="en-GB"/>
        </w:rPr>
        <w:t>Public Administration</w:t>
      </w:r>
      <w:r w:rsidRPr="119166DC" w:rsidR="119166DC">
        <w:rPr>
          <w:rFonts w:ascii="Arial" w:hAnsi="Arial" w:eastAsia="Arial" w:cs="Arial"/>
          <w:noProof w:val="0"/>
          <w:sz w:val="22"/>
          <w:szCs w:val="22"/>
          <w:lang w:val="en-GB"/>
        </w:rPr>
        <w:t xml:space="preserve">, 92(1), pp.1–20.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://doi.org/10.1111/padm.12040.</w:t>
      </w:r>
    </w:p>
    <w:p w:rsidR="119166DC" w:rsidP="119166DC" w:rsidRDefault="119166DC" w14:paraId="746719A5" w14:textId="326771F8">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Kübler-Ross, E. (2014). </w:t>
      </w:r>
      <w:r w:rsidRPr="119166DC" w:rsidR="119166DC">
        <w:rPr>
          <w:rFonts w:ascii="Arial" w:hAnsi="Arial" w:eastAsia="Arial" w:cs="Arial"/>
          <w:i w:val="1"/>
          <w:iCs w:val="1"/>
          <w:noProof w:val="0"/>
          <w:sz w:val="22"/>
          <w:szCs w:val="22"/>
          <w:lang w:val="en-GB"/>
        </w:rPr>
        <w:t xml:space="preserve">On Death &amp; </w:t>
      </w:r>
      <w:r w:rsidRPr="119166DC" w:rsidR="119166DC">
        <w:rPr>
          <w:rFonts w:ascii="Arial" w:hAnsi="Arial" w:eastAsia="Arial" w:cs="Arial"/>
          <w:i w:val="1"/>
          <w:iCs w:val="1"/>
          <w:noProof w:val="0"/>
          <w:sz w:val="22"/>
          <w:szCs w:val="22"/>
          <w:lang w:val="en-GB"/>
        </w:rPr>
        <w:t>Dying :</w:t>
      </w:r>
      <w:r w:rsidRPr="119166DC" w:rsidR="119166DC">
        <w:rPr>
          <w:rFonts w:ascii="Arial" w:hAnsi="Arial" w:eastAsia="Arial" w:cs="Arial"/>
          <w:i w:val="1"/>
          <w:iCs w:val="1"/>
          <w:noProof w:val="0"/>
          <w:sz w:val="22"/>
          <w:szCs w:val="22"/>
          <w:lang w:val="en-GB"/>
        </w:rPr>
        <w:t xml:space="preserve"> What the Dying Have to Teach doctors, nurses, Clergy &amp; Their Own Families</w:t>
      </w:r>
      <w:r w:rsidRPr="119166DC" w:rsidR="119166DC">
        <w:rPr>
          <w:rFonts w:ascii="Arial" w:hAnsi="Arial" w:eastAsia="Arial" w:cs="Arial"/>
          <w:noProof w:val="0"/>
          <w:sz w:val="22"/>
          <w:szCs w:val="22"/>
          <w:lang w:val="en-GB"/>
        </w:rPr>
        <w:t xml:space="preserve">. New York: Scribner, A Division </w:t>
      </w:r>
      <w:r w:rsidRPr="119166DC" w:rsidR="119166DC">
        <w:rPr>
          <w:rFonts w:ascii="Arial" w:hAnsi="Arial" w:eastAsia="Arial" w:cs="Arial"/>
          <w:noProof w:val="0"/>
          <w:sz w:val="22"/>
          <w:szCs w:val="22"/>
          <w:lang w:val="en-GB"/>
        </w:rPr>
        <w:t>Of</w:t>
      </w:r>
      <w:r w:rsidRPr="119166DC" w:rsidR="119166DC">
        <w:rPr>
          <w:rFonts w:ascii="Arial" w:hAnsi="Arial" w:eastAsia="Arial" w:cs="Arial"/>
          <w:noProof w:val="0"/>
          <w:sz w:val="22"/>
          <w:szCs w:val="22"/>
          <w:lang w:val="en-GB"/>
        </w:rPr>
        <w:t xml:space="preserve"> Simon &amp; Schuster, Inc.</w:t>
      </w:r>
    </w:p>
    <w:p w:rsidR="119166DC" w:rsidP="119166DC" w:rsidRDefault="119166DC" w14:paraId="6FD8512C" w14:textId="352BCFC1">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Lawrence, P.R. (1970). How to Deal with Resistance to Change. </w:t>
      </w:r>
      <w:r w:rsidRPr="119166DC" w:rsidR="119166DC">
        <w:rPr>
          <w:rFonts w:ascii="Arial" w:hAnsi="Arial" w:eastAsia="Arial" w:cs="Arial"/>
          <w:i w:val="1"/>
          <w:iCs w:val="1"/>
          <w:noProof w:val="0"/>
          <w:sz w:val="22"/>
          <w:szCs w:val="22"/>
          <w:lang w:val="en-GB"/>
        </w:rPr>
        <w:t>Journal of Occupational and Environmental Medicine</w:t>
      </w:r>
      <w:r w:rsidRPr="119166DC" w:rsidR="119166DC">
        <w:rPr>
          <w:rFonts w:ascii="Arial" w:hAnsi="Arial" w:eastAsia="Arial" w:cs="Arial"/>
          <w:noProof w:val="0"/>
          <w:sz w:val="22"/>
          <w:szCs w:val="22"/>
          <w:lang w:val="en-GB"/>
        </w:rPr>
        <w:t xml:space="preserve">, 12(5), p.191.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://doi.org/10.1097/00043764-197005000-00027.</w:t>
      </w:r>
    </w:p>
    <w:p w:rsidR="119166DC" w:rsidP="119166DC" w:rsidRDefault="119166DC" w14:paraId="18FBC7E3" w14:textId="5EAC28BB">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Lawson-Jones, R.M. (2013). </w:t>
      </w:r>
      <w:r w:rsidRPr="119166DC" w:rsidR="119166DC">
        <w:rPr>
          <w:rFonts w:ascii="Arial" w:hAnsi="Arial" w:eastAsia="Arial" w:cs="Arial"/>
          <w:i w:val="1"/>
          <w:iCs w:val="1"/>
          <w:noProof w:val="0"/>
          <w:sz w:val="22"/>
          <w:szCs w:val="22"/>
          <w:lang w:val="en-GB"/>
        </w:rPr>
        <w:t>The Little Book of Wales</w:t>
      </w:r>
      <w:r w:rsidRPr="119166DC" w:rsidR="119166DC">
        <w:rPr>
          <w:rFonts w:ascii="Arial" w:hAnsi="Arial" w:eastAsia="Arial" w:cs="Arial"/>
          <w:noProof w:val="0"/>
          <w:sz w:val="22"/>
          <w:szCs w:val="22"/>
          <w:lang w:val="en-GB"/>
        </w:rPr>
        <w:t>. The History Press.</w:t>
      </w:r>
    </w:p>
    <w:p w:rsidR="119166DC" w:rsidP="119166DC" w:rsidRDefault="119166DC" w14:paraId="6C001A76" w14:textId="68A93F6A">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Lewin, K. (1943). Defining the ‘field at a given time.’ </w:t>
      </w:r>
      <w:r w:rsidRPr="119166DC" w:rsidR="119166DC">
        <w:rPr>
          <w:rFonts w:ascii="Arial" w:hAnsi="Arial" w:eastAsia="Arial" w:cs="Arial"/>
          <w:i w:val="1"/>
          <w:iCs w:val="1"/>
          <w:noProof w:val="0"/>
          <w:sz w:val="22"/>
          <w:szCs w:val="22"/>
          <w:lang w:val="en-GB"/>
        </w:rPr>
        <w:t>Psychological Review</w:t>
      </w:r>
      <w:r w:rsidRPr="119166DC" w:rsidR="119166DC">
        <w:rPr>
          <w:rFonts w:ascii="Arial" w:hAnsi="Arial" w:eastAsia="Arial" w:cs="Arial"/>
          <w:noProof w:val="0"/>
          <w:sz w:val="22"/>
          <w:szCs w:val="22"/>
          <w:lang w:val="en-GB"/>
        </w:rPr>
        <w:t xml:space="preserve">, 50(3), pp.292–310.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://doi.org/10.1037/h0062738.</w:t>
      </w:r>
    </w:p>
    <w:p w:rsidR="119166DC" w:rsidP="119166DC" w:rsidRDefault="119166DC" w14:paraId="3615B1B0" w14:textId="06AAA308">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Lewis, J. (2022). The Problems of Social Care in English Nursing and Residential Homes for Older People and the Role of State Regulation. </w:t>
      </w:r>
      <w:r w:rsidRPr="119166DC" w:rsidR="119166DC">
        <w:rPr>
          <w:rFonts w:ascii="Arial" w:hAnsi="Arial" w:eastAsia="Arial" w:cs="Arial"/>
          <w:i w:val="1"/>
          <w:iCs w:val="1"/>
          <w:noProof w:val="0"/>
          <w:sz w:val="22"/>
          <w:szCs w:val="22"/>
          <w:lang w:val="en-GB"/>
        </w:rPr>
        <w:t>Journal of Social Welfare and Family Law</w:t>
      </w:r>
      <w:r w:rsidRPr="119166DC" w:rsidR="119166DC">
        <w:rPr>
          <w:rFonts w:ascii="Arial" w:hAnsi="Arial" w:eastAsia="Arial" w:cs="Arial"/>
          <w:noProof w:val="0"/>
          <w:sz w:val="22"/>
          <w:szCs w:val="22"/>
          <w:lang w:val="en-GB"/>
        </w:rPr>
        <w:t xml:space="preserve">, pp.1–20.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://doi.org/10.1080/09649069.2022.2067650.</w:t>
      </w:r>
    </w:p>
    <w:p w:rsidR="119166DC" w:rsidP="119166DC" w:rsidRDefault="119166DC" w14:paraId="1DA3309B" w14:textId="79A0DA3B">
      <w:pPr>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Maxwell, J.C. (2018) Developing the Leader within You. Nashville: Tennessee Nelson Books.</w:t>
      </w:r>
    </w:p>
    <w:p w:rsidR="119166DC" w:rsidP="119166DC" w:rsidRDefault="119166DC" w14:paraId="54E5BF12" w14:textId="3CEC254E">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Meshel, A., </w:t>
      </w:r>
      <w:r w:rsidRPr="119166DC" w:rsidR="119166DC">
        <w:rPr>
          <w:rFonts w:ascii="Arial" w:hAnsi="Arial" w:eastAsia="Arial" w:cs="Arial"/>
          <w:noProof w:val="0"/>
          <w:sz w:val="22"/>
          <w:szCs w:val="22"/>
          <w:lang w:val="en-GB"/>
        </w:rPr>
        <w:t>Dilos</w:t>
      </w:r>
      <w:r w:rsidRPr="119166DC" w:rsidR="119166DC">
        <w:rPr>
          <w:rFonts w:ascii="Arial" w:hAnsi="Arial" w:eastAsia="Arial" w:cs="Arial"/>
          <w:noProof w:val="0"/>
          <w:sz w:val="22"/>
          <w:szCs w:val="22"/>
          <w:lang w:val="en-GB"/>
        </w:rPr>
        <w:t xml:space="preserve">, B., Wong, L., Lugassy, D. and Bentley, S. (2023). Debriefing Gold: Harnessing the Power of Debriefing Data to Inform Education. </w:t>
      </w:r>
      <w:r w:rsidRPr="119166DC" w:rsidR="119166DC">
        <w:rPr>
          <w:rFonts w:ascii="Arial" w:hAnsi="Arial" w:eastAsia="Arial" w:cs="Arial"/>
          <w:i w:val="1"/>
          <w:iCs w:val="1"/>
          <w:noProof w:val="0"/>
          <w:sz w:val="22"/>
          <w:szCs w:val="22"/>
          <w:lang w:val="en-GB"/>
        </w:rPr>
        <w:t>Western Journal of Emergency Medicine</w:t>
      </w:r>
      <w:r w:rsidRPr="119166DC" w:rsidR="119166DC">
        <w:rPr>
          <w:rFonts w:ascii="Arial" w:hAnsi="Arial" w:eastAsia="Arial" w:cs="Arial"/>
          <w:noProof w:val="0"/>
          <w:sz w:val="22"/>
          <w:szCs w:val="22"/>
          <w:lang w:val="en-GB"/>
        </w:rPr>
        <w:t xml:space="preserve">, 24(1), pp.95–98.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://doi.org/10.5811/westjem.2022.12.57727.</w:t>
      </w:r>
    </w:p>
    <w:p w:rsidR="119166DC" w:rsidP="119166DC" w:rsidRDefault="119166DC" w14:paraId="19C94C84" w14:textId="6378A8D7">
      <w:pPr>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Michel, P. (2017) The Authority Guide to Mindful Leadership. SRA Books.</w:t>
      </w:r>
    </w:p>
    <w:p w:rsidR="119166DC" w:rsidP="119166DC" w:rsidRDefault="119166DC" w14:paraId="5202F941" w14:textId="70C8A520">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National Data Guardian (2020). </w:t>
      </w:r>
      <w:r w:rsidRPr="119166DC" w:rsidR="119166DC">
        <w:rPr>
          <w:rFonts w:ascii="Arial" w:hAnsi="Arial" w:eastAsia="Arial" w:cs="Arial"/>
          <w:i w:val="1"/>
          <w:iCs w:val="1"/>
          <w:noProof w:val="0"/>
          <w:sz w:val="22"/>
          <w:szCs w:val="22"/>
          <w:lang w:val="en-GB"/>
        </w:rPr>
        <w:t>The Eight Caldicott Principles</w:t>
      </w:r>
      <w:r w:rsidRPr="119166DC" w:rsidR="119166DC">
        <w:rPr>
          <w:rFonts w:ascii="Arial" w:hAnsi="Arial" w:eastAsia="Arial" w:cs="Arial"/>
          <w:noProof w:val="0"/>
          <w:sz w:val="22"/>
          <w:szCs w:val="22"/>
          <w:lang w:val="en-GB"/>
        </w:rPr>
        <w:t xml:space="preserve">. [online] Available at: </w:t>
      </w:r>
      <w:r w:rsidRPr="119166DC" w:rsidR="119166DC">
        <w:rPr>
          <w:rFonts w:ascii="Arial" w:hAnsi="Arial" w:eastAsia="Arial" w:cs="Arial"/>
          <w:noProof w:val="0"/>
          <w:sz w:val="22"/>
          <w:szCs w:val="22"/>
          <w:lang w:val="en-GB"/>
        </w:rPr>
        <w:t>https://assets.publishing.service.gov.uk/media/5fcf9b92d3bf7f5d0bb8bb13/Eight_Caldicott_Principles_08.12.20.pdf</w:t>
      </w:r>
      <w:r w:rsidRPr="119166DC" w:rsidR="119166DC">
        <w:rPr>
          <w:rFonts w:ascii="Arial" w:hAnsi="Arial" w:eastAsia="Arial" w:cs="Arial"/>
          <w:noProof w:val="0"/>
          <w:sz w:val="22"/>
          <w:szCs w:val="22"/>
          <w:lang w:val="en-GB"/>
        </w:rPr>
        <w:t>.</w:t>
      </w:r>
    </w:p>
    <w:p w:rsidR="119166DC" w:rsidP="119166DC" w:rsidRDefault="119166DC" w14:paraId="40CF26A2" w14:textId="32E2C872">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National Quality Board (2019). </w:t>
      </w:r>
      <w:r w:rsidRPr="119166DC" w:rsidR="119166DC">
        <w:rPr>
          <w:rFonts w:ascii="Arial" w:hAnsi="Arial" w:eastAsia="Arial" w:cs="Arial"/>
          <w:i w:val="1"/>
          <w:iCs w:val="1"/>
          <w:noProof w:val="0"/>
          <w:sz w:val="22"/>
          <w:szCs w:val="22"/>
          <w:lang w:val="en-GB"/>
        </w:rPr>
        <w:t xml:space="preserve">National Guidance for Ambulance Trusts on Learning from Deaths a Framework for NHS Ambulance Trusts in England on </w:t>
      </w:r>
      <w:r w:rsidRPr="119166DC" w:rsidR="119166DC">
        <w:rPr>
          <w:rFonts w:ascii="Arial" w:hAnsi="Arial" w:eastAsia="Arial" w:cs="Arial"/>
          <w:i w:val="1"/>
          <w:iCs w:val="1"/>
          <w:noProof w:val="0"/>
          <w:sz w:val="22"/>
          <w:szCs w:val="22"/>
          <w:lang w:val="en-GB"/>
        </w:rPr>
        <w:t>identifying</w:t>
      </w:r>
      <w:r w:rsidRPr="119166DC" w:rsidR="119166DC">
        <w:rPr>
          <w:rFonts w:ascii="Arial" w:hAnsi="Arial" w:eastAsia="Arial" w:cs="Arial"/>
          <w:i w:val="1"/>
          <w:iCs w:val="1"/>
          <w:noProof w:val="0"/>
          <w:sz w:val="22"/>
          <w:szCs w:val="22"/>
          <w:lang w:val="en-GB"/>
        </w:rPr>
        <w:t>, reporting, Reviewing and Learning from Deaths in Care</w:t>
      </w:r>
      <w:r w:rsidRPr="119166DC" w:rsidR="119166DC">
        <w:rPr>
          <w:rFonts w:ascii="Arial" w:hAnsi="Arial" w:eastAsia="Arial" w:cs="Arial"/>
          <w:noProof w:val="0"/>
          <w:sz w:val="22"/>
          <w:szCs w:val="22"/>
          <w:lang w:val="en-GB"/>
        </w:rPr>
        <w:t xml:space="preserve">. [online] Available at: </w:t>
      </w:r>
      <w:r w:rsidRPr="119166DC" w:rsidR="119166DC">
        <w:rPr>
          <w:rFonts w:ascii="Arial" w:hAnsi="Arial" w:eastAsia="Arial" w:cs="Arial"/>
          <w:noProof w:val="0"/>
          <w:sz w:val="22"/>
          <w:szCs w:val="22"/>
          <w:lang w:val="en-GB"/>
        </w:rPr>
        <w:t>https://www.england.nhs.uk/wp-content/uploads/2019/07/learning-from-deaths-guidance-for-ambulance-trusts.pdf</w:t>
      </w:r>
      <w:r w:rsidRPr="119166DC" w:rsidR="119166DC">
        <w:rPr>
          <w:rFonts w:ascii="Arial" w:hAnsi="Arial" w:eastAsia="Arial" w:cs="Arial"/>
          <w:noProof w:val="0"/>
          <w:sz w:val="22"/>
          <w:szCs w:val="22"/>
          <w:lang w:val="en-GB"/>
        </w:rPr>
        <w:t xml:space="preserve"> [Accessed 17 May 2021].</w:t>
      </w:r>
    </w:p>
    <w:p w:rsidR="119166DC" w:rsidP="119166DC" w:rsidRDefault="119166DC" w14:paraId="0AA950DE" w14:textId="4E132F37">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National Research Council (US) and Institute of Medicine (US) Board on Science, T. and Aspden, P. (2002). </w:t>
      </w:r>
      <w:r w:rsidRPr="119166DC" w:rsidR="119166DC">
        <w:rPr>
          <w:rFonts w:ascii="Arial" w:hAnsi="Arial" w:eastAsia="Arial" w:cs="Arial"/>
          <w:i w:val="1"/>
          <w:iCs w:val="1"/>
          <w:noProof w:val="0"/>
          <w:sz w:val="22"/>
          <w:szCs w:val="22"/>
          <w:lang w:val="en-GB"/>
        </w:rPr>
        <w:t>The Costs and Benefits of Medical Innovation</w:t>
      </w:r>
      <w:r w:rsidRPr="119166DC" w:rsidR="119166DC">
        <w:rPr>
          <w:rFonts w:ascii="Arial" w:hAnsi="Arial" w:eastAsia="Arial" w:cs="Arial"/>
          <w:noProof w:val="0"/>
          <w:sz w:val="22"/>
          <w:szCs w:val="22"/>
          <w:lang w:val="en-GB"/>
        </w:rPr>
        <w:t xml:space="preserve">. [online] </w:t>
      </w:r>
      <w:r w:rsidRPr="119166DC" w:rsidR="119166DC">
        <w:rPr>
          <w:rFonts w:ascii="Arial" w:hAnsi="Arial" w:eastAsia="Arial" w:cs="Arial"/>
          <w:i w:val="1"/>
          <w:iCs w:val="1"/>
          <w:noProof w:val="0"/>
          <w:sz w:val="22"/>
          <w:szCs w:val="22"/>
          <w:lang w:val="en-GB"/>
        </w:rPr>
        <w:t>www.ncbi.nlm.nih.gov</w:t>
      </w:r>
      <w:r w:rsidRPr="119166DC" w:rsidR="119166DC">
        <w:rPr>
          <w:rFonts w:ascii="Arial" w:hAnsi="Arial" w:eastAsia="Arial" w:cs="Arial"/>
          <w:noProof w:val="0"/>
          <w:sz w:val="22"/>
          <w:szCs w:val="22"/>
          <w:lang w:val="en-GB"/>
        </w:rPr>
        <w:t xml:space="preserve">. National Academies Press (US). Available at: </w:t>
      </w:r>
      <w:r w:rsidRPr="119166DC" w:rsidR="119166DC">
        <w:rPr>
          <w:rFonts w:ascii="Arial" w:hAnsi="Arial" w:eastAsia="Arial" w:cs="Arial"/>
          <w:noProof w:val="0"/>
          <w:sz w:val="22"/>
          <w:szCs w:val="22"/>
          <w:lang w:val="en-GB"/>
        </w:rPr>
        <w:t>https://www.ncbi.nlm.nih.gov/books/NBK220598/</w:t>
      </w:r>
      <w:r w:rsidRPr="119166DC" w:rsidR="119166DC">
        <w:rPr>
          <w:rFonts w:ascii="Arial" w:hAnsi="Arial" w:eastAsia="Arial" w:cs="Arial"/>
          <w:noProof w:val="0"/>
          <w:sz w:val="22"/>
          <w:szCs w:val="22"/>
          <w:lang w:val="en-GB"/>
        </w:rPr>
        <w:t>.</w:t>
      </w:r>
    </w:p>
    <w:p w:rsidR="119166DC" w:rsidP="119166DC" w:rsidRDefault="119166DC" w14:paraId="586AAA01" w14:textId="434F0A7F">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Newton, A. (2012). The Ambulance Service: the Past, Present and Future. </w:t>
      </w:r>
      <w:r w:rsidRPr="119166DC" w:rsidR="119166DC">
        <w:rPr>
          <w:rFonts w:ascii="Arial" w:hAnsi="Arial" w:eastAsia="Arial" w:cs="Arial"/>
          <w:i w:val="1"/>
          <w:iCs w:val="1"/>
          <w:noProof w:val="0"/>
          <w:sz w:val="22"/>
          <w:szCs w:val="22"/>
          <w:lang w:val="en-GB"/>
        </w:rPr>
        <w:t>Journal of Paramedic Practice</w:t>
      </w:r>
      <w:r w:rsidRPr="119166DC" w:rsidR="119166DC">
        <w:rPr>
          <w:rFonts w:ascii="Arial" w:hAnsi="Arial" w:eastAsia="Arial" w:cs="Arial"/>
          <w:noProof w:val="0"/>
          <w:sz w:val="22"/>
          <w:szCs w:val="22"/>
          <w:lang w:val="en-GB"/>
        </w:rPr>
        <w:t xml:space="preserve">, 4(6), pp.365–368.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://doi.org/10.12968/jpar.2012.4.6.365.</w:t>
      </w:r>
    </w:p>
    <w:p w:rsidR="119166DC" w:rsidP="119166DC" w:rsidRDefault="119166DC" w14:paraId="76E64F8D" w14:textId="782305F0">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NHS England (2024). </w:t>
      </w:r>
      <w:r w:rsidRPr="119166DC" w:rsidR="119166DC">
        <w:rPr>
          <w:rFonts w:ascii="Arial" w:hAnsi="Arial" w:eastAsia="Arial" w:cs="Arial"/>
          <w:i w:val="1"/>
          <w:iCs w:val="1"/>
          <w:noProof w:val="0"/>
          <w:sz w:val="22"/>
          <w:szCs w:val="22"/>
          <w:lang w:val="en-GB"/>
        </w:rPr>
        <w:t>NHS England» Culture Review of Ambulance Trusts</w:t>
      </w:r>
      <w:r w:rsidRPr="119166DC" w:rsidR="119166DC">
        <w:rPr>
          <w:rFonts w:ascii="Arial" w:hAnsi="Arial" w:eastAsia="Arial" w:cs="Arial"/>
          <w:noProof w:val="0"/>
          <w:sz w:val="22"/>
          <w:szCs w:val="22"/>
          <w:lang w:val="en-GB"/>
        </w:rPr>
        <w:t xml:space="preserve">. [online] </w:t>
      </w:r>
      <w:r w:rsidRPr="119166DC" w:rsidR="119166DC">
        <w:rPr>
          <w:rFonts w:ascii="Arial" w:hAnsi="Arial" w:eastAsia="Arial" w:cs="Arial"/>
          <w:noProof w:val="0"/>
          <w:sz w:val="22"/>
          <w:szCs w:val="22"/>
          <w:lang w:val="en-GB"/>
        </w:rPr>
        <w:t>www.england.nhs.uk</w:t>
      </w:r>
      <w:r w:rsidRPr="119166DC" w:rsidR="119166DC">
        <w:rPr>
          <w:rFonts w:ascii="Arial" w:hAnsi="Arial" w:eastAsia="Arial" w:cs="Arial"/>
          <w:noProof w:val="0"/>
          <w:sz w:val="22"/>
          <w:szCs w:val="22"/>
          <w:lang w:val="en-GB"/>
        </w:rPr>
        <w:t xml:space="preserve">. Available at: </w:t>
      </w:r>
      <w:r w:rsidRPr="119166DC" w:rsidR="119166DC">
        <w:rPr>
          <w:rFonts w:ascii="Arial" w:hAnsi="Arial" w:eastAsia="Arial" w:cs="Arial"/>
          <w:noProof w:val="0"/>
          <w:sz w:val="22"/>
          <w:szCs w:val="22"/>
          <w:lang w:val="en-GB"/>
        </w:rPr>
        <w:t>https://www.england.nhs.uk/long-read/culture-review-of-ambulance-trusts/</w:t>
      </w:r>
      <w:r w:rsidRPr="119166DC" w:rsidR="119166DC">
        <w:rPr>
          <w:rFonts w:ascii="Arial" w:hAnsi="Arial" w:eastAsia="Arial" w:cs="Arial"/>
          <w:noProof w:val="0"/>
          <w:sz w:val="22"/>
          <w:szCs w:val="22"/>
          <w:lang w:val="en-GB"/>
        </w:rPr>
        <w:t>.</w:t>
      </w:r>
    </w:p>
    <w:p w:rsidR="119166DC" w:rsidP="119166DC" w:rsidRDefault="119166DC" w14:paraId="69524D37" w14:textId="5308AC2A">
      <w:pPr>
        <w:bidi w:val="0"/>
        <w:spacing w:before="0" w:beforeAutospacing="off" w:after="160" w:afterAutospacing="off" w:line="360" w:lineRule="auto"/>
        <w:ind w:left="0" w:right="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Northouse, P. (2021)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Leadership :</w:t>
      </w:r>
      <w:r w:rsidRPr="119166DC" w:rsidR="119166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Theory and Practice. 9th edn. Los Angeles Sage.</w:t>
      </w:r>
    </w:p>
    <w:p w:rsidR="119166DC" w:rsidP="119166DC" w:rsidRDefault="119166DC" w14:paraId="1407F7FF" w14:textId="0C34AEC6">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O’Hara, R., Johnson, M., Siriwardena, A.N., Weyman, A., Turner, J., Shaw, D., Mortimer, P., Newman, C., Hirst, E., Storey, M., Mason, S., Quinn, T. and Shewan, J. (2014). A Qualitative Study of Systemic Influences on Paramedic Decision making: Care Transitions and Patient Safety. </w:t>
      </w:r>
      <w:r w:rsidRPr="119166DC" w:rsidR="119166DC">
        <w:rPr>
          <w:rFonts w:ascii="Arial" w:hAnsi="Arial" w:eastAsia="Arial" w:cs="Arial"/>
          <w:i w:val="1"/>
          <w:iCs w:val="1"/>
          <w:noProof w:val="0"/>
          <w:sz w:val="22"/>
          <w:szCs w:val="22"/>
          <w:lang w:val="en-GB"/>
        </w:rPr>
        <w:t>Journal of Health Services Research &amp; Policy</w:t>
      </w:r>
      <w:r w:rsidRPr="119166DC" w:rsidR="119166DC">
        <w:rPr>
          <w:rFonts w:ascii="Arial" w:hAnsi="Arial" w:eastAsia="Arial" w:cs="Arial"/>
          <w:noProof w:val="0"/>
          <w:sz w:val="22"/>
          <w:szCs w:val="22"/>
          <w:lang w:val="en-GB"/>
        </w:rPr>
        <w:t xml:space="preserve">, [online] 20(1), pp.45–53.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://doi.org/10.1177/1355819614558472.</w:t>
      </w:r>
    </w:p>
    <w:p w:rsidR="119166DC" w:rsidP="119166DC" w:rsidRDefault="119166DC" w14:paraId="36BA42F6" w14:textId="4640DA07">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Pizzorno, J. and Stephenson, S. (2017). Health Care System and Addressing the Determinants of Health. </w:t>
      </w:r>
      <w:r w:rsidRPr="119166DC" w:rsidR="119166DC">
        <w:rPr>
          <w:rFonts w:ascii="Arial" w:hAnsi="Arial" w:eastAsia="Arial" w:cs="Arial"/>
          <w:i w:val="1"/>
          <w:iCs w:val="1"/>
          <w:noProof w:val="0"/>
          <w:sz w:val="22"/>
          <w:szCs w:val="22"/>
          <w:lang w:val="en-GB"/>
        </w:rPr>
        <w:t>PubMed</w:t>
      </w:r>
      <w:r w:rsidRPr="119166DC" w:rsidR="119166DC">
        <w:rPr>
          <w:rFonts w:ascii="Arial" w:hAnsi="Arial" w:eastAsia="Arial" w:cs="Arial"/>
          <w:noProof w:val="0"/>
          <w:sz w:val="22"/>
          <w:szCs w:val="22"/>
          <w:lang w:val="en-GB"/>
        </w:rPr>
        <w:t>, 16(1), pp.16–18.</w:t>
      </w:r>
    </w:p>
    <w:p w:rsidR="119166DC" w:rsidP="119166DC" w:rsidRDefault="119166DC" w14:paraId="2EE21B7F" w14:textId="762AE5DD">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Ramgopal, S., Dunnick, J., Owusu-Ansah, S., </w:t>
      </w:r>
      <w:r w:rsidRPr="119166DC" w:rsidR="119166DC">
        <w:rPr>
          <w:rFonts w:ascii="Arial" w:hAnsi="Arial" w:eastAsia="Arial" w:cs="Arial"/>
          <w:noProof w:val="0"/>
          <w:sz w:val="22"/>
          <w:szCs w:val="22"/>
          <w:lang w:val="en-GB"/>
        </w:rPr>
        <w:t>Siripong</w:t>
      </w:r>
      <w:r w:rsidRPr="119166DC" w:rsidR="119166DC">
        <w:rPr>
          <w:rFonts w:ascii="Arial" w:hAnsi="Arial" w:eastAsia="Arial" w:cs="Arial"/>
          <w:noProof w:val="0"/>
          <w:sz w:val="22"/>
          <w:szCs w:val="22"/>
          <w:lang w:val="en-GB"/>
        </w:rPr>
        <w:t xml:space="preserve">, N., Salcido, D.D. and Martin-Gill, C. (2019). Weather and Temporal Factors Associated with Use of Emergency Medical Services. </w:t>
      </w:r>
      <w:r w:rsidRPr="119166DC" w:rsidR="119166DC">
        <w:rPr>
          <w:rFonts w:ascii="Arial" w:hAnsi="Arial" w:eastAsia="Arial" w:cs="Arial"/>
          <w:i w:val="1"/>
          <w:iCs w:val="1"/>
          <w:noProof w:val="0"/>
          <w:sz w:val="22"/>
          <w:szCs w:val="22"/>
          <w:lang w:val="en-GB"/>
        </w:rPr>
        <w:t>Prehospital Emergency Care</w:t>
      </w:r>
      <w:r w:rsidRPr="119166DC" w:rsidR="119166DC">
        <w:rPr>
          <w:rFonts w:ascii="Arial" w:hAnsi="Arial" w:eastAsia="Arial" w:cs="Arial"/>
          <w:noProof w:val="0"/>
          <w:sz w:val="22"/>
          <w:szCs w:val="22"/>
          <w:lang w:val="en-GB"/>
        </w:rPr>
        <w:t xml:space="preserve">, 23(6), pp.802–810.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://doi.org/10.1080/10903127.2019.1593563.</w:t>
      </w:r>
    </w:p>
    <w:p w:rsidR="119166DC" w:rsidP="119166DC" w:rsidRDefault="119166DC" w14:paraId="52FAA283" w14:textId="6E007E22">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Shirey, M.R. (2013). Lewin’s Theory of Planned Change as a Strategic Resource. </w:t>
      </w:r>
      <w:r w:rsidRPr="119166DC" w:rsidR="119166DC">
        <w:rPr>
          <w:rFonts w:ascii="Arial" w:hAnsi="Arial" w:eastAsia="Arial" w:cs="Arial"/>
          <w:i w:val="1"/>
          <w:iCs w:val="1"/>
          <w:noProof w:val="0"/>
          <w:sz w:val="22"/>
          <w:szCs w:val="22"/>
          <w:lang w:val="en-GB"/>
        </w:rPr>
        <w:t>JONA: the Journal of Nursing Administration</w:t>
      </w:r>
      <w:r w:rsidRPr="119166DC" w:rsidR="119166DC">
        <w:rPr>
          <w:rFonts w:ascii="Arial" w:hAnsi="Arial" w:eastAsia="Arial" w:cs="Arial"/>
          <w:noProof w:val="0"/>
          <w:sz w:val="22"/>
          <w:szCs w:val="22"/>
          <w:lang w:val="en-GB"/>
        </w:rPr>
        <w:t xml:space="preserve">, [online] 43(2), pp.69–72.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://doi.org/10.1097/NNA.0b013e31827f20a9.</w:t>
      </w:r>
    </w:p>
    <w:p w:rsidR="119166DC" w:rsidP="119166DC" w:rsidRDefault="119166DC" w14:paraId="77265670" w14:textId="5049E787">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Smith, R. (1999). The NHS: Possibilities for the Endgame. </w:t>
      </w:r>
      <w:r w:rsidRPr="119166DC" w:rsidR="119166DC">
        <w:rPr>
          <w:rFonts w:ascii="Arial" w:hAnsi="Arial" w:eastAsia="Arial" w:cs="Arial"/>
          <w:i w:val="1"/>
          <w:iCs w:val="1"/>
          <w:noProof w:val="0"/>
          <w:sz w:val="22"/>
          <w:szCs w:val="22"/>
          <w:lang w:val="en-GB"/>
        </w:rPr>
        <w:t>BMJ</w:t>
      </w:r>
      <w:r w:rsidRPr="119166DC" w:rsidR="119166DC">
        <w:rPr>
          <w:rFonts w:ascii="Arial" w:hAnsi="Arial" w:eastAsia="Arial" w:cs="Arial"/>
          <w:noProof w:val="0"/>
          <w:sz w:val="22"/>
          <w:szCs w:val="22"/>
          <w:lang w:val="en-GB"/>
        </w:rPr>
        <w:t xml:space="preserve">, 318(7178), pp.209–210.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://doi.org/10.1136/bmj.318.7178.209.</w:t>
      </w:r>
    </w:p>
    <w:p w:rsidR="119166DC" w:rsidP="119166DC" w:rsidRDefault="119166DC" w14:paraId="584FB5DE" w14:textId="2A9B0CCA">
      <w:pPr>
        <w:bidi w:val="0"/>
        <w:spacing w:before="0" w:beforeAutospacing="off" w:line="360" w:lineRule="auto"/>
        <w:ind w:left="-20" w:right="-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xml:space="preserve">Snowdon, K. (2021) ‘Exploring the clinical debrief: Benefits and barriers’,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US"/>
        </w:rPr>
        <w:t>Journal of Paramedic Practice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xml:space="preserve">, 13(1), pp. 1–7.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doi:10.12968/jpar.2021.13.cpd1</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19166DC" w:rsidP="119166DC" w:rsidRDefault="119166DC" w14:paraId="477A17D4" w14:textId="333AE3D8">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Stanford, F. (2020). The Importance of Diversity and Inclusion in the Healthcare Workforce. </w:t>
      </w:r>
      <w:r w:rsidRPr="119166DC" w:rsidR="119166DC">
        <w:rPr>
          <w:rFonts w:ascii="Arial" w:hAnsi="Arial" w:eastAsia="Arial" w:cs="Arial"/>
          <w:i w:val="1"/>
          <w:iCs w:val="1"/>
          <w:noProof w:val="0"/>
          <w:sz w:val="22"/>
          <w:szCs w:val="22"/>
          <w:lang w:val="en-GB"/>
        </w:rPr>
        <w:t>Journal of the National Medical Association</w:t>
      </w:r>
      <w:r w:rsidRPr="119166DC" w:rsidR="119166DC">
        <w:rPr>
          <w:rFonts w:ascii="Arial" w:hAnsi="Arial" w:eastAsia="Arial" w:cs="Arial"/>
          <w:noProof w:val="0"/>
          <w:sz w:val="22"/>
          <w:szCs w:val="22"/>
          <w:lang w:val="en-GB"/>
        </w:rPr>
        <w:t xml:space="preserve">, 112(3), pp.247–249.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://doi.org/10.1016/j.jnma.2020.03.014.</w:t>
      </w:r>
    </w:p>
    <w:p w:rsidR="119166DC" w:rsidP="119166DC" w:rsidRDefault="119166DC" w14:paraId="64CB25D8" w14:textId="449F920B">
      <w:pPr>
        <w:bidi w:val="0"/>
        <w:spacing w:before="0" w:beforeAutospacing="off" w:line="360" w:lineRule="auto"/>
        <w:ind w:left="-20" w:right="-2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Tannenbaum, S.I. and Cerasoli, C.P. (2012) ‘Do team and individual debriefs enhance performance? A meta-analysis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US"/>
        </w:rPr>
        <w:t>Human Factors: The Journal of the Human Factors and Ergonomics Society</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55(1), pp. 231–245. doi:10.1177/0018720812448394.</w:t>
      </w:r>
    </w:p>
    <w:p w:rsidR="119166DC" w:rsidP="119166DC" w:rsidRDefault="119166DC" w14:paraId="5D1C1CFC" w14:textId="0F9A3B53">
      <w:pPr>
        <w:bidi w:val="0"/>
        <w:spacing w:before="0" w:beforeAutospacing="off" w:line="360" w:lineRule="auto"/>
        <w:ind w:left="-20" w:right="-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xml:space="preserve">Twigg, S. (2020). Clinical Event Debriefing.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US"/>
        </w:rPr>
        <w:t>Current Opinion in Pediatrics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xml:space="preserve">, 32(3), p.1.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doi:https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://doi.org/10.1097/mop.0000000000000890.</w:t>
      </w:r>
    </w:p>
    <w:p w:rsidR="119166DC" w:rsidP="119166DC" w:rsidRDefault="119166DC" w14:paraId="63682FE1" w14:textId="2422533E">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Voltaire (2018). </w:t>
      </w:r>
      <w:r w:rsidRPr="119166DC" w:rsidR="119166DC">
        <w:rPr>
          <w:rFonts w:ascii="Arial" w:hAnsi="Arial" w:eastAsia="Arial" w:cs="Arial"/>
          <w:i w:val="1"/>
          <w:iCs w:val="1"/>
          <w:noProof w:val="0"/>
          <w:sz w:val="22"/>
          <w:szCs w:val="22"/>
          <w:lang w:val="en-GB"/>
        </w:rPr>
        <w:t xml:space="preserve">La </w:t>
      </w:r>
      <w:r w:rsidRPr="119166DC" w:rsidR="119166DC">
        <w:rPr>
          <w:rFonts w:ascii="Arial" w:hAnsi="Arial" w:eastAsia="Arial" w:cs="Arial"/>
          <w:i w:val="1"/>
          <w:iCs w:val="1"/>
          <w:noProof w:val="0"/>
          <w:sz w:val="22"/>
          <w:szCs w:val="22"/>
          <w:lang w:val="en-GB"/>
        </w:rPr>
        <w:t>Bégueule</w:t>
      </w:r>
      <w:r w:rsidRPr="119166DC" w:rsidR="119166DC">
        <w:rPr>
          <w:rFonts w:ascii="Arial" w:hAnsi="Arial" w:eastAsia="Arial" w:cs="Arial"/>
          <w:noProof w:val="0"/>
          <w:sz w:val="22"/>
          <w:szCs w:val="22"/>
          <w:lang w:val="en-GB"/>
        </w:rPr>
        <w:t>. Franklin Classics.</w:t>
      </w:r>
    </w:p>
    <w:p w:rsidR="119166DC" w:rsidP="119166DC" w:rsidRDefault="119166DC" w14:paraId="37CB2898" w14:textId="575C6D9B">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Walker, C.A., McGregor, L., Taylor, C. and Robinson, S. (2020). STOP5: a hot debrief model for resuscitation cases in the emergency department. </w:t>
      </w:r>
      <w:r w:rsidRPr="119166DC" w:rsidR="119166DC">
        <w:rPr>
          <w:rFonts w:ascii="Arial" w:hAnsi="Arial" w:eastAsia="Arial" w:cs="Arial"/>
          <w:i w:val="1"/>
          <w:iCs w:val="1"/>
          <w:noProof w:val="0"/>
          <w:sz w:val="22"/>
          <w:szCs w:val="22"/>
          <w:lang w:val="en-GB"/>
        </w:rPr>
        <w:t>Clinical and Experimental Emergency Medicine</w:t>
      </w:r>
      <w:r w:rsidRPr="119166DC" w:rsidR="119166DC">
        <w:rPr>
          <w:rFonts w:ascii="Arial" w:hAnsi="Arial" w:eastAsia="Arial" w:cs="Arial"/>
          <w:noProof w:val="0"/>
          <w:sz w:val="22"/>
          <w:szCs w:val="22"/>
          <w:lang w:val="en-GB"/>
        </w:rPr>
        <w:t xml:space="preserve">, 7(4), pp.259–266.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://doi.org/10.15441/ceem.19.086.</w:t>
      </w:r>
    </w:p>
    <w:p w:rsidR="119166DC" w:rsidP="119166DC" w:rsidRDefault="119166DC" w14:paraId="6973BCB3" w14:textId="42446D6D">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WAS (2022). </w:t>
      </w:r>
      <w:r w:rsidRPr="119166DC" w:rsidR="119166DC">
        <w:rPr>
          <w:rFonts w:ascii="Arial" w:hAnsi="Arial" w:eastAsia="Arial" w:cs="Arial"/>
          <w:i w:val="1"/>
          <w:iCs w:val="1"/>
          <w:noProof w:val="0"/>
          <w:sz w:val="22"/>
          <w:szCs w:val="22"/>
          <w:lang w:val="en-GB"/>
        </w:rPr>
        <w:t xml:space="preserve">WAS 500 Electric Ambulance - </w:t>
      </w:r>
      <w:r w:rsidRPr="119166DC" w:rsidR="119166DC">
        <w:rPr>
          <w:rFonts w:ascii="Arial" w:hAnsi="Arial" w:eastAsia="Arial" w:cs="Arial"/>
          <w:i w:val="1"/>
          <w:iCs w:val="1"/>
          <w:noProof w:val="0"/>
          <w:sz w:val="22"/>
          <w:szCs w:val="22"/>
          <w:lang w:val="en-GB"/>
        </w:rPr>
        <w:t>Wietmarscher</w:t>
      </w:r>
      <w:r w:rsidRPr="119166DC" w:rsidR="119166DC">
        <w:rPr>
          <w:rFonts w:ascii="Arial" w:hAnsi="Arial" w:eastAsia="Arial" w:cs="Arial"/>
          <w:i w:val="1"/>
          <w:iCs w:val="1"/>
          <w:noProof w:val="0"/>
          <w:sz w:val="22"/>
          <w:szCs w:val="22"/>
          <w:lang w:val="en-GB"/>
        </w:rPr>
        <w:t xml:space="preserve"> </w:t>
      </w:r>
      <w:r w:rsidRPr="119166DC" w:rsidR="119166DC">
        <w:rPr>
          <w:rFonts w:ascii="Arial" w:hAnsi="Arial" w:eastAsia="Arial" w:cs="Arial"/>
          <w:i w:val="1"/>
          <w:iCs w:val="1"/>
          <w:noProof w:val="0"/>
          <w:sz w:val="22"/>
          <w:szCs w:val="22"/>
          <w:lang w:val="en-GB"/>
        </w:rPr>
        <w:t>Ambulanz</w:t>
      </w:r>
      <w:r w:rsidRPr="119166DC" w:rsidR="119166DC">
        <w:rPr>
          <w:rFonts w:ascii="Arial" w:hAnsi="Arial" w:eastAsia="Arial" w:cs="Arial"/>
          <w:i w:val="1"/>
          <w:iCs w:val="1"/>
          <w:noProof w:val="0"/>
          <w:sz w:val="22"/>
          <w:szCs w:val="22"/>
          <w:lang w:val="en-GB"/>
        </w:rPr>
        <w:t xml:space="preserve">- und </w:t>
      </w:r>
      <w:r w:rsidRPr="119166DC" w:rsidR="119166DC">
        <w:rPr>
          <w:rFonts w:ascii="Arial" w:hAnsi="Arial" w:eastAsia="Arial" w:cs="Arial"/>
          <w:i w:val="1"/>
          <w:iCs w:val="1"/>
          <w:noProof w:val="0"/>
          <w:sz w:val="22"/>
          <w:szCs w:val="22"/>
          <w:lang w:val="en-GB"/>
        </w:rPr>
        <w:t>Sonderfahrzeug</w:t>
      </w:r>
      <w:r w:rsidRPr="119166DC" w:rsidR="119166DC">
        <w:rPr>
          <w:rFonts w:ascii="Arial" w:hAnsi="Arial" w:eastAsia="Arial" w:cs="Arial"/>
          <w:i w:val="1"/>
          <w:iCs w:val="1"/>
          <w:noProof w:val="0"/>
          <w:sz w:val="22"/>
          <w:szCs w:val="22"/>
          <w:lang w:val="en-GB"/>
        </w:rPr>
        <w:t xml:space="preserve"> GmbH</w:t>
      </w:r>
      <w:r w:rsidRPr="119166DC" w:rsidR="119166DC">
        <w:rPr>
          <w:rFonts w:ascii="Arial" w:hAnsi="Arial" w:eastAsia="Arial" w:cs="Arial"/>
          <w:noProof w:val="0"/>
          <w:sz w:val="22"/>
          <w:szCs w:val="22"/>
          <w:lang w:val="en-GB"/>
        </w:rPr>
        <w:t xml:space="preserve">. [online] </w:t>
      </w:r>
      <w:r w:rsidRPr="119166DC" w:rsidR="119166DC">
        <w:rPr>
          <w:rFonts w:ascii="Arial" w:hAnsi="Arial" w:eastAsia="Arial" w:cs="Arial"/>
          <w:noProof w:val="0"/>
          <w:sz w:val="22"/>
          <w:szCs w:val="22"/>
          <w:lang w:val="en-GB"/>
        </w:rPr>
        <w:t>www.was-vehicles.com</w:t>
      </w:r>
      <w:r w:rsidRPr="119166DC" w:rsidR="119166DC">
        <w:rPr>
          <w:rFonts w:ascii="Arial" w:hAnsi="Arial" w:eastAsia="Arial" w:cs="Arial"/>
          <w:noProof w:val="0"/>
          <w:sz w:val="22"/>
          <w:szCs w:val="22"/>
          <w:lang w:val="en-GB"/>
        </w:rPr>
        <w:t xml:space="preserve">. Available at: </w:t>
      </w:r>
      <w:r w:rsidRPr="119166DC" w:rsidR="119166DC">
        <w:rPr>
          <w:rFonts w:ascii="Arial" w:hAnsi="Arial" w:eastAsia="Arial" w:cs="Arial"/>
          <w:noProof w:val="0"/>
          <w:sz w:val="22"/>
          <w:szCs w:val="22"/>
          <w:lang w:val="en-GB"/>
        </w:rPr>
        <w:t>https://www.was-vehicles.com/en/innovation/was-500-electric-ambulance.html</w:t>
      </w:r>
      <w:r w:rsidRPr="119166DC" w:rsidR="119166DC">
        <w:rPr>
          <w:rFonts w:ascii="Arial" w:hAnsi="Arial" w:eastAsia="Arial" w:cs="Arial"/>
          <w:noProof w:val="0"/>
          <w:sz w:val="22"/>
          <w:szCs w:val="22"/>
          <w:lang w:val="en-GB"/>
        </w:rPr>
        <w:t xml:space="preserve"> [Accessed 15 Mar. 2024].</w:t>
      </w:r>
    </w:p>
    <w:p w:rsidR="119166DC" w:rsidP="119166DC" w:rsidRDefault="119166DC" w14:paraId="0B01258D" w14:textId="7AC4E99E">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Welsh Ambulance Service (2020). </w:t>
      </w:r>
      <w:r w:rsidRPr="119166DC" w:rsidR="119166DC">
        <w:rPr>
          <w:rFonts w:ascii="Arial" w:hAnsi="Arial" w:eastAsia="Arial" w:cs="Arial"/>
          <w:i w:val="1"/>
          <w:iCs w:val="1"/>
          <w:noProof w:val="0"/>
          <w:sz w:val="22"/>
          <w:szCs w:val="22"/>
          <w:lang w:val="en-GB"/>
        </w:rPr>
        <w:t>Excellence Delivering Our vision for 2030</w:t>
      </w:r>
      <w:r w:rsidRPr="119166DC" w:rsidR="119166DC">
        <w:rPr>
          <w:rFonts w:ascii="Arial" w:hAnsi="Arial" w:eastAsia="Arial" w:cs="Arial"/>
          <w:noProof w:val="0"/>
          <w:sz w:val="22"/>
          <w:szCs w:val="22"/>
          <w:lang w:val="en-GB"/>
        </w:rPr>
        <w:t xml:space="preserve">. [online] Available at: </w:t>
      </w:r>
      <w:r w:rsidRPr="119166DC" w:rsidR="119166DC">
        <w:rPr>
          <w:rFonts w:ascii="Arial" w:hAnsi="Arial" w:eastAsia="Arial" w:cs="Arial"/>
          <w:noProof w:val="0"/>
          <w:sz w:val="22"/>
          <w:szCs w:val="22"/>
          <w:lang w:val="en-GB"/>
        </w:rPr>
        <w:t>https://ambulance.nhs.wales/files/publications/strategies-and-plans/long-term-strategic-framework-our-vision-for-2030-pdf/</w:t>
      </w:r>
      <w:r w:rsidRPr="119166DC" w:rsidR="119166DC">
        <w:rPr>
          <w:rFonts w:ascii="Arial" w:hAnsi="Arial" w:eastAsia="Arial" w:cs="Arial"/>
          <w:noProof w:val="0"/>
          <w:sz w:val="22"/>
          <w:szCs w:val="22"/>
          <w:lang w:val="en-GB"/>
        </w:rPr>
        <w:t xml:space="preserve"> [Accessed 15 Feb. 2024].</w:t>
      </w:r>
    </w:p>
    <w:p w:rsidR="119166DC" w:rsidP="119166DC" w:rsidRDefault="119166DC" w14:paraId="69FB8E88" w14:textId="4123A4C8">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Welsh Ambulance Service NHS Trust (2024). </w:t>
      </w:r>
      <w:r w:rsidRPr="119166DC" w:rsidR="119166DC">
        <w:rPr>
          <w:rFonts w:ascii="Arial" w:hAnsi="Arial" w:eastAsia="Arial" w:cs="Arial"/>
          <w:i w:val="1"/>
          <w:iCs w:val="1"/>
          <w:noProof w:val="0"/>
          <w:sz w:val="22"/>
          <w:szCs w:val="22"/>
          <w:lang w:val="en-GB"/>
        </w:rPr>
        <w:t>Ambulance Service Indicators</w:t>
      </w:r>
      <w:r w:rsidRPr="119166DC" w:rsidR="119166DC">
        <w:rPr>
          <w:rFonts w:ascii="Arial" w:hAnsi="Arial" w:eastAsia="Arial" w:cs="Arial"/>
          <w:noProof w:val="0"/>
          <w:sz w:val="22"/>
          <w:szCs w:val="22"/>
          <w:lang w:val="en-GB"/>
        </w:rPr>
        <w:t xml:space="preserve">. [online] Emergency Ambulance Services Committee. Available at: </w:t>
      </w:r>
      <w:r w:rsidRPr="119166DC" w:rsidR="119166DC">
        <w:rPr>
          <w:rFonts w:ascii="Arial" w:hAnsi="Arial" w:eastAsia="Arial" w:cs="Arial"/>
          <w:noProof w:val="0"/>
          <w:sz w:val="22"/>
          <w:szCs w:val="22"/>
          <w:lang w:val="en-GB"/>
        </w:rPr>
        <w:t>https://easc.nhs.wales/asi/</w:t>
      </w:r>
      <w:r w:rsidRPr="119166DC" w:rsidR="119166DC">
        <w:rPr>
          <w:rFonts w:ascii="Arial" w:hAnsi="Arial" w:eastAsia="Arial" w:cs="Arial"/>
          <w:noProof w:val="0"/>
          <w:sz w:val="22"/>
          <w:szCs w:val="22"/>
          <w:lang w:val="en-GB"/>
        </w:rPr>
        <w:t xml:space="preserve"> [Accessed 7 Mar. 2024].</w:t>
      </w:r>
    </w:p>
    <w:p w:rsidR="119166DC" w:rsidP="119166DC" w:rsidRDefault="119166DC" w14:paraId="19E43A5B" w14:textId="29413B8A">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Welsh Government (2015). </w:t>
      </w:r>
      <w:r w:rsidRPr="119166DC" w:rsidR="119166DC">
        <w:rPr>
          <w:rFonts w:ascii="Arial" w:hAnsi="Arial" w:eastAsia="Arial" w:cs="Arial"/>
          <w:i w:val="1"/>
          <w:iCs w:val="1"/>
          <w:noProof w:val="0"/>
          <w:sz w:val="22"/>
          <w:szCs w:val="22"/>
          <w:lang w:val="en-GB"/>
        </w:rPr>
        <w:t>Integrated Impact Assessment - NHS (Indemnities) (Wales) Bill</w:t>
      </w:r>
      <w:r w:rsidRPr="119166DC" w:rsidR="119166DC">
        <w:rPr>
          <w:rFonts w:ascii="Arial" w:hAnsi="Arial" w:eastAsia="Arial" w:cs="Arial"/>
          <w:noProof w:val="0"/>
          <w:sz w:val="22"/>
          <w:szCs w:val="22"/>
          <w:lang w:val="en-GB"/>
        </w:rPr>
        <w:t xml:space="preserve">. [online] Available at: </w:t>
      </w:r>
      <w:r w:rsidRPr="119166DC" w:rsidR="119166DC">
        <w:rPr>
          <w:rFonts w:ascii="Arial" w:hAnsi="Arial" w:eastAsia="Arial" w:cs="Arial"/>
          <w:noProof w:val="0"/>
          <w:sz w:val="22"/>
          <w:szCs w:val="22"/>
          <w:lang w:val="en-GB"/>
        </w:rPr>
        <w:t>https://www.gov.wales/sites/default/files/publications/2019-11/nhs-indemnities-wales-bill-integrated-impact-assessment.pdf</w:t>
      </w:r>
      <w:r w:rsidRPr="119166DC" w:rsidR="119166DC">
        <w:rPr>
          <w:rFonts w:ascii="Arial" w:hAnsi="Arial" w:eastAsia="Arial" w:cs="Arial"/>
          <w:noProof w:val="0"/>
          <w:sz w:val="22"/>
          <w:szCs w:val="22"/>
          <w:lang w:val="en-GB"/>
        </w:rPr>
        <w:t xml:space="preserve"> [Accessed 15 Jan. 2024].</w:t>
      </w:r>
    </w:p>
    <w:p w:rsidR="119166DC" w:rsidP="119166DC" w:rsidRDefault="119166DC" w14:paraId="740B54D0" w14:textId="682BA57C">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xml:space="preserve">Welsh Partnership Forum (WPF) (2022). </w:t>
      </w:r>
      <w:r w:rsidRPr="119166DC" w:rsidR="119166DC">
        <w:rPr>
          <w:rFonts w:ascii="Arial" w:hAnsi="Arial" w:eastAsia="Arial" w:cs="Arial"/>
          <w:b w:val="0"/>
          <w:bCs w:val="0"/>
          <w:i w:val="1"/>
          <w:iCs w:val="1"/>
          <w:caps w:val="0"/>
          <w:smallCaps w:val="0"/>
          <w:noProof w:val="0"/>
          <w:color w:val="000000" w:themeColor="text1" w:themeTint="FF" w:themeShade="FF"/>
          <w:sz w:val="22"/>
          <w:szCs w:val="22"/>
          <w:lang w:val="en-US"/>
        </w:rPr>
        <w:t>Welsh Partnership Forum (WPF) | NHS Confederation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US"/>
        </w:rPr>
        <w:t>. [online] www.nhsconfed.org. Available at: https://www.nhsconfed.org/wales/nhs-wales-employers/welsh-partnership-hub-wp-hub/welsh-partnership-forum-wpf [Accessed 21 Feb. 2024].</w:t>
      </w:r>
    </w:p>
    <w:p w:rsidR="119166DC" w:rsidP="119166DC" w:rsidRDefault="119166DC" w14:paraId="64EE573A" w14:textId="73A75431">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Winckler, V. (2024). </w:t>
      </w:r>
      <w:r w:rsidRPr="119166DC" w:rsidR="119166DC">
        <w:rPr>
          <w:rFonts w:ascii="Arial" w:hAnsi="Arial" w:eastAsia="Arial" w:cs="Arial"/>
          <w:i w:val="1"/>
          <w:iCs w:val="1"/>
          <w:noProof w:val="0"/>
          <w:sz w:val="22"/>
          <w:szCs w:val="22"/>
          <w:lang w:val="en-GB"/>
        </w:rPr>
        <w:t>The Outlook for the Welsh Economy</w:t>
      </w:r>
      <w:r w:rsidRPr="119166DC" w:rsidR="119166DC">
        <w:rPr>
          <w:rFonts w:ascii="Arial" w:hAnsi="Arial" w:eastAsia="Arial" w:cs="Arial"/>
          <w:noProof w:val="0"/>
          <w:sz w:val="22"/>
          <w:szCs w:val="22"/>
          <w:lang w:val="en-GB"/>
        </w:rPr>
        <w:t xml:space="preserve">. [online] Business News Wales. Available at: </w:t>
      </w:r>
      <w:r w:rsidRPr="119166DC" w:rsidR="119166DC">
        <w:rPr>
          <w:rFonts w:ascii="Arial" w:hAnsi="Arial" w:eastAsia="Arial" w:cs="Arial"/>
          <w:noProof w:val="0"/>
          <w:sz w:val="22"/>
          <w:szCs w:val="22"/>
          <w:lang w:val="en-GB"/>
        </w:rPr>
        <w:t>https://businessnewswales.com/the-outlook-for-the-welsh-economy/</w:t>
      </w:r>
      <w:r w:rsidRPr="119166DC" w:rsidR="119166DC">
        <w:rPr>
          <w:rFonts w:ascii="Arial" w:hAnsi="Arial" w:eastAsia="Arial" w:cs="Arial"/>
          <w:noProof w:val="0"/>
          <w:sz w:val="22"/>
          <w:szCs w:val="22"/>
          <w:lang w:val="en-GB"/>
        </w:rPr>
        <w:t xml:space="preserve"> [Accessed 13 Mar. 2024].</w:t>
      </w:r>
    </w:p>
    <w:p w:rsidR="119166DC" w:rsidP="119166DC" w:rsidRDefault="119166DC" w14:paraId="540C4CED" w14:textId="6AF15525">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noProof w:val="0"/>
          <w:sz w:val="22"/>
          <w:szCs w:val="22"/>
          <w:lang w:val="en-GB"/>
        </w:rPr>
        <w:t xml:space="preserve">Winkel, A.F., Yingling, S., Jones, A.-A. and Nicholson, J. (2017). Reflection as a Learning Tool in Graduate Medical Education: </w:t>
      </w:r>
      <w:r w:rsidRPr="119166DC" w:rsidR="119166DC">
        <w:rPr>
          <w:rFonts w:ascii="Arial" w:hAnsi="Arial" w:eastAsia="Arial" w:cs="Arial"/>
          <w:noProof w:val="0"/>
          <w:sz w:val="22"/>
          <w:szCs w:val="22"/>
          <w:lang w:val="en-GB"/>
        </w:rPr>
        <w:t>a</w:t>
      </w:r>
      <w:r w:rsidRPr="119166DC" w:rsidR="119166DC">
        <w:rPr>
          <w:rFonts w:ascii="Arial" w:hAnsi="Arial" w:eastAsia="Arial" w:cs="Arial"/>
          <w:noProof w:val="0"/>
          <w:sz w:val="22"/>
          <w:szCs w:val="22"/>
          <w:lang w:val="en-GB"/>
        </w:rPr>
        <w:t xml:space="preserve"> Systematic Review. </w:t>
      </w:r>
      <w:r w:rsidRPr="119166DC" w:rsidR="119166DC">
        <w:rPr>
          <w:rFonts w:ascii="Arial" w:hAnsi="Arial" w:eastAsia="Arial" w:cs="Arial"/>
          <w:i w:val="1"/>
          <w:iCs w:val="1"/>
          <w:noProof w:val="0"/>
          <w:sz w:val="22"/>
          <w:szCs w:val="22"/>
          <w:lang w:val="en-GB"/>
        </w:rPr>
        <w:t>Journal of Graduate Medical Education</w:t>
      </w:r>
      <w:r w:rsidRPr="119166DC" w:rsidR="119166DC">
        <w:rPr>
          <w:rFonts w:ascii="Arial" w:hAnsi="Arial" w:eastAsia="Arial" w:cs="Arial"/>
          <w:noProof w:val="0"/>
          <w:sz w:val="22"/>
          <w:szCs w:val="22"/>
          <w:lang w:val="en-GB"/>
        </w:rPr>
        <w:t xml:space="preserve">, [online] 9(4), pp.430–439. </w:t>
      </w:r>
      <w:r w:rsidRPr="119166DC" w:rsidR="119166DC">
        <w:rPr>
          <w:rFonts w:ascii="Arial" w:hAnsi="Arial" w:eastAsia="Arial" w:cs="Arial"/>
          <w:noProof w:val="0"/>
          <w:sz w:val="22"/>
          <w:szCs w:val="22"/>
          <w:lang w:val="en-GB"/>
        </w:rPr>
        <w:t>doi:https</w:t>
      </w:r>
      <w:r w:rsidRPr="119166DC" w:rsidR="119166DC">
        <w:rPr>
          <w:rFonts w:ascii="Arial" w:hAnsi="Arial" w:eastAsia="Arial" w:cs="Arial"/>
          <w:noProof w:val="0"/>
          <w:sz w:val="22"/>
          <w:szCs w:val="22"/>
          <w:lang w:val="en-GB"/>
        </w:rPr>
        <w:t>://doi.org/10.4300/jgme-d-16-00500.1.</w:t>
      </w:r>
    </w:p>
    <w:p w:rsidR="119166DC" w:rsidP="119166DC" w:rsidRDefault="119166DC" w14:paraId="787AE6E7" w14:textId="69628873">
      <w:pPr>
        <w:bidi w:val="0"/>
        <w:spacing w:before="0" w:beforeAutospacing="off" w:line="360" w:lineRule="auto"/>
        <w:ind w:left="-20" w:right="-20"/>
        <w:jc w:val="left"/>
        <w:rPr>
          <w:rFonts w:ascii="Arial" w:hAnsi="Arial" w:eastAsia="Arial" w:cs="Arial"/>
          <w:noProof w:val="0"/>
          <w:sz w:val="22"/>
          <w:szCs w:val="22"/>
          <w:lang w:val="en-GB"/>
        </w:rPr>
      </w:pPr>
      <w:r w:rsidRPr="119166DC" w:rsidR="119166DC">
        <w:rPr>
          <w:rFonts w:ascii="Arial" w:hAnsi="Arial" w:eastAsia="Arial" w:cs="Arial"/>
          <w:i w:val="1"/>
          <w:iCs w:val="1"/>
          <w:noProof w:val="0"/>
          <w:sz w:val="22"/>
          <w:szCs w:val="22"/>
          <w:lang w:val="en-GB"/>
        </w:rPr>
        <w:t>Working Time (Amendment) Regulations 2003</w:t>
      </w:r>
      <w:r w:rsidRPr="119166DC" w:rsidR="119166DC">
        <w:rPr>
          <w:rFonts w:ascii="Arial" w:hAnsi="Arial" w:eastAsia="Arial" w:cs="Arial"/>
          <w:noProof w:val="0"/>
          <w:sz w:val="22"/>
          <w:szCs w:val="22"/>
          <w:lang w:val="en-GB"/>
        </w:rPr>
        <w:t xml:space="preserve">. Available at: </w:t>
      </w:r>
      <w:r w:rsidRPr="119166DC" w:rsidR="119166DC">
        <w:rPr>
          <w:rFonts w:ascii="Arial" w:hAnsi="Arial" w:eastAsia="Arial" w:cs="Arial"/>
          <w:noProof w:val="0"/>
          <w:sz w:val="22"/>
          <w:szCs w:val="22"/>
          <w:lang w:val="en-GB"/>
        </w:rPr>
        <w:t>https://www.legislation.gov.uk/uksi/2003/1684/contents/made</w:t>
      </w:r>
      <w:r w:rsidRPr="119166DC" w:rsidR="119166DC">
        <w:rPr>
          <w:rFonts w:ascii="Arial" w:hAnsi="Arial" w:eastAsia="Arial" w:cs="Arial"/>
          <w:noProof w:val="0"/>
          <w:sz w:val="22"/>
          <w:szCs w:val="22"/>
          <w:lang w:val="en-GB"/>
        </w:rPr>
        <w:t xml:space="preserve"> [Accessed 16 Feb. 2024].</w:t>
      </w:r>
    </w:p>
    <w:p w:rsidR="119166DC" w:rsidP="119166DC" w:rsidRDefault="119166DC" w14:paraId="7CD4EE42" w14:textId="0AA0D635">
      <w:pPr>
        <w:pStyle w:val="Normal"/>
        <w:bidi w:val="0"/>
        <w:spacing w:before="0" w:beforeAutospacing="off" w:line="360" w:lineRule="auto"/>
        <w:ind w:left="-20" w:right="-20"/>
        <w:jc w:val="left"/>
        <w:rPr>
          <w:rFonts w:ascii="Arial" w:hAnsi="Arial" w:eastAsia="Arial" w:cs="Arial"/>
          <w:noProof w:val="0"/>
          <w:sz w:val="22"/>
          <w:szCs w:val="22"/>
          <w:lang w:val="en-GB"/>
        </w:rPr>
      </w:pPr>
    </w:p>
    <w:p w:rsidR="119166DC" w:rsidP="119166DC" w:rsidRDefault="119166DC" w14:paraId="631B6AEF" w14:textId="07F7630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0C299A24" w14:textId="279570B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3FC06E44" w14:textId="49CD04B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0B24A3F3" w14:textId="3FEBEDE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34B7AF53" w14:textId="0D33103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60422031" w14:textId="7EDB9C3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5BE40467" w14:textId="36479EF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3F99F629" w14:textId="297753D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333714F6" w14:textId="1BC3A55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3E2EA171" w14:textId="19629E3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03CCF297" w14:textId="6A97598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779892C5" w14:textId="408A6F4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23CFACFE" w14:textId="1636575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40C6F20F" w14:textId="12E4623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49230796" w14:textId="02F27EE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2768B0D4" w14:textId="1AD3A6C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19166DC" w:rsidP="119166DC" w:rsidRDefault="119166DC" w14:paraId="5BE3D31E" w14:textId="62FCD088">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u w:val="single"/>
          <w:lang w:val="en-GB"/>
        </w:rPr>
        <w:t>Appendix 1 – CPD Lesson Plan</w:t>
      </w:r>
    </w:p>
    <w:p w:rsidR="119166DC" w:rsidP="119166DC" w:rsidRDefault="119166DC" w14:paraId="464012D6" w14:textId="6B358BA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Introduction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Welcome and introduction to the purpose of the session. Explanation of the importance of clinical debriefing in paramedic practice. </w:t>
      </w:r>
    </w:p>
    <w:p w:rsidR="119166DC" w:rsidP="119166DC" w:rsidRDefault="119166DC" w14:paraId="41819757" w14:textId="5F20495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Understanding Debriefing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Definition of clinical debriefing and its purpose. Discussion of the benefits of clinical debriefing for personal and professional development. </w:t>
      </w:r>
    </w:p>
    <w:p w:rsidR="119166DC" w:rsidP="119166DC" w:rsidRDefault="119166DC" w14:paraId="3A1A061F" w14:textId="35C2C9B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Key Principles of Clinical Debriefing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Discussion of the key principles of effective clinical debriefing, such as creating a safe and supportive environment, focusing on learning rather than blame, and promoting open and honest communication. </w:t>
      </w:r>
    </w:p>
    <w:p w:rsidR="119166DC" w:rsidP="119166DC" w:rsidRDefault="119166DC" w14:paraId="1AB8CC38" w14:textId="4777B12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The Debriefing Proce</w:t>
      </w: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s</w:t>
      </w: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Break down the steps involved in the debriefing process via the STOP5 approach. Discuss techniques for </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facilitating</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each step of the process. </w:t>
      </w:r>
    </w:p>
    <w:p w:rsidR="119166DC" w:rsidP="119166DC" w:rsidRDefault="119166DC" w14:paraId="4E32BCDD" w14:textId="4F1FAA0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Case Studies and Scenarios</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Present case studies or scenarios relevant to paramedic practice. </w:t>
      </w:r>
    </w:p>
    <w:p w:rsidR="119166DC" w:rsidP="119166DC" w:rsidRDefault="119166DC" w14:paraId="70528119" w14:textId="7AF10A9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Role-Play and Practice:</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xml:space="preserve"> Conduct role-playing exercises to simulate debriefing sessions. Assign roles to participants, including facilitator, observer, and participants. Provide feedback and guidance on communication skills, active listening, and facilitation techniques. </w:t>
      </w:r>
    </w:p>
    <w:p w:rsidR="119166DC" w:rsidP="119166DC" w:rsidRDefault="119166DC" w14:paraId="1D217E15" w14:textId="7140BBD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lang w:val="en-GB"/>
        </w:rPr>
        <w:t>Summary and Conclusion</w:t>
      </w:r>
      <w:r w:rsidRPr="119166DC" w:rsidR="119166DC">
        <w:rPr>
          <w:rFonts w:ascii="Arial" w:hAnsi="Arial" w:eastAsia="Arial" w:cs="Arial"/>
          <w:b w:val="0"/>
          <w:bCs w:val="0"/>
          <w:i w:val="0"/>
          <w:iCs w:val="0"/>
          <w:caps w:val="0"/>
          <w:smallCaps w:val="0"/>
          <w:noProof w:val="0"/>
          <w:color w:val="000000" w:themeColor="text1" w:themeTint="FF" w:themeShade="FF"/>
          <w:sz w:val="22"/>
          <w:szCs w:val="22"/>
          <w:lang w:val="en-GB"/>
        </w:rPr>
        <w:t>: Summarize the key points covered during the session. Provide resources and recommendations for further learning or development.</w:t>
      </w:r>
    </w:p>
    <w:p w:rsidR="119166DC" w:rsidP="119166DC" w:rsidRDefault="119166DC" w14:paraId="2763CEA0" w14:textId="19ACB92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7C24A631" w14:textId="7DC7B78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2E07758F" w14:textId="0F6827A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06876BE1" w14:textId="2CBA1EA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22BA80D2" w14:textId="3716C70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218522D8" w14:textId="25C37BE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57CA678A" w14:textId="574E4C6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02EF0B6A" w14:textId="2FE9A20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5B692739" w14:textId="5924B20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1FCEC977" w14:textId="557191DF">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19166DC" w:rsidR="119166DC">
        <w:rPr>
          <w:rFonts w:ascii="Arial" w:hAnsi="Arial" w:eastAsia="Arial" w:cs="Arial"/>
          <w:b w:val="1"/>
          <w:bCs w:val="1"/>
          <w:i w:val="0"/>
          <w:iCs w:val="0"/>
          <w:caps w:val="0"/>
          <w:smallCaps w:val="0"/>
          <w:noProof w:val="0"/>
          <w:color w:val="000000" w:themeColor="text1" w:themeTint="FF" w:themeShade="FF"/>
          <w:sz w:val="22"/>
          <w:szCs w:val="22"/>
          <w:u w:val="single"/>
          <w:lang w:val="en-GB"/>
        </w:rPr>
        <w:t>Appendix 2 – Force Field Projections</w:t>
      </w:r>
    </w:p>
    <w:p w:rsidR="119166DC" w:rsidP="119166DC" w:rsidRDefault="119166DC" w14:paraId="601C5615" w14:textId="26A8C967">
      <w:pPr>
        <w:bidi w:val="0"/>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990"/>
        <w:gridCol w:w="5478"/>
      </w:tblGrid>
      <w:tr w:rsidR="119166DC" w:rsidTr="119166DC" w14:paraId="1FDAA32B">
        <w:trPr>
          <w:trHeight w:val="555"/>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36AAE748" w14:textId="065263D8">
            <w:pPr>
              <w:bidi w:val="0"/>
              <w:spacing w:before="0" w:beforeAutospacing="off" w:after="0" w:afterAutospacing="off" w:line="240" w:lineRule="exact"/>
              <w:ind w:left="0" w:right="-20"/>
              <w:jc w:val="left"/>
              <w:rPr>
                <w:rFonts w:ascii="Arial" w:hAnsi="Arial" w:eastAsia="Arial" w:cs="Arial"/>
                <w:b w:val="1"/>
                <w:bCs w:val="1"/>
                <w:i w:val="0"/>
                <w:iCs w:val="0"/>
                <w:color w:val="000000" w:themeColor="text1" w:themeTint="FF" w:themeShade="FF"/>
                <w:sz w:val="22"/>
                <w:szCs w:val="22"/>
                <w:lang w:val="en-US"/>
              </w:rPr>
            </w:pPr>
            <w:r w:rsidRPr="119166DC" w:rsidR="119166DC">
              <w:rPr>
                <w:rFonts w:ascii="Arial" w:hAnsi="Arial" w:eastAsia="Arial" w:cs="Arial"/>
                <w:b w:val="1"/>
                <w:bCs w:val="1"/>
                <w:i w:val="0"/>
                <w:iCs w:val="0"/>
                <w:color w:val="000000" w:themeColor="text1" w:themeTint="FF" w:themeShade="FF"/>
                <w:sz w:val="22"/>
                <w:szCs w:val="22"/>
                <w:lang w:val="en-US"/>
              </w:rPr>
              <w:t>Driving Force</w:t>
            </w: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5B58A934" w14:textId="02B333DA">
            <w:pPr>
              <w:bidi w:val="0"/>
              <w:spacing w:before="0" w:beforeAutospacing="off" w:after="0" w:afterAutospacing="off" w:line="240" w:lineRule="exact"/>
              <w:ind w:left="0" w:right="-20"/>
              <w:jc w:val="left"/>
              <w:rPr>
                <w:rFonts w:ascii="Arial" w:hAnsi="Arial" w:eastAsia="Arial" w:cs="Arial"/>
                <w:b w:val="1"/>
                <w:bCs w:val="1"/>
                <w:i w:val="0"/>
                <w:iCs w:val="0"/>
                <w:color w:val="000000" w:themeColor="text1" w:themeTint="FF" w:themeShade="FF"/>
                <w:sz w:val="22"/>
                <w:szCs w:val="22"/>
                <w:lang w:val="en-US"/>
              </w:rPr>
            </w:pPr>
            <w:r w:rsidRPr="119166DC" w:rsidR="119166DC">
              <w:rPr>
                <w:rFonts w:ascii="Arial" w:hAnsi="Arial" w:eastAsia="Arial" w:cs="Arial"/>
                <w:b w:val="1"/>
                <w:bCs w:val="1"/>
                <w:i w:val="0"/>
                <w:iCs w:val="0"/>
                <w:color w:val="000000" w:themeColor="text1" w:themeTint="FF" w:themeShade="FF"/>
                <w:sz w:val="22"/>
                <w:szCs w:val="22"/>
                <w:lang w:val="en-US"/>
              </w:rPr>
              <w:t>Restraining Force</w:t>
            </w:r>
          </w:p>
        </w:tc>
      </w:tr>
      <w:tr w:rsidR="119166DC" w:rsidTr="119166DC" w14:paraId="1699F1F7">
        <w:trPr>
          <w:trHeight w:val="900"/>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0DBF94B7" w14:textId="580B7296">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Organisational</w:t>
            </w:r>
            <w:r w:rsidRPr="119166DC" w:rsidR="119166DC">
              <w:rPr>
                <w:rFonts w:ascii="Arial" w:hAnsi="Arial" w:eastAsia="Arial" w:cs="Arial"/>
                <w:b w:val="0"/>
                <w:bCs w:val="0"/>
                <w:i w:val="0"/>
                <w:iCs w:val="0"/>
                <w:color w:val="000000" w:themeColor="text1" w:themeTint="FF" w:themeShade="FF"/>
                <w:sz w:val="22"/>
                <w:szCs w:val="22"/>
                <w:lang w:val="en-US"/>
              </w:rPr>
              <w:t xml:space="preserve"> desire for clinical improvement</w:t>
            </w: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5630023C" w14:textId="6EC9AC6A">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Fear of blame</w:t>
            </w:r>
          </w:p>
        </w:tc>
      </w:tr>
      <w:tr w:rsidR="119166DC" w:rsidTr="119166DC" w14:paraId="12E5E69A">
        <w:trPr>
          <w:trHeight w:val="900"/>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51676805" w14:textId="095BA793">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Staff's own need to show CPD for registration</w:t>
            </w: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026C567" w14:textId="7D74F76C">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Time constraints</w:t>
            </w:r>
          </w:p>
        </w:tc>
      </w:tr>
      <w:tr w:rsidR="119166DC" w:rsidTr="119166DC" w14:paraId="3B52017E">
        <w:trPr>
          <w:trHeight w:val="900"/>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150C4CE" w14:textId="02E7D5D6">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Senior Paramedic Instigation</w:t>
            </w: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E863479" w14:textId="427BBD68">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Cultural resistance to change</w:t>
            </w:r>
          </w:p>
        </w:tc>
      </w:tr>
      <w:tr w:rsidR="119166DC" w:rsidTr="119166DC" w14:paraId="1DEF7E69">
        <w:trPr>
          <w:trHeight w:val="900"/>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76EEAFFD" w14:textId="67C27CCE">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Evidence based best practice</w:t>
            </w: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9705A67" w14:textId="197C202B">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Organisation's</w:t>
            </w:r>
            <w:r w:rsidRPr="119166DC" w:rsidR="119166DC">
              <w:rPr>
                <w:rFonts w:ascii="Arial" w:hAnsi="Arial" w:eastAsia="Arial" w:cs="Arial"/>
                <w:b w:val="0"/>
                <w:bCs w:val="0"/>
                <w:i w:val="0"/>
                <w:iCs w:val="0"/>
                <w:color w:val="000000" w:themeColor="text1" w:themeTint="FF" w:themeShade="FF"/>
                <w:sz w:val="22"/>
                <w:szCs w:val="22"/>
                <w:lang w:val="en-US"/>
              </w:rPr>
              <w:t xml:space="preserve"> departmental competitiveness</w:t>
            </w:r>
          </w:p>
        </w:tc>
      </w:tr>
      <w:tr w:rsidR="119166DC" w:rsidTr="119166DC" w14:paraId="3B72893C">
        <w:trPr>
          <w:trHeight w:val="900"/>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D20BCEC" w14:textId="48E22D9B">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Promotion of cohesion amongst teams</w:t>
            </w: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1AA2F11" w14:textId="24CA4931">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Lack of training in performing a debrief</w:t>
            </w:r>
          </w:p>
        </w:tc>
      </w:tr>
      <w:tr w:rsidR="119166DC" w:rsidTr="119166DC" w14:paraId="4B8AD9DA">
        <w:trPr>
          <w:trHeight w:val="900"/>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76BBEFD6" w14:textId="17B19CF3">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Mental Health support</w:t>
            </w: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1224A1F" w14:textId="0B54A33B">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All pan Wales changes require bureaucratic sign off</w:t>
            </w:r>
          </w:p>
        </w:tc>
      </w:tr>
      <w:tr w:rsidR="119166DC" w:rsidTr="119166DC" w14:paraId="18C9A8D1">
        <w:trPr>
          <w:trHeight w:val="900"/>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718266B2" w14:textId="61847A88">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2C0336AA" w14:textId="664F02A2">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Failure of clinical leadership</w:t>
            </w:r>
          </w:p>
        </w:tc>
      </w:tr>
      <w:tr w:rsidR="119166DC" w:rsidTr="119166DC" w14:paraId="79C11B55">
        <w:trPr>
          <w:trHeight w:val="660"/>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294664FB" w14:textId="2AE60122">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1EC26F3E" w14:textId="7F3E308F">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Transient teams</w:t>
            </w:r>
          </w:p>
        </w:tc>
      </w:tr>
      <w:tr w:rsidR="119166DC" w:rsidTr="119166DC" w14:paraId="62C3A407">
        <w:trPr>
          <w:trHeight w:val="831"/>
        </w:trPr>
        <w:tc>
          <w:tcPr>
            <w:tcW w:w="3990"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74B62E1E" w14:textId="1B712905">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p>
        </w:tc>
        <w:tc>
          <w:tcPr>
            <w:tcW w:w="5478"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F96BEFA" w14:textId="21980775">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Policy restrictions</w:t>
            </w:r>
          </w:p>
        </w:tc>
      </w:tr>
    </w:tbl>
    <w:p w:rsidR="119166DC" w:rsidP="119166DC" w:rsidRDefault="119166DC" w14:paraId="5F3D1221" w14:textId="1EB22824">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19166DC" w:rsidP="119166DC" w:rsidRDefault="119166DC" w14:paraId="4D6781B5" w14:textId="08B4671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5FA4F443" w14:textId="381D759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023AF1C3" w14:textId="7211E115">
      <w:pPr>
        <w:bidi w:val="0"/>
        <w:jc w:val="left"/>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202"/>
        <w:gridCol w:w="1869"/>
        <w:gridCol w:w="2212"/>
        <w:gridCol w:w="1274"/>
        <w:gridCol w:w="1802"/>
      </w:tblGrid>
      <w:tr w:rsidR="119166DC" w:rsidTr="119166DC" w14:paraId="6E58C6E1">
        <w:trPr>
          <w:trHeight w:val="630"/>
        </w:trPr>
        <w:tc>
          <w:tcPr>
            <w:tcW w:w="22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31E9517" w14:textId="22C1E596">
            <w:pPr>
              <w:bidi w:val="0"/>
              <w:spacing w:before="0" w:beforeAutospacing="off" w:after="0" w:afterAutospacing="off" w:line="240" w:lineRule="exact"/>
              <w:ind w:left="0" w:right="-20"/>
              <w:jc w:val="left"/>
              <w:rPr>
                <w:rFonts w:ascii="Arial" w:hAnsi="Arial" w:eastAsia="Arial" w:cs="Arial"/>
                <w:b w:val="1"/>
                <w:bCs w:val="1"/>
                <w:i w:val="0"/>
                <w:iCs w:val="0"/>
                <w:color w:val="000000" w:themeColor="text1" w:themeTint="FF" w:themeShade="FF"/>
                <w:sz w:val="22"/>
                <w:szCs w:val="22"/>
                <w:lang w:val="en-US"/>
              </w:rPr>
            </w:pPr>
            <w:r w:rsidRPr="119166DC" w:rsidR="119166DC">
              <w:rPr>
                <w:rFonts w:ascii="Arial" w:hAnsi="Arial" w:eastAsia="Arial" w:cs="Arial"/>
                <w:b w:val="1"/>
                <w:bCs w:val="1"/>
                <w:i w:val="0"/>
                <w:iCs w:val="0"/>
                <w:color w:val="000000" w:themeColor="text1" w:themeTint="FF" w:themeShade="FF"/>
                <w:sz w:val="22"/>
                <w:szCs w:val="22"/>
                <w:lang w:val="en-US"/>
              </w:rPr>
              <w:t xml:space="preserve">Strategy </w:t>
            </w:r>
          </w:p>
        </w:tc>
        <w:tc>
          <w:tcPr>
            <w:tcW w:w="1869"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8E303E5" w14:textId="33B90D64">
            <w:pPr>
              <w:bidi w:val="0"/>
              <w:spacing w:before="0" w:beforeAutospacing="off" w:after="0" w:afterAutospacing="off" w:line="240" w:lineRule="exact"/>
              <w:ind w:left="0" w:right="-20"/>
              <w:jc w:val="left"/>
              <w:rPr>
                <w:rFonts w:ascii="Arial" w:hAnsi="Arial" w:eastAsia="Arial" w:cs="Arial"/>
                <w:b w:val="1"/>
                <w:bCs w:val="1"/>
                <w:i w:val="0"/>
                <w:iCs w:val="0"/>
                <w:color w:val="000000" w:themeColor="text1" w:themeTint="FF" w:themeShade="FF"/>
                <w:sz w:val="22"/>
                <w:szCs w:val="22"/>
                <w:lang w:val="en-US"/>
              </w:rPr>
            </w:pPr>
            <w:r w:rsidRPr="119166DC" w:rsidR="119166DC">
              <w:rPr>
                <w:rFonts w:ascii="Arial" w:hAnsi="Arial" w:eastAsia="Arial" w:cs="Arial"/>
                <w:b w:val="1"/>
                <w:bCs w:val="1"/>
                <w:i w:val="0"/>
                <w:iCs w:val="0"/>
                <w:color w:val="000000" w:themeColor="text1" w:themeTint="FF" w:themeShade="FF"/>
                <w:sz w:val="22"/>
                <w:szCs w:val="22"/>
                <w:lang w:val="en-US"/>
              </w:rPr>
              <w:t>Action</w:t>
            </w:r>
          </w:p>
        </w:tc>
        <w:tc>
          <w:tcPr>
            <w:tcW w:w="221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00FF0C2A" w14:textId="1907C0FC">
            <w:pPr>
              <w:bidi w:val="0"/>
              <w:spacing w:before="0" w:beforeAutospacing="off" w:after="0" w:afterAutospacing="off" w:line="240" w:lineRule="exact"/>
              <w:ind w:left="0" w:right="-20"/>
              <w:jc w:val="left"/>
              <w:rPr>
                <w:rFonts w:ascii="Arial" w:hAnsi="Arial" w:eastAsia="Arial" w:cs="Arial"/>
                <w:b w:val="1"/>
                <w:bCs w:val="1"/>
                <w:i w:val="0"/>
                <w:iCs w:val="0"/>
                <w:color w:val="000000" w:themeColor="text1" w:themeTint="FF" w:themeShade="FF"/>
                <w:sz w:val="22"/>
                <w:szCs w:val="22"/>
                <w:lang w:val="en-US"/>
              </w:rPr>
            </w:pPr>
            <w:r w:rsidRPr="119166DC" w:rsidR="119166DC">
              <w:rPr>
                <w:rFonts w:ascii="Arial" w:hAnsi="Arial" w:eastAsia="Arial" w:cs="Arial"/>
                <w:b w:val="1"/>
                <w:bCs w:val="1"/>
                <w:i w:val="0"/>
                <w:iCs w:val="0"/>
                <w:color w:val="000000" w:themeColor="text1" w:themeTint="FF" w:themeShade="FF"/>
                <w:sz w:val="22"/>
                <w:szCs w:val="22"/>
                <w:lang w:val="en-US"/>
              </w:rPr>
              <w:t>Responsibility</w:t>
            </w:r>
          </w:p>
        </w:tc>
        <w:tc>
          <w:tcPr>
            <w:tcW w:w="1274"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1715530E" w14:textId="352E6B99">
            <w:pPr>
              <w:bidi w:val="0"/>
              <w:spacing w:before="0" w:beforeAutospacing="off" w:after="0" w:afterAutospacing="off" w:line="240" w:lineRule="exact"/>
              <w:ind w:left="0" w:right="-20"/>
              <w:jc w:val="left"/>
              <w:rPr>
                <w:rFonts w:ascii="Arial" w:hAnsi="Arial" w:eastAsia="Arial" w:cs="Arial"/>
                <w:b w:val="1"/>
                <w:bCs w:val="1"/>
                <w:i w:val="0"/>
                <w:iCs w:val="0"/>
                <w:color w:val="000000" w:themeColor="text1" w:themeTint="FF" w:themeShade="FF"/>
                <w:sz w:val="22"/>
                <w:szCs w:val="22"/>
                <w:lang w:val="en-US"/>
              </w:rPr>
            </w:pPr>
            <w:r w:rsidRPr="119166DC" w:rsidR="119166DC">
              <w:rPr>
                <w:rFonts w:ascii="Arial" w:hAnsi="Arial" w:eastAsia="Arial" w:cs="Arial"/>
                <w:b w:val="1"/>
                <w:bCs w:val="1"/>
                <w:i w:val="0"/>
                <w:iCs w:val="0"/>
                <w:color w:val="000000" w:themeColor="text1" w:themeTint="FF" w:themeShade="FF"/>
                <w:sz w:val="22"/>
                <w:szCs w:val="22"/>
                <w:lang w:val="en-US"/>
              </w:rPr>
              <w:t>Location</w:t>
            </w:r>
          </w:p>
        </w:tc>
        <w:tc>
          <w:tcPr>
            <w:tcW w:w="18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D05F467" w14:textId="2B9CD164">
            <w:pPr>
              <w:bidi w:val="0"/>
              <w:spacing w:before="0" w:beforeAutospacing="off" w:after="0" w:afterAutospacing="off" w:line="240" w:lineRule="exact"/>
              <w:ind w:left="0" w:right="-20"/>
              <w:jc w:val="left"/>
              <w:rPr>
                <w:rFonts w:ascii="Arial" w:hAnsi="Arial" w:eastAsia="Arial" w:cs="Arial"/>
                <w:b w:val="1"/>
                <w:bCs w:val="1"/>
                <w:i w:val="0"/>
                <w:iCs w:val="0"/>
                <w:color w:val="000000" w:themeColor="text1" w:themeTint="FF" w:themeShade="FF"/>
                <w:sz w:val="22"/>
                <w:szCs w:val="22"/>
                <w:lang w:val="en-US"/>
              </w:rPr>
            </w:pPr>
            <w:r w:rsidRPr="119166DC" w:rsidR="119166DC">
              <w:rPr>
                <w:rFonts w:ascii="Arial" w:hAnsi="Arial" w:eastAsia="Arial" w:cs="Arial"/>
                <w:b w:val="1"/>
                <w:bCs w:val="1"/>
                <w:i w:val="0"/>
                <w:iCs w:val="0"/>
                <w:color w:val="000000" w:themeColor="text1" w:themeTint="FF" w:themeShade="FF"/>
                <w:sz w:val="22"/>
                <w:szCs w:val="22"/>
                <w:lang w:val="en-US"/>
              </w:rPr>
              <w:t>Achievement</w:t>
            </w:r>
          </w:p>
        </w:tc>
      </w:tr>
      <w:tr w:rsidR="119166DC" w:rsidTr="119166DC" w14:paraId="50A95D0D">
        <w:trPr>
          <w:trHeight w:val="1485"/>
        </w:trPr>
        <w:tc>
          <w:tcPr>
            <w:tcW w:w="22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F870152" w14:textId="3586A2A6">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SP Clinical Supervision delivering one to one training on debriefing</w:t>
            </w:r>
          </w:p>
        </w:tc>
        <w:tc>
          <w:tcPr>
            <w:tcW w:w="1869"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18D51240" w14:textId="4B9860A2">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Commence in Pembrokeshire as part of Clinical Supervision and discuss with Hywel Dda SP team for further roll out</w:t>
            </w:r>
          </w:p>
        </w:tc>
        <w:tc>
          <w:tcPr>
            <w:tcW w:w="221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C5DC74C" w14:textId="5A8035DE">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Senior Paramedics</w:t>
            </w:r>
          </w:p>
        </w:tc>
        <w:tc>
          <w:tcPr>
            <w:tcW w:w="1274"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78919D30" w14:textId="5FF525B9">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At all </w:t>
            </w:r>
            <w:r w:rsidRPr="119166DC" w:rsidR="119166DC">
              <w:rPr>
                <w:rFonts w:ascii="Arial" w:hAnsi="Arial" w:eastAsia="Arial" w:cs="Arial"/>
                <w:b w:val="0"/>
                <w:bCs w:val="0"/>
                <w:i w:val="0"/>
                <w:iCs w:val="0"/>
                <w:color w:val="000000" w:themeColor="text1" w:themeTint="FF" w:themeShade="FF"/>
                <w:sz w:val="22"/>
                <w:szCs w:val="22"/>
                <w:lang w:val="en-US"/>
              </w:rPr>
              <w:t>appropriate staff</w:t>
            </w:r>
            <w:r w:rsidRPr="119166DC" w:rsidR="119166DC">
              <w:rPr>
                <w:rFonts w:ascii="Arial" w:hAnsi="Arial" w:eastAsia="Arial" w:cs="Arial"/>
                <w:b w:val="0"/>
                <w:bCs w:val="0"/>
                <w:i w:val="0"/>
                <w:iCs w:val="0"/>
                <w:color w:val="000000" w:themeColor="text1" w:themeTint="FF" w:themeShade="FF"/>
                <w:sz w:val="22"/>
                <w:szCs w:val="22"/>
                <w:lang w:val="en-US"/>
              </w:rPr>
              <w:t xml:space="preserve"> stations</w:t>
            </w:r>
          </w:p>
        </w:tc>
        <w:tc>
          <w:tcPr>
            <w:tcW w:w="18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4AB08A2" w14:textId="1EFD6A29">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Due to </w:t>
            </w:r>
            <w:r w:rsidRPr="119166DC" w:rsidR="119166DC">
              <w:rPr>
                <w:rFonts w:ascii="Arial" w:hAnsi="Arial" w:eastAsia="Arial" w:cs="Arial"/>
                <w:b w:val="0"/>
                <w:bCs w:val="0"/>
                <w:i w:val="0"/>
                <w:iCs w:val="0"/>
                <w:color w:val="000000" w:themeColor="text1" w:themeTint="FF" w:themeShade="FF"/>
                <w:sz w:val="22"/>
                <w:szCs w:val="22"/>
                <w:lang w:val="en-US"/>
              </w:rPr>
              <w:t>manning</w:t>
            </w:r>
            <w:r w:rsidRPr="119166DC" w:rsidR="119166DC">
              <w:rPr>
                <w:rFonts w:ascii="Arial" w:hAnsi="Arial" w:eastAsia="Arial" w:cs="Arial"/>
                <w:b w:val="0"/>
                <w:bCs w:val="0"/>
                <w:i w:val="0"/>
                <w:iCs w:val="0"/>
                <w:color w:val="000000" w:themeColor="text1" w:themeTint="FF" w:themeShade="FF"/>
                <w:sz w:val="22"/>
                <w:szCs w:val="22"/>
                <w:lang w:val="en-US"/>
              </w:rPr>
              <w:t xml:space="preserve"> issues, for </w:t>
            </w:r>
            <w:r w:rsidRPr="119166DC" w:rsidR="119166DC">
              <w:rPr>
                <w:rFonts w:ascii="Arial" w:hAnsi="Arial" w:eastAsia="Arial" w:cs="Arial"/>
                <w:b w:val="0"/>
                <w:bCs w:val="0"/>
                <w:i w:val="0"/>
                <w:iCs w:val="0"/>
                <w:color w:val="000000" w:themeColor="text1" w:themeTint="FF" w:themeShade="FF"/>
                <w:sz w:val="22"/>
                <w:szCs w:val="22"/>
                <w:lang w:val="en-US"/>
              </w:rPr>
              <w:t>locality</w:t>
            </w:r>
            <w:r w:rsidRPr="119166DC" w:rsidR="119166DC">
              <w:rPr>
                <w:rFonts w:ascii="Arial" w:hAnsi="Arial" w:eastAsia="Arial" w:cs="Arial"/>
                <w:b w:val="0"/>
                <w:bCs w:val="0"/>
                <w:i w:val="0"/>
                <w:iCs w:val="0"/>
                <w:color w:val="000000" w:themeColor="text1" w:themeTint="FF" w:themeShade="FF"/>
                <w:sz w:val="22"/>
                <w:szCs w:val="22"/>
                <w:lang w:val="en-US"/>
              </w:rPr>
              <w:t xml:space="preserve"> it may require </w:t>
            </w:r>
            <w:r w:rsidRPr="119166DC" w:rsidR="119166DC">
              <w:rPr>
                <w:rFonts w:ascii="Arial" w:hAnsi="Arial" w:eastAsia="Arial" w:cs="Arial"/>
                <w:b w:val="0"/>
                <w:bCs w:val="0"/>
                <w:i w:val="0"/>
                <w:iCs w:val="0"/>
                <w:color w:val="000000" w:themeColor="text1" w:themeTint="FF" w:themeShade="FF"/>
                <w:sz w:val="22"/>
                <w:szCs w:val="22"/>
                <w:lang w:val="en-US"/>
              </w:rPr>
              <w:t>in excess of</w:t>
            </w:r>
            <w:r w:rsidRPr="119166DC" w:rsidR="119166DC">
              <w:rPr>
                <w:rFonts w:ascii="Arial" w:hAnsi="Arial" w:eastAsia="Arial" w:cs="Arial"/>
                <w:b w:val="0"/>
                <w:bCs w:val="0"/>
                <w:i w:val="0"/>
                <w:iCs w:val="0"/>
                <w:color w:val="000000" w:themeColor="text1" w:themeTint="FF" w:themeShade="FF"/>
                <w:sz w:val="22"/>
                <w:szCs w:val="22"/>
                <w:lang w:val="en-US"/>
              </w:rPr>
              <w:t xml:space="preserve"> a year to update all staff.</w:t>
            </w:r>
          </w:p>
        </w:tc>
      </w:tr>
      <w:tr w:rsidR="119166DC" w:rsidTr="119166DC" w14:paraId="756E4397">
        <w:trPr>
          <w:trHeight w:val="1485"/>
        </w:trPr>
        <w:tc>
          <w:tcPr>
            <w:tcW w:w="22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10227B69" w14:textId="16181E17">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Mandatory </w:t>
            </w:r>
            <w:r w:rsidRPr="119166DC" w:rsidR="119166DC">
              <w:rPr>
                <w:rFonts w:ascii="Arial" w:hAnsi="Arial" w:eastAsia="Arial" w:cs="Arial"/>
                <w:b w:val="0"/>
                <w:bCs w:val="0"/>
                <w:i w:val="0"/>
                <w:iCs w:val="0"/>
                <w:color w:val="000000" w:themeColor="text1" w:themeTint="FF" w:themeShade="FF"/>
                <w:sz w:val="22"/>
                <w:szCs w:val="22"/>
                <w:lang w:val="en-US"/>
              </w:rPr>
              <w:t>In Service</w:t>
            </w:r>
            <w:r w:rsidRPr="119166DC" w:rsidR="119166DC">
              <w:rPr>
                <w:rFonts w:ascii="Arial" w:hAnsi="Arial" w:eastAsia="Arial" w:cs="Arial"/>
                <w:b w:val="0"/>
                <w:bCs w:val="0"/>
                <w:i w:val="0"/>
                <w:iCs w:val="0"/>
                <w:color w:val="000000" w:themeColor="text1" w:themeTint="FF" w:themeShade="FF"/>
                <w:sz w:val="22"/>
                <w:szCs w:val="22"/>
                <w:lang w:val="en-US"/>
              </w:rPr>
              <w:t xml:space="preserve"> Training, whereby the Learning and Development team deliver debrief training</w:t>
            </w:r>
          </w:p>
        </w:tc>
        <w:tc>
          <w:tcPr>
            <w:tcW w:w="1869"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2B3D9A5" w14:textId="4FF6F9FE">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Liaise with learning and development team and clinical leadership to build a case for change</w:t>
            </w:r>
          </w:p>
        </w:tc>
        <w:tc>
          <w:tcPr>
            <w:tcW w:w="221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07661C6" w14:textId="2E9FE499">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Initially, Senior Paramedics, </w:t>
            </w:r>
            <w:r w:rsidRPr="119166DC" w:rsidR="119166DC">
              <w:rPr>
                <w:rFonts w:ascii="Arial" w:hAnsi="Arial" w:eastAsia="Arial" w:cs="Arial"/>
                <w:b w:val="0"/>
                <w:bCs w:val="0"/>
                <w:i w:val="0"/>
                <w:iCs w:val="0"/>
                <w:color w:val="000000" w:themeColor="text1" w:themeTint="FF" w:themeShade="FF"/>
                <w:sz w:val="22"/>
                <w:szCs w:val="22"/>
                <w:lang w:val="en-US"/>
              </w:rPr>
              <w:t>subsequently</w:t>
            </w:r>
            <w:r w:rsidRPr="119166DC" w:rsidR="119166DC">
              <w:rPr>
                <w:rFonts w:ascii="Arial" w:hAnsi="Arial" w:eastAsia="Arial" w:cs="Arial"/>
                <w:b w:val="0"/>
                <w:bCs w:val="0"/>
                <w:i w:val="0"/>
                <w:iCs w:val="0"/>
                <w:color w:val="000000" w:themeColor="text1" w:themeTint="FF" w:themeShade="FF"/>
                <w:sz w:val="22"/>
                <w:szCs w:val="22"/>
                <w:lang w:val="en-US"/>
              </w:rPr>
              <w:t xml:space="preserve"> Learning and Development Managers</w:t>
            </w:r>
          </w:p>
        </w:tc>
        <w:tc>
          <w:tcPr>
            <w:tcW w:w="1274"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160038A3" w14:textId="0E0BB95A">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Swansea, Matrix One</w:t>
            </w:r>
          </w:p>
        </w:tc>
        <w:tc>
          <w:tcPr>
            <w:tcW w:w="18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5F4063FE" w14:textId="09C4A219">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Initial discussions </w:t>
            </w:r>
            <w:r w:rsidRPr="119166DC" w:rsidR="119166DC">
              <w:rPr>
                <w:rFonts w:ascii="Arial" w:hAnsi="Arial" w:eastAsia="Arial" w:cs="Arial"/>
                <w:b w:val="0"/>
                <w:bCs w:val="0"/>
                <w:i w:val="0"/>
                <w:iCs w:val="0"/>
                <w:color w:val="000000" w:themeColor="text1" w:themeTint="FF" w:themeShade="FF"/>
                <w:sz w:val="22"/>
                <w:szCs w:val="22"/>
                <w:lang w:val="en-US"/>
              </w:rPr>
              <w:t>already</w:t>
            </w:r>
            <w:r w:rsidRPr="119166DC" w:rsidR="119166DC">
              <w:rPr>
                <w:rFonts w:ascii="Arial" w:hAnsi="Arial" w:eastAsia="Arial" w:cs="Arial"/>
                <w:b w:val="0"/>
                <w:bCs w:val="0"/>
                <w:i w:val="0"/>
                <w:iCs w:val="0"/>
                <w:color w:val="000000" w:themeColor="text1" w:themeTint="FF" w:themeShade="FF"/>
                <w:sz w:val="22"/>
                <w:szCs w:val="22"/>
                <w:lang w:val="en-US"/>
              </w:rPr>
              <w:t xml:space="preserve"> held, further discussion within </w:t>
            </w:r>
            <w:r w:rsidRPr="119166DC" w:rsidR="119166DC">
              <w:rPr>
                <w:rFonts w:ascii="Arial" w:hAnsi="Arial" w:eastAsia="Arial" w:cs="Arial"/>
                <w:b w:val="0"/>
                <w:bCs w:val="0"/>
                <w:i w:val="0"/>
                <w:iCs w:val="0"/>
                <w:color w:val="000000" w:themeColor="text1" w:themeTint="FF" w:themeShade="FF"/>
                <w:sz w:val="22"/>
                <w:szCs w:val="22"/>
                <w:lang w:val="en-US"/>
              </w:rPr>
              <w:t>6 weeks</w:t>
            </w:r>
            <w:r w:rsidRPr="119166DC" w:rsidR="119166DC">
              <w:rPr>
                <w:rFonts w:ascii="Arial" w:hAnsi="Arial" w:eastAsia="Arial" w:cs="Arial"/>
                <w:b w:val="0"/>
                <w:bCs w:val="0"/>
                <w:i w:val="0"/>
                <w:iCs w:val="0"/>
                <w:color w:val="000000" w:themeColor="text1" w:themeTint="FF" w:themeShade="FF"/>
                <w:sz w:val="22"/>
                <w:szCs w:val="22"/>
                <w:lang w:val="en-US"/>
              </w:rPr>
              <w:t>.</w:t>
            </w:r>
          </w:p>
        </w:tc>
      </w:tr>
      <w:tr w:rsidR="119166DC" w:rsidTr="119166DC" w14:paraId="04FFC143">
        <w:trPr>
          <w:trHeight w:val="1485"/>
        </w:trPr>
        <w:tc>
          <w:tcPr>
            <w:tcW w:w="22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7A4D3557" w14:textId="09E0A338">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Continuing Professional Development Sessions, where staff can voluntarily attend</w:t>
            </w:r>
          </w:p>
        </w:tc>
        <w:tc>
          <w:tcPr>
            <w:tcW w:w="1869"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695986DB" w14:textId="06AFA2C8">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strike w:val="0"/>
                <w:dstrike w:val="0"/>
                <w:color w:val="000000" w:themeColor="text1" w:themeTint="FF" w:themeShade="FF"/>
                <w:sz w:val="22"/>
                <w:szCs w:val="22"/>
                <w:u w:val="none"/>
                <w:lang w:val="en-US"/>
              </w:rPr>
              <w:t>Commence in Pembrokeshire and discuss with Hywel Dda SP team for further roll out</w:t>
            </w:r>
          </w:p>
        </w:tc>
        <w:tc>
          <w:tcPr>
            <w:tcW w:w="221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EB4DFB5" w14:textId="5AD901B4">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Senior Paramedics</w:t>
            </w:r>
          </w:p>
        </w:tc>
        <w:tc>
          <w:tcPr>
            <w:tcW w:w="1274"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2F3A8D95" w14:textId="5FA6FBB8">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At major stations</w:t>
            </w:r>
          </w:p>
        </w:tc>
        <w:tc>
          <w:tcPr>
            <w:tcW w:w="18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74360E1A" w14:textId="6466C5E9">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Creation of session and delivery within </w:t>
            </w:r>
            <w:r w:rsidRPr="119166DC" w:rsidR="119166DC">
              <w:rPr>
                <w:rFonts w:ascii="Arial" w:hAnsi="Arial" w:eastAsia="Arial" w:cs="Arial"/>
                <w:b w:val="0"/>
                <w:bCs w:val="0"/>
                <w:i w:val="0"/>
                <w:iCs w:val="0"/>
                <w:color w:val="000000" w:themeColor="text1" w:themeTint="FF" w:themeShade="FF"/>
                <w:sz w:val="22"/>
                <w:szCs w:val="22"/>
                <w:lang w:val="en-US"/>
              </w:rPr>
              <w:t>12 weeks</w:t>
            </w:r>
            <w:r w:rsidRPr="119166DC" w:rsidR="119166DC">
              <w:rPr>
                <w:rFonts w:ascii="Arial" w:hAnsi="Arial" w:eastAsia="Arial" w:cs="Arial"/>
                <w:b w:val="0"/>
                <w:bCs w:val="0"/>
                <w:i w:val="0"/>
                <w:iCs w:val="0"/>
                <w:color w:val="000000" w:themeColor="text1" w:themeTint="FF" w:themeShade="FF"/>
                <w:sz w:val="22"/>
                <w:szCs w:val="22"/>
                <w:lang w:val="en-US"/>
              </w:rPr>
              <w:t>.</w:t>
            </w:r>
          </w:p>
        </w:tc>
      </w:tr>
      <w:tr w:rsidR="119166DC" w:rsidTr="119166DC" w14:paraId="66860F2E">
        <w:trPr>
          <w:trHeight w:val="1485"/>
        </w:trPr>
        <w:tc>
          <w:tcPr>
            <w:tcW w:w="22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56A51BAD" w14:textId="3D8EB6C0">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Contact Swansea University and discuss the </w:t>
            </w:r>
            <w:r w:rsidRPr="119166DC" w:rsidR="119166DC">
              <w:rPr>
                <w:rFonts w:ascii="Arial" w:hAnsi="Arial" w:eastAsia="Arial" w:cs="Arial"/>
                <w:b w:val="0"/>
                <w:bCs w:val="0"/>
                <w:i w:val="0"/>
                <w:iCs w:val="0"/>
                <w:color w:val="000000" w:themeColor="text1" w:themeTint="FF" w:themeShade="FF"/>
                <w:sz w:val="22"/>
                <w:szCs w:val="22"/>
                <w:lang w:val="en-US"/>
              </w:rPr>
              <w:t>option</w:t>
            </w:r>
            <w:r w:rsidRPr="119166DC" w:rsidR="119166DC">
              <w:rPr>
                <w:rFonts w:ascii="Arial" w:hAnsi="Arial" w:eastAsia="Arial" w:cs="Arial"/>
                <w:b w:val="0"/>
                <w:bCs w:val="0"/>
                <w:i w:val="0"/>
                <w:iCs w:val="0"/>
                <w:color w:val="000000" w:themeColor="text1" w:themeTint="FF" w:themeShade="FF"/>
                <w:sz w:val="22"/>
                <w:szCs w:val="22"/>
                <w:lang w:val="en-US"/>
              </w:rPr>
              <w:t xml:space="preserve"> of teaching </w:t>
            </w:r>
            <w:r w:rsidRPr="119166DC" w:rsidR="119166DC">
              <w:rPr>
                <w:rFonts w:ascii="Arial" w:hAnsi="Arial" w:eastAsia="Arial" w:cs="Arial"/>
                <w:b w:val="0"/>
                <w:bCs w:val="0"/>
                <w:i w:val="0"/>
                <w:iCs w:val="0"/>
                <w:color w:val="000000" w:themeColor="text1" w:themeTint="FF" w:themeShade="FF"/>
                <w:sz w:val="22"/>
                <w:szCs w:val="22"/>
                <w:lang w:val="en-US"/>
              </w:rPr>
              <w:t>pertaining to</w:t>
            </w:r>
            <w:r w:rsidRPr="119166DC" w:rsidR="119166DC">
              <w:rPr>
                <w:rFonts w:ascii="Arial" w:hAnsi="Arial" w:eastAsia="Arial" w:cs="Arial"/>
                <w:b w:val="0"/>
                <w:bCs w:val="0"/>
                <w:i w:val="0"/>
                <w:iCs w:val="0"/>
                <w:color w:val="000000" w:themeColor="text1" w:themeTint="FF" w:themeShade="FF"/>
                <w:sz w:val="22"/>
                <w:szCs w:val="22"/>
                <w:lang w:val="en-US"/>
              </w:rPr>
              <w:t xml:space="preserve"> debriefing</w:t>
            </w:r>
          </w:p>
        </w:tc>
        <w:tc>
          <w:tcPr>
            <w:tcW w:w="1869"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33689A08" w14:textId="500EA530">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Contact course leads for Paramedic Science and arrange a meeting for discussion</w:t>
            </w:r>
          </w:p>
        </w:tc>
        <w:tc>
          <w:tcPr>
            <w:tcW w:w="221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573CB4FD" w14:textId="6A8EE8F2">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Senior Paramedic, then </w:t>
            </w:r>
            <w:r w:rsidRPr="119166DC" w:rsidR="119166DC">
              <w:rPr>
                <w:rFonts w:ascii="Arial" w:hAnsi="Arial" w:eastAsia="Arial" w:cs="Arial"/>
                <w:b w:val="0"/>
                <w:bCs w:val="0"/>
                <w:i w:val="0"/>
                <w:iCs w:val="0"/>
                <w:color w:val="000000" w:themeColor="text1" w:themeTint="FF" w:themeShade="FF"/>
                <w:sz w:val="22"/>
                <w:szCs w:val="22"/>
                <w:lang w:val="en-US"/>
              </w:rPr>
              <w:t>subsequently</w:t>
            </w:r>
            <w:r w:rsidRPr="119166DC" w:rsidR="119166DC">
              <w:rPr>
                <w:rFonts w:ascii="Arial" w:hAnsi="Arial" w:eastAsia="Arial" w:cs="Arial"/>
                <w:b w:val="0"/>
                <w:bCs w:val="0"/>
                <w:i w:val="0"/>
                <w:iCs w:val="0"/>
                <w:color w:val="000000" w:themeColor="text1" w:themeTint="FF" w:themeShade="FF"/>
                <w:sz w:val="22"/>
                <w:szCs w:val="22"/>
                <w:lang w:val="en-US"/>
              </w:rPr>
              <w:t xml:space="preserve"> Course Leads for Paramedic Science</w:t>
            </w:r>
          </w:p>
        </w:tc>
        <w:tc>
          <w:tcPr>
            <w:tcW w:w="1274"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0A6E587D" w14:textId="465493D9">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Online</w:t>
            </w:r>
          </w:p>
        </w:tc>
        <w:tc>
          <w:tcPr>
            <w:tcW w:w="18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4EE145DC" w14:textId="0198B374">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Contact </w:t>
            </w:r>
            <w:r w:rsidRPr="119166DC" w:rsidR="119166DC">
              <w:rPr>
                <w:rFonts w:ascii="Arial" w:hAnsi="Arial" w:eastAsia="Arial" w:cs="Arial"/>
                <w:b w:val="0"/>
                <w:bCs w:val="0"/>
                <w:i w:val="0"/>
                <w:iCs w:val="0"/>
                <w:color w:val="000000" w:themeColor="text1" w:themeTint="FF" w:themeShade="FF"/>
                <w:sz w:val="22"/>
                <w:szCs w:val="22"/>
                <w:lang w:val="en-US"/>
              </w:rPr>
              <w:t>established</w:t>
            </w:r>
            <w:r w:rsidRPr="119166DC" w:rsidR="119166DC">
              <w:rPr>
                <w:rFonts w:ascii="Arial" w:hAnsi="Arial" w:eastAsia="Arial" w:cs="Arial"/>
                <w:b w:val="0"/>
                <w:bCs w:val="0"/>
                <w:i w:val="0"/>
                <w:iCs w:val="0"/>
                <w:color w:val="000000" w:themeColor="text1" w:themeTint="FF" w:themeShade="FF"/>
                <w:sz w:val="22"/>
                <w:szCs w:val="22"/>
                <w:lang w:val="en-US"/>
              </w:rPr>
              <w:t xml:space="preserve"> within 6 weeks </w:t>
            </w:r>
          </w:p>
        </w:tc>
      </w:tr>
      <w:tr w:rsidR="119166DC" w:rsidTr="119166DC" w14:paraId="1E22B4F9">
        <w:trPr>
          <w:trHeight w:val="1485"/>
        </w:trPr>
        <w:tc>
          <w:tcPr>
            <w:tcW w:w="22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2029808F" w14:textId="2A815B4D">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Online training as part of yearly certification</w:t>
            </w:r>
          </w:p>
        </w:tc>
        <w:tc>
          <w:tcPr>
            <w:tcW w:w="1869"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2E4437EB" w14:textId="0E143FEE">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Further discussion with learning and development team</w:t>
            </w:r>
          </w:p>
        </w:tc>
        <w:tc>
          <w:tcPr>
            <w:tcW w:w="221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0D2B6ACC" w14:textId="4FCD8451">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Senior Paramedics</w:t>
            </w:r>
          </w:p>
        </w:tc>
        <w:tc>
          <w:tcPr>
            <w:tcW w:w="1274"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7DCA2533" w14:textId="32E1B067">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Online</w:t>
            </w:r>
          </w:p>
        </w:tc>
        <w:tc>
          <w:tcPr>
            <w:tcW w:w="1802" w:type="dxa"/>
            <w:tcBorders>
              <w:top w:val="single" w:color="FBE284" w:sz="11"/>
              <w:left w:val="single" w:color="FBE284" w:sz="11"/>
              <w:bottom w:val="single" w:color="FBE284" w:sz="11"/>
              <w:right w:val="single" w:color="FBE284" w:sz="11"/>
            </w:tcBorders>
            <w:tcMar>
              <w:top w:w="72" w:type="dxa"/>
              <w:left w:w="144" w:type="dxa"/>
              <w:bottom w:w="72" w:type="dxa"/>
              <w:right w:w="144" w:type="dxa"/>
            </w:tcMar>
            <w:vAlign w:val="top"/>
          </w:tcPr>
          <w:p w:rsidR="119166DC" w:rsidP="119166DC" w:rsidRDefault="119166DC" w14:paraId="1846788D" w14:textId="19EEDE1F">
            <w:pPr>
              <w:bidi w:val="0"/>
              <w:spacing w:before="0" w:beforeAutospacing="off" w:after="0" w:afterAutospacing="off" w:line="240" w:lineRule="exact"/>
              <w:ind w:left="0" w:right="-20"/>
              <w:jc w:val="left"/>
              <w:rPr>
                <w:rFonts w:ascii="Arial" w:hAnsi="Arial" w:eastAsia="Arial" w:cs="Arial"/>
                <w:b w:val="0"/>
                <w:bCs w:val="0"/>
                <w:i w:val="0"/>
                <w:iCs w:val="0"/>
                <w:color w:val="000000" w:themeColor="text1" w:themeTint="FF" w:themeShade="FF"/>
                <w:sz w:val="22"/>
                <w:szCs w:val="22"/>
                <w:lang w:val="en-US"/>
              </w:rPr>
            </w:pPr>
            <w:r w:rsidRPr="119166DC" w:rsidR="119166DC">
              <w:rPr>
                <w:rFonts w:ascii="Arial" w:hAnsi="Arial" w:eastAsia="Arial" w:cs="Arial"/>
                <w:b w:val="0"/>
                <w:bCs w:val="0"/>
                <w:i w:val="0"/>
                <w:iCs w:val="0"/>
                <w:color w:val="000000" w:themeColor="text1" w:themeTint="FF" w:themeShade="FF"/>
                <w:sz w:val="22"/>
                <w:szCs w:val="22"/>
                <w:lang w:val="en-US"/>
              </w:rPr>
              <w:t xml:space="preserve">Contact </w:t>
            </w:r>
            <w:r w:rsidRPr="119166DC" w:rsidR="119166DC">
              <w:rPr>
                <w:rFonts w:ascii="Arial" w:hAnsi="Arial" w:eastAsia="Arial" w:cs="Arial"/>
                <w:b w:val="0"/>
                <w:bCs w:val="0"/>
                <w:i w:val="0"/>
                <w:iCs w:val="0"/>
                <w:color w:val="000000" w:themeColor="text1" w:themeTint="FF" w:themeShade="FF"/>
                <w:sz w:val="22"/>
                <w:szCs w:val="22"/>
                <w:lang w:val="en-US"/>
              </w:rPr>
              <w:t>established</w:t>
            </w:r>
            <w:r w:rsidRPr="119166DC" w:rsidR="119166DC">
              <w:rPr>
                <w:rFonts w:ascii="Arial" w:hAnsi="Arial" w:eastAsia="Arial" w:cs="Arial"/>
                <w:b w:val="0"/>
                <w:bCs w:val="0"/>
                <w:i w:val="0"/>
                <w:iCs w:val="0"/>
                <w:color w:val="000000" w:themeColor="text1" w:themeTint="FF" w:themeShade="FF"/>
                <w:sz w:val="22"/>
                <w:szCs w:val="22"/>
                <w:lang w:val="en-US"/>
              </w:rPr>
              <w:t xml:space="preserve"> with discussions to be arranged. Not a </w:t>
            </w:r>
            <w:r w:rsidRPr="119166DC" w:rsidR="119166DC">
              <w:rPr>
                <w:rFonts w:ascii="Arial" w:hAnsi="Arial" w:eastAsia="Arial" w:cs="Arial"/>
                <w:b w:val="0"/>
                <w:bCs w:val="0"/>
                <w:i w:val="0"/>
                <w:iCs w:val="0"/>
                <w:color w:val="000000" w:themeColor="text1" w:themeTint="FF" w:themeShade="FF"/>
                <w:sz w:val="22"/>
                <w:szCs w:val="22"/>
                <w:lang w:val="en-US"/>
              </w:rPr>
              <w:t>timeframe</w:t>
            </w:r>
            <w:r w:rsidRPr="119166DC" w:rsidR="119166DC">
              <w:rPr>
                <w:rFonts w:ascii="Arial" w:hAnsi="Arial" w:eastAsia="Arial" w:cs="Arial"/>
                <w:b w:val="0"/>
                <w:bCs w:val="0"/>
                <w:i w:val="0"/>
                <w:iCs w:val="0"/>
                <w:color w:val="000000" w:themeColor="text1" w:themeTint="FF" w:themeShade="FF"/>
                <w:sz w:val="22"/>
                <w:szCs w:val="22"/>
                <w:lang w:val="en-US"/>
              </w:rPr>
              <w:t xml:space="preserve"> that can be controlled.</w:t>
            </w:r>
          </w:p>
        </w:tc>
      </w:tr>
    </w:tbl>
    <w:p w:rsidR="119166DC" w:rsidP="119166DC" w:rsidRDefault="119166DC" w14:paraId="7039B152" w14:textId="2FC7B27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38984F1E" w14:textId="4FDB62C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9166DC" w:rsidP="119166DC" w:rsidRDefault="119166DC" w14:paraId="60C04842" w14:textId="03339D13">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tZF87nzs" int2:invalidationBookmarkName="" int2:hashCode="9KZVtxeUDurArL" int2:id="ZNCJRg9p">
      <int2:state int2:type="AugLoop_Text_Critique" int2:value="Rejected"/>
    </int2:bookmark>
    <int2:bookmark int2:bookmarkName="_Int_EGGXKMbL" int2:invalidationBookmarkName="" int2:hashCode="I2Zx/MpMLRBz9t" int2:id="8wZyjAMG">
      <int2:state int2:type="AugLoop_Text_Critique" int2:value="Rejected"/>
    </int2:bookmark>
    <int2:bookmark int2:bookmarkName="_Int_w6R1ABIr" int2:invalidationBookmarkName="" int2:hashCode="diqxrh8VRcGaYv" int2:id="ICFqnuNY">
      <int2:state int2:type="AugLoop_Text_Critique" int2:value="Rejected"/>
    </int2:bookmark>
    <int2:bookmark int2:bookmarkName="_Int_HqcNeZwU" int2:invalidationBookmarkName="" int2:hashCode="4C5cabHg/gY1wZ" int2:id="3UVsXisN">
      <int2:state int2:type="AugLoop_Text_Critique" int2:value="Rejected"/>
    </int2:bookmark>
    <int2:bookmark int2:bookmarkName="_Int_QdHwrJM3" int2:invalidationBookmarkName="" int2:hashCode="m43E4dODTQMBAV" int2:id="jzHyQ5bg">
      <int2:state int2:type="AugLoop_Text_Critique" int2:value="Rejected"/>
    </int2:bookmark>
    <int2:bookmark int2:bookmarkName="_Int_CZLho5qd" int2:invalidationBookmarkName="" int2:hashCode="nT0tpFeHlwpmG7" int2:id="TLZ1S5L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8bf33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717808"/>
    <w:rsid w:val="119166DC"/>
    <w:rsid w:val="26717808"/>
    <w:rsid w:val="5E627BBB"/>
    <w:rsid w:val="642EA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17808"/>
  <w15:chartTrackingRefBased/>
  <w15:docId w15:val="{AA7F1EB9-2222-42FA-AF4D-6DD0C7DFB0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42EA9C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42EA9C3"/>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42EA9C3"/>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42EA9C3"/>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42EA9C3"/>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42EA9C3"/>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42EA9C3"/>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42EA9C3"/>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42EA9C3"/>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42EA9C3"/>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42EA9C3"/>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42EA9C3"/>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42EA9C3"/>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42EA9C3"/>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42EA9C3"/>
    <w:pPr>
      <w:spacing/>
      <w:ind w:left="720"/>
      <w:contextualSpacing/>
    </w:pPr>
  </w:style>
  <w:style w:type="character" w:styleId="Heading1Char" w:customStyle="true">
    <w:uiPriority w:val="9"/>
    <w:name w:val="Heading 1 Char"/>
    <w:basedOn w:val="DefaultParagraphFont"/>
    <w:link w:val="Heading1"/>
    <w:rsid w:val="642EA9C3"/>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42EA9C3"/>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42EA9C3"/>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42EA9C3"/>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42EA9C3"/>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42EA9C3"/>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42EA9C3"/>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42EA9C3"/>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42EA9C3"/>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42EA9C3"/>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42EA9C3"/>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42EA9C3"/>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42EA9C3"/>
    <w:rPr>
      <w:i w:val="1"/>
      <w:iCs w:val="1"/>
      <w:noProof w:val="0"/>
      <w:color w:val="4472C4" w:themeColor="accent1" w:themeTint="FF" w:themeShade="FF"/>
      <w:lang w:val="en-GB"/>
    </w:rPr>
  </w:style>
  <w:style w:type="paragraph" w:styleId="TOC1">
    <w:uiPriority w:val="39"/>
    <w:name w:val="toc 1"/>
    <w:basedOn w:val="Normal"/>
    <w:next w:val="Normal"/>
    <w:unhideWhenUsed/>
    <w:rsid w:val="642EA9C3"/>
    <w:pPr>
      <w:spacing w:after="100"/>
    </w:pPr>
  </w:style>
  <w:style w:type="paragraph" w:styleId="TOC2">
    <w:uiPriority w:val="39"/>
    <w:name w:val="toc 2"/>
    <w:basedOn w:val="Normal"/>
    <w:next w:val="Normal"/>
    <w:unhideWhenUsed/>
    <w:rsid w:val="642EA9C3"/>
    <w:pPr>
      <w:spacing w:after="100"/>
      <w:ind w:left="220"/>
    </w:pPr>
  </w:style>
  <w:style w:type="paragraph" w:styleId="TOC3">
    <w:uiPriority w:val="39"/>
    <w:name w:val="toc 3"/>
    <w:basedOn w:val="Normal"/>
    <w:next w:val="Normal"/>
    <w:unhideWhenUsed/>
    <w:rsid w:val="642EA9C3"/>
    <w:pPr>
      <w:spacing w:after="100"/>
      <w:ind w:left="440"/>
    </w:pPr>
  </w:style>
  <w:style w:type="paragraph" w:styleId="TOC4">
    <w:uiPriority w:val="39"/>
    <w:name w:val="toc 4"/>
    <w:basedOn w:val="Normal"/>
    <w:next w:val="Normal"/>
    <w:unhideWhenUsed/>
    <w:rsid w:val="642EA9C3"/>
    <w:pPr>
      <w:spacing w:after="100"/>
      <w:ind w:left="660"/>
    </w:pPr>
  </w:style>
  <w:style w:type="paragraph" w:styleId="TOC5">
    <w:uiPriority w:val="39"/>
    <w:name w:val="toc 5"/>
    <w:basedOn w:val="Normal"/>
    <w:next w:val="Normal"/>
    <w:unhideWhenUsed/>
    <w:rsid w:val="642EA9C3"/>
    <w:pPr>
      <w:spacing w:after="100"/>
      <w:ind w:left="880"/>
    </w:pPr>
  </w:style>
  <w:style w:type="paragraph" w:styleId="TOC6">
    <w:uiPriority w:val="39"/>
    <w:name w:val="toc 6"/>
    <w:basedOn w:val="Normal"/>
    <w:next w:val="Normal"/>
    <w:unhideWhenUsed/>
    <w:rsid w:val="642EA9C3"/>
    <w:pPr>
      <w:spacing w:after="100"/>
      <w:ind w:left="1100"/>
    </w:pPr>
  </w:style>
  <w:style w:type="paragraph" w:styleId="TOC7">
    <w:uiPriority w:val="39"/>
    <w:name w:val="toc 7"/>
    <w:basedOn w:val="Normal"/>
    <w:next w:val="Normal"/>
    <w:unhideWhenUsed/>
    <w:rsid w:val="642EA9C3"/>
    <w:pPr>
      <w:spacing w:after="100"/>
      <w:ind w:left="1320"/>
    </w:pPr>
  </w:style>
  <w:style w:type="paragraph" w:styleId="TOC8">
    <w:uiPriority w:val="39"/>
    <w:name w:val="toc 8"/>
    <w:basedOn w:val="Normal"/>
    <w:next w:val="Normal"/>
    <w:unhideWhenUsed/>
    <w:rsid w:val="642EA9C3"/>
    <w:pPr>
      <w:spacing w:after="100"/>
      <w:ind w:left="1540"/>
    </w:pPr>
  </w:style>
  <w:style w:type="paragraph" w:styleId="TOC9">
    <w:uiPriority w:val="39"/>
    <w:name w:val="toc 9"/>
    <w:basedOn w:val="Normal"/>
    <w:next w:val="Normal"/>
    <w:unhideWhenUsed/>
    <w:rsid w:val="642EA9C3"/>
    <w:pPr>
      <w:spacing w:after="100"/>
      <w:ind w:left="1760"/>
    </w:pPr>
  </w:style>
  <w:style w:type="paragraph" w:styleId="EndnoteText">
    <w:uiPriority w:val="99"/>
    <w:name w:val="endnote text"/>
    <w:basedOn w:val="Normal"/>
    <w:semiHidden/>
    <w:unhideWhenUsed/>
    <w:link w:val="EndnoteTextChar"/>
    <w:rsid w:val="642EA9C3"/>
    <w:rPr>
      <w:sz w:val="20"/>
      <w:szCs w:val="20"/>
    </w:rPr>
    <w:pPr>
      <w:spacing w:after="0"/>
    </w:pPr>
  </w:style>
  <w:style w:type="character" w:styleId="EndnoteTextChar" w:customStyle="true">
    <w:uiPriority w:val="99"/>
    <w:name w:val="Endnote Text Char"/>
    <w:basedOn w:val="DefaultParagraphFont"/>
    <w:semiHidden/>
    <w:link w:val="EndnoteText"/>
    <w:rsid w:val="642EA9C3"/>
    <w:rPr>
      <w:noProof w:val="0"/>
      <w:sz w:val="20"/>
      <w:szCs w:val="20"/>
      <w:lang w:val="en-GB"/>
    </w:rPr>
  </w:style>
  <w:style w:type="paragraph" w:styleId="Footer">
    <w:uiPriority w:val="99"/>
    <w:name w:val="footer"/>
    <w:basedOn w:val="Normal"/>
    <w:unhideWhenUsed/>
    <w:link w:val="FooterChar"/>
    <w:rsid w:val="642EA9C3"/>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42EA9C3"/>
    <w:rPr>
      <w:noProof w:val="0"/>
      <w:lang w:val="en-GB"/>
    </w:rPr>
  </w:style>
  <w:style w:type="paragraph" w:styleId="FootnoteText">
    <w:uiPriority w:val="99"/>
    <w:name w:val="footnote text"/>
    <w:basedOn w:val="Normal"/>
    <w:semiHidden/>
    <w:unhideWhenUsed/>
    <w:link w:val="FootnoteTextChar"/>
    <w:rsid w:val="642EA9C3"/>
    <w:rPr>
      <w:sz w:val="20"/>
      <w:szCs w:val="20"/>
    </w:rPr>
    <w:pPr>
      <w:spacing w:after="0"/>
    </w:pPr>
  </w:style>
  <w:style w:type="character" w:styleId="FootnoteTextChar" w:customStyle="true">
    <w:uiPriority w:val="99"/>
    <w:name w:val="Footnote Text Char"/>
    <w:basedOn w:val="DefaultParagraphFont"/>
    <w:semiHidden/>
    <w:link w:val="FootnoteText"/>
    <w:rsid w:val="642EA9C3"/>
    <w:rPr>
      <w:noProof w:val="0"/>
      <w:sz w:val="20"/>
      <w:szCs w:val="20"/>
      <w:lang w:val="en-GB"/>
    </w:rPr>
  </w:style>
  <w:style w:type="paragraph" w:styleId="Header">
    <w:uiPriority w:val="99"/>
    <w:name w:val="header"/>
    <w:basedOn w:val="Normal"/>
    <w:unhideWhenUsed/>
    <w:link w:val="HeaderChar"/>
    <w:rsid w:val="642EA9C3"/>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42EA9C3"/>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ea0189a6c734995" /><Relationship Type="http://schemas.openxmlformats.org/officeDocument/2006/relationships/numbering" Target="numbering.xml" Id="R98e7803cb9bf46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2024-03-07T14:56:41.0399243Z</dcterms:created>
  <dcterms:modified xsi:type="dcterms:W3CDTF">2024-03-15T22:29:49.8562205Z</dcterms:modified>
  <dc:creator>Simon Batchelor</dc:creator>
  <lastModifiedBy>Simon Batchelor</lastModifiedBy>
</coreProperties>
</file>