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5F8C6" w14:textId="4FE88DC4" w:rsidR="00AB3D60" w:rsidRPr="0036164E" w:rsidRDefault="00AB3D60" w:rsidP="00AB3D60">
      <w:pPr>
        <w:spacing w:line="360" w:lineRule="auto"/>
        <w:jc w:val="center"/>
        <w:rPr>
          <w:rFonts w:ascii="Arial" w:hAnsi="Arial" w:cs="Arial"/>
          <w:sz w:val="24"/>
          <w:szCs w:val="24"/>
        </w:rPr>
      </w:pPr>
      <w:r>
        <w:rPr>
          <w:rFonts w:ascii="Arial" w:hAnsi="Arial" w:cs="Arial"/>
          <w:sz w:val="24"/>
          <w:szCs w:val="24"/>
        </w:rPr>
        <w:t>Children, Young People and Families</w:t>
      </w:r>
    </w:p>
    <w:p w14:paraId="471590E2" w14:textId="77777777" w:rsidR="00AB3D60" w:rsidRPr="0036164E" w:rsidRDefault="00AB3D60" w:rsidP="00AB3D60">
      <w:pPr>
        <w:spacing w:line="360" w:lineRule="auto"/>
        <w:jc w:val="center"/>
        <w:rPr>
          <w:rFonts w:ascii="Arial" w:hAnsi="Arial" w:cs="Arial"/>
          <w:sz w:val="24"/>
          <w:szCs w:val="24"/>
        </w:rPr>
      </w:pPr>
    </w:p>
    <w:p w14:paraId="2163F67C" w14:textId="77777777" w:rsidR="00AB3D60" w:rsidRPr="0036164E" w:rsidRDefault="00AB3D60" w:rsidP="00AB3D60">
      <w:pPr>
        <w:spacing w:line="360" w:lineRule="auto"/>
        <w:jc w:val="center"/>
        <w:rPr>
          <w:rFonts w:ascii="Arial" w:hAnsi="Arial" w:cs="Arial"/>
          <w:sz w:val="24"/>
          <w:szCs w:val="24"/>
        </w:rPr>
      </w:pPr>
      <w:r w:rsidRPr="0036164E">
        <w:rPr>
          <w:rFonts w:ascii="Arial" w:hAnsi="Arial" w:cs="Arial"/>
          <w:sz w:val="24"/>
          <w:szCs w:val="24"/>
        </w:rPr>
        <w:t>Kabir Miah</w:t>
      </w:r>
    </w:p>
    <w:p w14:paraId="12F3B85C" w14:textId="77777777" w:rsidR="00AB3D60" w:rsidRPr="0036164E" w:rsidRDefault="00AB3D60" w:rsidP="00AB3D60">
      <w:pPr>
        <w:spacing w:line="360" w:lineRule="auto"/>
        <w:jc w:val="center"/>
        <w:rPr>
          <w:rFonts w:ascii="Arial" w:hAnsi="Arial" w:cs="Arial"/>
          <w:sz w:val="24"/>
          <w:szCs w:val="24"/>
        </w:rPr>
      </w:pPr>
      <w:r w:rsidRPr="0036164E">
        <w:rPr>
          <w:rFonts w:ascii="Arial" w:hAnsi="Arial" w:cs="Arial"/>
          <w:sz w:val="24"/>
          <w:szCs w:val="24"/>
        </w:rPr>
        <w:t>2132780</w:t>
      </w:r>
    </w:p>
    <w:p w14:paraId="2AF45593" w14:textId="4399B358" w:rsidR="00AB3D60" w:rsidRPr="0036164E" w:rsidRDefault="00AB3D60" w:rsidP="00AB3D60">
      <w:pPr>
        <w:spacing w:line="360" w:lineRule="auto"/>
        <w:jc w:val="center"/>
        <w:rPr>
          <w:rFonts w:ascii="Arial" w:hAnsi="Arial" w:cs="Arial"/>
          <w:sz w:val="24"/>
          <w:szCs w:val="24"/>
        </w:rPr>
      </w:pPr>
      <w:r w:rsidRPr="0036164E">
        <w:rPr>
          <w:rFonts w:ascii="Arial" w:hAnsi="Arial" w:cs="Arial"/>
          <w:sz w:val="24"/>
          <w:szCs w:val="24"/>
        </w:rPr>
        <w:t>BMHP50</w:t>
      </w:r>
      <w:r>
        <w:rPr>
          <w:rFonts w:ascii="Arial" w:hAnsi="Arial" w:cs="Arial"/>
          <w:sz w:val="24"/>
          <w:szCs w:val="24"/>
        </w:rPr>
        <w:t>0</w:t>
      </w:r>
      <w:r w:rsidR="00716123">
        <w:rPr>
          <w:rFonts w:ascii="Arial" w:hAnsi="Arial" w:cs="Arial"/>
          <w:sz w:val="24"/>
          <w:szCs w:val="24"/>
        </w:rPr>
        <w:t>4</w:t>
      </w:r>
      <w:r w:rsidRPr="0036164E">
        <w:rPr>
          <w:rFonts w:ascii="Arial" w:hAnsi="Arial" w:cs="Arial"/>
          <w:sz w:val="24"/>
          <w:szCs w:val="24"/>
        </w:rPr>
        <w:t>_BIRM</w:t>
      </w:r>
    </w:p>
    <w:p w14:paraId="7A83AC0F" w14:textId="628ACF0B" w:rsidR="00AB3D60" w:rsidRPr="0036164E" w:rsidRDefault="00AB3D60" w:rsidP="00AB3D60">
      <w:pPr>
        <w:spacing w:line="360" w:lineRule="auto"/>
        <w:jc w:val="center"/>
        <w:rPr>
          <w:rFonts w:ascii="Arial" w:hAnsi="Arial" w:cs="Arial"/>
          <w:sz w:val="24"/>
          <w:szCs w:val="24"/>
        </w:rPr>
      </w:pPr>
      <w:r>
        <w:rPr>
          <w:rFonts w:ascii="Arial" w:hAnsi="Arial" w:cs="Arial"/>
        </w:rPr>
        <w:t xml:space="preserve">Assessment 2- Essay </w:t>
      </w:r>
    </w:p>
    <w:p w14:paraId="286CBC7A" w14:textId="47998AA4" w:rsidR="00AB3D60" w:rsidRDefault="00AB3D60" w:rsidP="00AB3D60">
      <w:pPr>
        <w:spacing w:line="360" w:lineRule="auto"/>
        <w:jc w:val="center"/>
        <w:rPr>
          <w:rFonts w:ascii="Arial" w:hAnsi="Arial" w:cs="Arial"/>
        </w:rPr>
      </w:pPr>
      <w:r>
        <w:rPr>
          <w:rFonts w:ascii="Arial" w:hAnsi="Arial" w:cs="Arial"/>
          <w:sz w:val="24"/>
          <w:szCs w:val="24"/>
        </w:rPr>
        <w:t>Colin Barr</w:t>
      </w:r>
    </w:p>
    <w:p w14:paraId="6E876611" w14:textId="77777777" w:rsidR="00AB3D60" w:rsidRPr="0036164E" w:rsidRDefault="00AB3D60" w:rsidP="00AB3D60">
      <w:pPr>
        <w:spacing w:line="360" w:lineRule="auto"/>
        <w:jc w:val="center"/>
        <w:rPr>
          <w:rFonts w:ascii="Arial" w:hAnsi="Arial" w:cs="Arial"/>
          <w:sz w:val="24"/>
          <w:szCs w:val="24"/>
        </w:rPr>
      </w:pPr>
      <w:r>
        <w:rPr>
          <w:rFonts w:ascii="Arial" w:hAnsi="Arial" w:cs="Arial"/>
        </w:rPr>
        <w:t>28</w:t>
      </w:r>
      <w:r w:rsidRPr="00C37F3C">
        <w:rPr>
          <w:rFonts w:ascii="Arial" w:hAnsi="Arial" w:cs="Arial"/>
          <w:vertAlign w:val="superscript"/>
        </w:rPr>
        <w:t>th</w:t>
      </w:r>
      <w:r>
        <w:rPr>
          <w:rFonts w:ascii="Arial" w:hAnsi="Arial" w:cs="Arial"/>
        </w:rPr>
        <w:t xml:space="preserve"> July, 2023</w:t>
      </w:r>
    </w:p>
    <w:p w14:paraId="10F4723A" w14:textId="77777777" w:rsidR="0063409C" w:rsidRPr="0063409C" w:rsidRDefault="0063409C" w:rsidP="0063409C">
      <w:pPr>
        <w:spacing w:after="0" w:line="360" w:lineRule="auto"/>
        <w:jc w:val="both"/>
        <w:rPr>
          <w:rFonts w:ascii="Arial" w:eastAsia="Times New Roman" w:hAnsi="Arial" w:cs="Arial"/>
          <w:b/>
        </w:rPr>
      </w:pPr>
    </w:p>
    <w:p w14:paraId="0CCECBED" w14:textId="77777777" w:rsidR="0063409C" w:rsidRPr="0063409C" w:rsidRDefault="0063409C" w:rsidP="0063409C">
      <w:pPr>
        <w:spacing w:after="0" w:line="360" w:lineRule="auto"/>
        <w:jc w:val="both"/>
        <w:rPr>
          <w:rFonts w:ascii="Arial" w:eastAsia="Times New Roman" w:hAnsi="Arial" w:cs="Arial"/>
          <w:b/>
        </w:rPr>
      </w:pPr>
    </w:p>
    <w:p w14:paraId="7472070E" w14:textId="77777777" w:rsidR="0063409C" w:rsidRPr="0063409C" w:rsidRDefault="0063409C" w:rsidP="0063409C">
      <w:pPr>
        <w:spacing w:after="0" w:line="360" w:lineRule="auto"/>
        <w:jc w:val="both"/>
        <w:rPr>
          <w:rFonts w:ascii="Arial" w:eastAsia="Times New Roman" w:hAnsi="Arial" w:cs="Arial"/>
          <w:b/>
        </w:rPr>
      </w:pPr>
    </w:p>
    <w:p w14:paraId="55859A9F" w14:textId="77777777" w:rsidR="0063409C" w:rsidRPr="0063409C" w:rsidRDefault="0063409C" w:rsidP="0063409C">
      <w:pPr>
        <w:spacing w:after="0" w:line="360" w:lineRule="auto"/>
        <w:jc w:val="both"/>
        <w:rPr>
          <w:rFonts w:ascii="Arial" w:eastAsia="Times New Roman" w:hAnsi="Arial" w:cs="Arial"/>
          <w:b/>
        </w:rPr>
      </w:pPr>
    </w:p>
    <w:p w14:paraId="265D77E8" w14:textId="77777777" w:rsidR="0063409C" w:rsidRPr="0063409C" w:rsidRDefault="007A0337" w:rsidP="0063409C">
      <w:pPr>
        <w:spacing w:line="360" w:lineRule="auto"/>
        <w:jc w:val="center"/>
        <w:rPr>
          <w:rFonts w:ascii="Arial" w:eastAsia="Times New Roman" w:hAnsi="Arial" w:cs="Arial"/>
          <w:b/>
        </w:rPr>
      </w:pPr>
      <w:r w:rsidRPr="0063409C">
        <w:rPr>
          <w:rFonts w:ascii="Arial" w:eastAsia="Times New Roman" w:hAnsi="Arial" w:cs="Arial"/>
          <w:b/>
        </w:rPr>
        <w:br w:type="page"/>
      </w:r>
      <w:r w:rsidRPr="0063409C">
        <w:rPr>
          <w:rFonts w:ascii="Arial" w:eastAsia="Times New Roman" w:hAnsi="Arial" w:cs="Arial"/>
          <w:b/>
        </w:rPr>
        <w:lastRenderedPageBreak/>
        <w:t xml:space="preserve">The Importance and Significance of Safeguarding Policies and Procedures in the </w:t>
      </w:r>
    </w:p>
    <w:p w14:paraId="6ACDC569" w14:textId="77777777" w:rsidR="005F061B" w:rsidRPr="005F061B" w:rsidRDefault="007A0337" w:rsidP="0063409C">
      <w:pPr>
        <w:spacing w:line="360" w:lineRule="auto"/>
        <w:rPr>
          <w:rFonts w:ascii="Arial" w:eastAsia="Times New Roman" w:hAnsi="Arial" w:cs="Arial"/>
          <w:b/>
        </w:rPr>
      </w:pPr>
      <w:r w:rsidRPr="0063409C">
        <w:rPr>
          <w:rFonts w:ascii="Arial" w:eastAsia="Times New Roman" w:hAnsi="Arial" w:cs="Arial"/>
          <w:b/>
        </w:rPr>
        <w:t>Introduction</w:t>
      </w:r>
    </w:p>
    <w:p w14:paraId="731B4DF2" w14:textId="77777777" w:rsidR="005F061B" w:rsidRPr="005F061B" w:rsidRDefault="00B32A30" w:rsidP="0063409C">
      <w:pPr>
        <w:spacing w:after="0" w:line="360" w:lineRule="auto"/>
        <w:ind w:firstLine="360"/>
        <w:jc w:val="both"/>
        <w:rPr>
          <w:rFonts w:ascii="Arial" w:eastAsia="Times New Roman" w:hAnsi="Arial" w:cs="Arial"/>
        </w:rPr>
      </w:pPr>
      <w:r w:rsidRPr="0063409C">
        <w:rPr>
          <w:rFonts w:ascii="Arial" w:eastAsia="Times New Roman" w:hAnsi="Arial" w:cs="Arial"/>
        </w:rPr>
        <w:t xml:space="preserve">Following </w:t>
      </w:r>
      <w:proofErr w:type="spellStart"/>
      <w:r w:rsidRPr="0063409C">
        <w:rPr>
          <w:rFonts w:ascii="Arial" w:hAnsi="Arial" w:cs="Arial"/>
          <w:shd w:val="clear" w:color="auto" w:fill="FFFFFF"/>
        </w:rPr>
        <w:t>Malgieri</w:t>
      </w:r>
      <w:proofErr w:type="spellEnd"/>
      <w:r w:rsidRPr="0063409C">
        <w:rPr>
          <w:rFonts w:ascii="Arial" w:hAnsi="Arial" w:cs="Arial"/>
          <w:shd w:val="clear" w:color="auto" w:fill="FFFFFF"/>
        </w:rPr>
        <w:t xml:space="preserve"> (2019), </w:t>
      </w:r>
      <w:r w:rsidRPr="0063409C">
        <w:rPr>
          <w:rFonts w:ascii="Arial" w:eastAsia="Times New Roman" w:hAnsi="Arial" w:cs="Arial"/>
        </w:rPr>
        <w:t>s</w:t>
      </w:r>
      <w:r w:rsidR="005F061B" w:rsidRPr="005F061B">
        <w:rPr>
          <w:rFonts w:ascii="Arial" w:eastAsia="Times New Roman" w:hAnsi="Arial" w:cs="Arial"/>
        </w:rPr>
        <w:t>afeguarding policies and procedures are critical in ensuring the protection and well-being of vulnerable people in the UK. These rules are intended to avoid injury, abuse, and exploitation, and they provide a framework for organizations and individuals to identify and address safeguarding concerns effectively</w:t>
      </w:r>
      <w:r w:rsidRPr="0063409C">
        <w:rPr>
          <w:rFonts w:ascii="Arial" w:eastAsia="Times New Roman" w:hAnsi="Arial" w:cs="Arial"/>
        </w:rPr>
        <w:t xml:space="preserve"> (</w:t>
      </w:r>
      <w:r w:rsidRPr="0063409C">
        <w:rPr>
          <w:rFonts w:ascii="Arial" w:hAnsi="Arial" w:cs="Arial"/>
          <w:shd w:val="clear" w:color="auto" w:fill="FFFFFF"/>
        </w:rPr>
        <w:t>Firmin, 2020)</w:t>
      </w:r>
      <w:r w:rsidR="005F061B" w:rsidRPr="005F061B">
        <w:rPr>
          <w:rFonts w:ascii="Arial" w:eastAsia="Times New Roman" w:hAnsi="Arial" w:cs="Arial"/>
        </w:rPr>
        <w:t>. Safeguarding cannot be emphasized, as it is critical to promoting the well-being and rights of children, at-risk adults, and other vulnerable populations. Safeguarding policies contribute to creating safe environments in various settings, including schools, healthcare settings, community centers, and social care institutions. They provide</w:t>
      </w:r>
    </w:p>
    <w:p w14:paraId="798A200A" w14:textId="77777777" w:rsidR="005F061B" w:rsidRPr="005F061B" w:rsidRDefault="007A0337" w:rsidP="0063409C">
      <w:pPr>
        <w:numPr>
          <w:ilvl w:val="0"/>
          <w:numId w:val="1"/>
        </w:numPr>
        <w:spacing w:after="0" w:line="360" w:lineRule="auto"/>
        <w:jc w:val="both"/>
        <w:rPr>
          <w:rFonts w:ascii="Arial" w:eastAsia="Times New Roman" w:hAnsi="Arial" w:cs="Arial"/>
        </w:rPr>
      </w:pPr>
      <w:r w:rsidRPr="0063409C">
        <w:rPr>
          <w:rFonts w:ascii="Arial" w:eastAsia="Times New Roman" w:hAnsi="Arial" w:cs="Arial"/>
        </w:rPr>
        <w:t>C</w:t>
      </w:r>
      <w:r w:rsidR="005F061B" w:rsidRPr="005F061B">
        <w:rPr>
          <w:rFonts w:ascii="Arial" w:eastAsia="Times New Roman" w:hAnsi="Arial" w:cs="Arial"/>
        </w:rPr>
        <w:t>lear rules for recognizing indicators of abuse or neglect,</w:t>
      </w:r>
    </w:p>
    <w:p w14:paraId="42FC2BD3" w14:textId="77777777" w:rsidR="005F061B" w:rsidRPr="005F061B" w:rsidRDefault="007A0337" w:rsidP="0063409C">
      <w:pPr>
        <w:numPr>
          <w:ilvl w:val="0"/>
          <w:numId w:val="1"/>
        </w:numPr>
        <w:spacing w:after="0" w:line="360" w:lineRule="auto"/>
        <w:jc w:val="both"/>
        <w:rPr>
          <w:rFonts w:ascii="Arial" w:eastAsia="Times New Roman" w:hAnsi="Arial" w:cs="Arial"/>
        </w:rPr>
      </w:pPr>
      <w:r w:rsidRPr="0063409C">
        <w:rPr>
          <w:rFonts w:ascii="Arial" w:eastAsia="Times New Roman" w:hAnsi="Arial" w:cs="Arial"/>
        </w:rPr>
        <w:t>R</w:t>
      </w:r>
      <w:r w:rsidR="005F061B" w:rsidRPr="005F061B">
        <w:rPr>
          <w:rFonts w:ascii="Arial" w:eastAsia="Times New Roman" w:hAnsi="Arial" w:cs="Arial"/>
        </w:rPr>
        <w:t>eporting concerns, and</w:t>
      </w:r>
    </w:p>
    <w:p w14:paraId="5F2A11CC" w14:textId="77777777" w:rsidR="005F061B" w:rsidRPr="005F061B" w:rsidRDefault="007A0337" w:rsidP="0063409C">
      <w:pPr>
        <w:numPr>
          <w:ilvl w:val="0"/>
          <w:numId w:val="1"/>
        </w:numPr>
        <w:spacing w:after="0" w:line="360" w:lineRule="auto"/>
        <w:jc w:val="both"/>
        <w:rPr>
          <w:rFonts w:ascii="Arial" w:eastAsia="Times New Roman" w:hAnsi="Arial" w:cs="Arial"/>
        </w:rPr>
      </w:pPr>
      <w:r w:rsidRPr="0063409C">
        <w:rPr>
          <w:rFonts w:ascii="Arial" w:eastAsia="Times New Roman" w:hAnsi="Arial" w:cs="Arial"/>
        </w:rPr>
        <w:t>Taking</w:t>
      </w:r>
      <w:r w:rsidR="005F061B" w:rsidRPr="005F061B">
        <w:rPr>
          <w:rFonts w:ascii="Arial" w:eastAsia="Times New Roman" w:hAnsi="Arial" w:cs="Arial"/>
        </w:rPr>
        <w:t xml:space="preserve"> the required steps to safeguard people at risk.</w:t>
      </w:r>
    </w:p>
    <w:p w14:paraId="6BF99846" w14:textId="77777777" w:rsidR="005F061B" w:rsidRPr="005F061B" w:rsidRDefault="005F061B" w:rsidP="0063409C">
      <w:pPr>
        <w:spacing w:after="0" w:line="360" w:lineRule="auto"/>
        <w:ind w:firstLine="360"/>
        <w:jc w:val="both"/>
        <w:rPr>
          <w:rFonts w:ascii="Arial" w:eastAsia="Times New Roman" w:hAnsi="Arial" w:cs="Arial"/>
        </w:rPr>
      </w:pPr>
      <w:r w:rsidRPr="005F061B">
        <w:rPr>
          <w:rFonts w:ascii="Arial" w:eastAsia="Times New Roman" w:hAnsi="Arial" w:cs="Arial"/>
        </w:rPr>
        <w:t>The sexual exploitation scandal involving BBC presenter Jimmy Savile was one high-profile safeguarding instance that shook the UK in recent years. Savile was a well-known figure who used his celebrity to exploit vulnerable people, including children, for decades. This case highlighted severe flaws in the BBC and other organizations, allowing Savile to continue his abusive actions unabated</w:t>
      </w:r>
      <w:r w:rsidR="00B32A30" w:rsidRPr="0063409C">
        <w:rPr>
          <w:rFonts w:ascii="Arial" w:eastAsia="Times New Roman" w:hAnsi="Arial" w:cs="Arial"/>
        </w:rPr>
        <w:t xml:space="preserve"> (</w:t>
      </w:r>
      <w:r w:rsidR="00B32A30" w:rsidRPr="0063409C">
        <w:rPr>
          <w:rFonts w:ascii="Arial" w:hAnsi="Arial" w:cs="Arial"/>
          <w:shd w:val="clear" w:color="auto" w:fill="FFFFFF"/>
        </w:rPr>
        <w:t>Firmin, 2020)</w:t>
      </w:r>
      <w:r w:rsidRPr="005F061B">
        <w:rPr>
          <w:rFonts w:ascii="Arial" w:eastAsia="Times New Roman" w:hAnsi="Arial" w:cs="Arial"/>
        </w:rPr>
        <w:t>. It prompted significant investigations, revisions in safeguarding protocols, and rethinking how institutions handle abuse complaints.</w:t>
      </w:r>
    </w:p>
    <w:p w14:paraId="6153951D" w14:textId="77777777" w:rsidR="005F061B" w:rsidRPr="005F061B" w:rsidRDefault="005F061B" w:rsidP="0063409C">
      <w:pPr>
        <w:spacing w:after="0" w:line="360" w:lineRule="auto"/>
        <w:jc w:val="both"/>
        <w:rPr>
          <w:rFonts w:ascii="Arial" w:eastAsia="Times New Roman" w:hAnsi="Arial" w:cs="Arial"/>
        </w:rPr>
      </w:pPr>
      <w:r w:rsidRPr="005F061B">
        <w:rPr>
          <w:rFonts w:ascii="Arial" w:eastAsia="Times New Roman" w:hAnsi="Arial" w:cs="Arial"/>
        </w:rPr>
        <w:t xml:space="preserve">Another significant case was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South Yorkshire, grooming and </w:t>
      </w:r>
      <w:r w:rsidR="003558DC">
        <w:rPr>
          <w:rFonts w:ascii="Arial" w:eastAsia="Times New Roman" w:hAnsi="Arial" w:cs="Arial"/>
        </w:rPr>
        <w:t xml:space="preserve">the </w:t>
      </w:r>
      <w:r w:rsidRPr="005F061B">
        <w:rPr>
          <w:rFonts w:ascii="Arial" w:eastAsia="Times New Roman" w:hAnsi="Arial" w:cs="Arial"/>
        </w:rPr>
        <w:t xml:space="preserve">sexual abuse scandal. In almost 16 years, almost 1,400 children were subjected to systematic abuse and exploitation. The case exposed major failings among local governments and social agencies, which failed to address the problem quickly despite multiple reports and warnings.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sparked a national debate about the importance of safeguarding and the necessity for robust processes to protect vulnerable people</w:t>
      </w:r>
      <w:r w:rsidR="007A0337" w:rsidRPr="0063409C">
        <w:rPr>
          <w:rFonts w:ascii="Arial" w:eastAsia="Times New Roman" w:hAnsi="Arial" w:cs="Arial"/>
        </w:rPr>
        <w:t xml:space="preserve"> (</w:t>
      </w:r>
      <w:r w:rsidR="007A0337" w:rsidRPr="0063409C">
        <w:rPr>
          <w:rFonts w:ascii="Arial" w:hAnsi="Arial" w:cs="Arial"/>
          <w:shd w:val="clear" w:color="auto" w:fill="FFFFFF"/>
        </w:rPr>
        <w:t>Gamage et al., 2020)</w:t>
      </w:r>
      <w:r w:rsidRPr="005F061B">
        <w:rPr>
          <w:rFonts w:ascii="Arial" w:eastAsia="Times New Roman" w:hAnsi="Arial" w:cs="Arial"/>
        </w:rPr>
        <w:t>. These high-profile incidents are a sharp reminder of the importance of safeguarding rules and procedures in the United Kingdom. They demonstrate the disastrous repercussions of failing to proactively protect vulnerable individuals and underscore the importance of ongoing monitoring and improvements in safeguarding methods.</w:t>
      </w:r>
    </w:p>
    <w:p w14:paraId="5E8C51B9" w14:textId="77777777" w:rsidR="005F061B" w:rsidRPr="005F061B" w:rsidRDefault="003558DC" w:rsidP="0063409C">
      <w:pPr>
        <w:spacing w:after="0" w:line="360" w:lineRule="auto"/>
        <w:jc w:val="both"/>
        <w:rPr>
          <w:rFonts w:ascii="Arial" w:eastAsia="Times New Roman" w:hAnsi="Arial" w:cs="Arial"/>
          <w:b/>
        </w:rPr>
      </w:pPr>
      <w:r>
        <w:rPr>
          <w:rFonts w:ascii="Arial" w:eastAsia="Times New Roman" w:hAnsi="Arial" w:cs="Arial"/>
          <w:b/>
        </w:rPr>
        <w:t xml:space="preserve">The </w:t>
      </w:r>
      <w:r w:rsidR="005F061B" w:rsidRPr="005F061B">
        <w:rPr>
          <w:rFonts w:ascii="Arial" w:eastAsia="Times New Roman" w:hAnsi="Arial" w:cs="Arial"/>
          <w:b/>
        </w:rPr>
        <w:t>Importance of Safeg</w:t>
      </w:r>
      <w:r w:rsidR="007A0337" w:rsidRPr="0063409C">
        <w:rPr>
          <w:rFonts w:ascii="Arial" w:eastAsia="Times New Roman" w:hAnsi="Arial" w:cs="Arial"/>
          <w:b/>
        </w:rPr>
        <w:t>uarding Policies and Procedures</w:t>
      </w:r>
    </w:p>
    <w:p w14:paraId="48281E64"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Safeguarding policies and procedures are critical in safeguarding the well-being and safety of persons, particularly susceptible groups such as offspring, young folks, and adults at </w:t>
      </w:r>
      <w:r w:rsidRPr="005F061B">
        <w:rPr>
          <w:rFonts w:ascii="Arial" w:eastAsia="Times New Roman" w:hAnsi="Arial" w:cs="Arial"/>
        </w:rPr>
        <w:lastRenderedPageBreak/>
        <w:t>risk</w:t>
      </w:r>
      <w:r w:rsidR="00B32A30" w:rsidRPr="0063409C">
        <w:rPr>
          <w:rFonts w:ascii="Arial" w:eastAsia="Times New Roman" w:hAnsi="Arial" w:cs="Arial"/>
        </w:rPr>
        <w:t xml:space="preserve"> (</w:t>
      </w:r>
      <w:proofErr w:type="spellStart"/>
      <w:r w:rsidR="00B32A30" w:rsidRPr="0063409C">
        <w:rPr>
          <w:rFonts w:ascii="Arial" w:hAnsi="Arial" w:cs="Arial"/>
          <w:shd w:val="clear" w:color="auto" w:fill="FFFFFF"/>
        </w:rPr>
        <w:t>Malgieri</w:t>
      </w:r>
      <w:proofErr w:type="spellEnd"/>
      <w:r w:rsidR="00B32A30" w:rsidRPr="0063409C">
        <w:rPr>
          <w:rFonts w:ascii="Arial" w:hAnsi="Arial" w:cs="Arial"/>
          <w:shd w:val="clear" w:color="auto" w:fill="FFFFFF"/>
        </w:rPr>
        <w:t>, 2019)</w:t>
      </w:r>
      <w:r w:rsidRPr="005F061B">
        <w:rPr>
          <w:rFonts w:ascii="Arial" w:eastAsia="Times New Roman" w:hAnsi="Arial" w:cs="Arial"/>
        </w:rPr>
        <w:t>. These policies and procedures set rules and methods to prevent harm, detect and handle hazards or threats, and safeguard individuals from abuse or neglect.</w:t>
      </w:r>
    </w:p>
    <w:p w14:paraId="4622C9A7" w14:textId="77777777" w:rsidR="005F061B" w:rsidRPr="003558DC" w:rsidRDefault="003558DC" w:rsidP="0063409C">
      <w:pPr>
        <w:spacing w:after="0" w:line="360" w:lineRule="auto"/>
        <w:jc w:val="both"/>
        <w:rPr>
          <w:rFonts w:ascii="Arial" w:eastAsia="Times New Roman" w:hAnsi="Arial" w:cs="Arial"/>
          <w:b/>
        </w:rPr>
      </w:pPr>
      <w:r w:rsidRPr="003558DC">
        <w:rPr>
          <w:rFonts w:ascii="Arial" w:eastAsia="Times New Roman" w:hAnsi="Arial" w:cs="Arial"/>
          <w:b/>
        </w:rPr>
        <w:t xml:space="preserve">The </w:t>
      </w:r>
      <w:r w:rsidR="005F061B" w:rsidRPr="003558DC">
        <w:rPr>
          <w:rFonts w:ascii="Arial" w:eastAsia="Times New Roman" w:hAnsi="Arial" w:cs="Arial"/>
          <w:b/>
        </w:rPr>
        <w:t>Importance in Promoting a Safe Environment</w:t>
      </w:r>
    </w:p>
    <w:p w14:paraId="3F9EF804"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The function of safeguarding rules and measures in ensuring a safe environment is one of the primary reasons for its importance. These principles give a framework for businesses, institutions, and communities to use to foster an environment where individuals can grow and feel safe</w:t>
      </w:r>
      <w:r w:rsidR="00B32A30" w:rsidRPr="0063409C">
        <w:rPr>
          <w:rFonts w:ascii="Arial" w:eastAsia="Times New Roman" w:hAnsi="Arial" w:cs="Arial"/>
        </w:rPr>
        <w:t xml:space="preserve"> (</w:t>
      </w:r>
      <w:r w:rsidR="00B32A30" w:rsidRPr="0063409C">
        <w:rPr>
          <w:rFonts w:ascii="Arial" w:hAnsi="Arial" w:cs="Arial"/>
          <w:shd w:val="clear" w:color="auto" w:fill="FFFFFF"/>
        </w:rPr>
        <w:t>Skinner et al., 2021)</w:t>
      </w:r>
      <w:r w:rsidRPr="005F061B">
        <w:rPr>
          <w:rFonts w:ascii="Arial" w:eastAsia="Times New Roman" w:hAnsi="Arial" w:cs="Arial"/>
        </w:rPr>
        <w:t xml:space="preserve">. Physical and emotional safety can be ensured by employing safeguarding prevention and response methods. Safeguarding policies and procedures aid in identifying potential risks and hazards and outlining </w:t>
      </w:r>
      <w:r w:rsidR="003558DC">
        <w:rPr>
          <w:rFonts w:ascii="Arial" w:eastAsia="Times New Roman" w:hAnsi="Arial" w:cs="Arial"/>
        </w:rPr>
        <w:t xml:space="preserve">the </w:t>
      </w:r>
      <w:r w:rsidRPr="005F061B">
        <w:rPr>
          <w:rFonts w:ascii="Arial" w:eastAsia="Times New Roman" w:hAnsi="Arial" w:cs="Arial"/>
        </w:rPr>
        <w:t xml:space="preserve">necessary steps to take to mitigate them. These safeguards include </w:t>
      </w:r>
      <w:r w:rsidR="003558DC">
        <w:rPr>
          <w:rFonts w:ascii="Arial" w:eastAsia="Times New Roman" w:hAnsi="Arial" w:cs="Arial"/>
        </w:rPr>
        <w:t>staff</w:t>
      </w:r>
      <w:r w:rsidRPr="005F061B">
        <w:rPr>
          <w:rFonts w:ascii="Arial" w:eastAsia="Times New Roman" w:hAnsi="Arial" w:cs="Arial"/>
        </w:rPr>
        <w:t xml:space="preserve"> recruitment and training, clear standards of behaviour, risk assessments, and establishing reporting channels. Organizations can mitigate risks and establish an atmosphere that protects the dignity and well-being of all those engaged by taking these activities.</w:t>
      </w:r>
    </w:p>
    <w:p w14:paraId="509D7DF4"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Furthermore, safeguarding policies and procedures foster an environment where people can actively participate in their safety. Individuals' sense of empowerment is increased when they are involved in the development and execution of these policies</w:t>
      </w:r>
      <w:r w:rsidR="00B32A30" w:rsidRPr="0063409C">
        <w:rPr>
          <w:rFonts w:ascii="Arial" w:eastAsia="Times New Roman" w:hAnsi="Arial" w:cs="Arial"/>
        </w:rPr>
        <w:t xml:space="preserve"> (</w:t>
      </w:r>
      <w:r w:rsidR="00B32A30" w:rsidRPr="0063409C">
        <w:rPr>
          <w:rFonts w:ascii="Arial" w:hAnsi="Arial" w:cs="Arial"/>
          <w:shd w:val="clear" w:color="auto" w:fill="FFFFFF"/>
        </w:rPr>
        <w:t>Power et al., 2020)</w:t>
      </w:r>
      <w:r w:rsidRPr="005F061B">
        <w:rPr>
          <w:rFonts w:ascii="Arial" w:eastAsia="Times New Roman" w:hAnsi="Arial" w:cs="Arial"/>
        </w:rPr>
        <w:t>. This collaborative approach promotes trust, communication, and awareness within the community or organization, resulting in a safer environment.</w:t>
      </w:r>
    </w:p>
    <w:p w14:paraId="44F5E4F0" w14:textId="77777777" w:rsidR="005F061B" w:rsidRPr="005F061B" w:rsidRDefault="003558DC" w:rsidP="0063409C">
      <w:pPr>
        <w:spacing w:after="0" w:line="360" w:lineRule="auto"/>
        <w:jc w:val="both"/>
        <w:rPr>
          <w:rFonts w:ascii="Arial" w:eastAsia="Times New Roman" w:hAnsi="Arial" w:cs="Arial"/>
          <w:b/>
        </w:rPr>
      </w:pPr>
      <w:r>
        <w:rPr>
          <w:rFonts w:ascii="Arial" w:eastAsia="Times New Roman" w:hAnsi="Arial" w:cs="Arial"/>
          <w:b/>
        </w:rPr>
        <w:t xml:space="preserve">The </w:t>
      </w:r>
      <w:r w:rsidR="005F061B" w:rsidRPr="005F061B">
        <w:rPr>
          <w:rFonts w:ascii="Arial" w:eastAsia="Times New Roman" w:hAnsi="Arial" w:cs="Arial"/>
          <w:b/>
        </w:rPr>
        <w:t>Importance in Building Trust</w:t>
      </w:r>
    </w:p>
    <w:p w14:paraId="285CA939"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Individuals, families, and communities can all benefit from safeguarding policies and procedures. These steps reassure individuals that the organization or institution in charge of their care places their safety and well-being first. </w:t>
      </w:r>
      <w:r w:rsidR="00B32A30" w:rsidRPr="0063409C">
        <w:rPr>
          <w:rFonts w:ascii="Arial" w:eastAsia="Times New Roman" w:hAnsi="Arial" w:cs="Arial"/>
        </w:rPr>
        <w:t xml:space="preserve">According to </w:t>
      </w:r>
      <w:r w:rsidR="00B32A30" w:rsidRPr="0063409C">
        <w:rPr>
          <w:rFonts w:ascii="Arial" w:hAnsi="Arial" w:cs="Arial"/>
          <w:shd w:val="clear" w:color="auto" w:fill="FFFFFF"/>
        </w:rPr>
        <w:t>Busher</w:t>
      </w:r>
      <w:r w:rsidR="00B32A30" w:rsidRPr="0063409C">
        <w:rPr>
          <w:rFonts w:ascii="Arial" w:eastAsia="Times New Roman" w:hAnsi="Arial" w:cs="Arial"/>
        </w:rPr>
        <w:t xml:space="preserve"> et al. (2019), w</w:t>
      </w:r>
      <w:r w:rsidRPr="005F061B">
        <w:rPr>
          <w:rFonts w:ascii="Arial" w:eastAsia="Times New Roman" w:hAnsi="Arial" w:cs="Arial"/>
        </w:rPr>
        <w:t>hen people feel safe and secure that their interests are being safeguarded, trust grows, which leads to healthier relationships and general well-being.</w:t>
      </w:r>
    </w:p>
    <w:p w14:paraId="05D4C7FA" w14:textId="77777777" w:rsidR="005F061B" w:rsidRPr="005F061B" w:rsidRDefault="005F061B" w:rsidP="0063409C">
      <w:pPr>
        <w:spacing w:after="0" w:line="360" w:lineRule="auto"/>
        <w:jc w:val="both"/>
        <w:rPr>
          <w:rFonts w:ascii="Arial" w:eastAsia="Times New Roman" w:hAnsi="Arial" w:cs="Arial"/>
        </w:rPr>
      </w:pPr>
      <w:r w:rsidRPr="005F061B">
        <w:rPr>
          <w:rFonts w:ascii="Arial" w:eastAsia="Times New Roman" w:hAnsi="Arial" w:cs="Arial"/>
        </w:rPr>
        <w:t>Furthermore, safeguarding policies and procedures define clear boundaries and norms for appropriate behaviour, addressing any power imbalances or abuses of authority. Organizations demonstrate their dedication to fairness, accountability, and justice by maintaining strong safeguards</w:t>
      </w:r>
      <w:r w:rsidR="009B2C43" w:rsidRPr="0063409C">
        <w:rPr>
          <w:rFonts w:ascii="Arial" w:eastAsia="Times New Roman" w:hAnsi="Arial" w:cs="Arial"/>
        </w:rPr>
        <w:t xml:space="preserve"> (</w:t>
      </w:r>
      <w:r w:rsidR="009B2C43" w:rsidRPr="0063409C">
        <w:rPr>
          <w:rFonts w:ascii="Arial" w:hAnsi="Arial" w:cs="Arial"/>
          <w:shd w:val="clear" w:color="auto" w:fill="FFFFFF"/>
        </w:rPr>
        <w:t>Kerr et al., 2020)</w:t>
      </w:r>
      <w:r w:rsidRPr="005F061B">
        <w:rPr>
          <w:rFonts w:ascii="Arial" w:eastAsia="Times New Roman" w:hAnsi="Arial" w:cs="Arial"/>
        </w:rPr>
        <w:t>. This dedication builds trust among individuals and victims who may be hesitant to disclose acts of abuse or neglect, encouraging them to come forward and seek aid and support.</w:t>
      </w:r>
    </w:p>
    <w:p w14:paraId="4F08743F" w14:textId="77777777" w:rsidR="005F061B" w:rsidRPr="005F061B" w:rsidRDefault="003558DC" w:rsidP="0063409C">
      <w:pPr>
        <w:spacing w:after="0" w:line="360" w:lineRule="auto"/>
        <w:jc w:val="both"/>
        <w:rPr>
          <w:rFonts w:ascii="Arial" w:eastAsia="Times New Roman" w:hAnsi="Arial" w:cs="Arial"/>
          <w:b/>
        </w:rPr>
      </w:pPr>
      <w:r>
        <w:rPr>
          <w:rFonts w:ascii="Arial" w:eastAsia="Times New Roman" w:hAnsi="Arial" w:cs="Arial"/>
          <w:b/>
        </w:rPr>
        <w:t xml:space="preserve">The </w:t>
      </w:r>
      <w:r w:rsidR="005F061B" w:rsidRPr="005F061B">
        <w:rPr>
          <w:rFonts w:ascii="Arial" w:eastAsia="Times New Roman" w:hAnsi="Arial" w:cs="Arial"/>
          <w:b/>
        </w:rPr>
        <w:t>Importance in Providing Support</w:t>
      </w:r>
    </w:p>
    <w:p w14:paraId="12607818"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Individuals who have suffered abuse, neglect, or exploitation benefit from safeguarding policies and procedures. These frameworks ensure that the necessary steps are taken to resolve such cases promptly, effectively, and humanely. They outline how to identify indicators of abuse, </w:t>
      </w:r>
      <w:r w:rsidRPr="005F061B">
        <w:rPr>
          <w:rFonts w:ascii="Arial" w:eastAsia="Times New Roman" w:hAnsi="Arial" w:cs="Arial"/>
        </w:rPr>
        <w:lastRenderedPageBreak/>
        <w:t>respond effectively, and offer appropriate support options.</w:t>
      </w:r>
      <w:r w:rsidR="007A0337" w:rsidRPr="0063409C">
        <w:rPr>
          <w:rFonts w:ascii="Arial" w:eastAsia="Times New Roman" w:hAnsi="Arial" w:cs="Arial"/>
        </w:rPr>
        <w:t xml:space="preserve"> </w:t>
      </w:r>
      <w:r w:rsidR="00B32A30" w:rsidRPr="0063409C">
        <w:rPr>
          <w:rFonts w:ascii="Arial" w:eastAsia="Times New Roman" w:hAnsi="Arial" w:cs="Arial"/>
        </w:rPr>
        <w:t xml:space="preserve">According to </w:t>
      </w:r>
      <w:proofErr w:type="spellStart"/>
      <w:r w:rsidR="00B32A30" w:rsidRPr="0063409C">
        <w:rPr>
          <w:rFonts w:ascii="Arial" w:hAnsi="Arial" w:cs="Arial"/>
          <w:shd w:val="clear" w:color="auto" w:fill="FFFFFF"/>
        </w:rPr>
        <w:t>Bonazza</w:t>
      </w:r>
      <w:proofErr w:type="spellEnd"/>
      <w:r w:rsidR="00B32A30" w:rsidRPr="0063409C">
        <w:rPr>
          <w:rFonts w:ascii="Arial" w:hAnsi="Arial" w:cs="Arial"/>
          <w:shd w:val="clear" w:color="auto" w:fill="FFFFFF"/>
        </w:rPr>
        <w:t xml:space="preserve"> et al. (2021),</w:t>
      </w:r>
      <w:r w:rsidRPr="005F061B">
        <w:rPr>
          <w:rFonts w:ascii="Arial" w:eastAsia="Times New Roman" w:hAnsi="Arial" w:cs="Arial"/>
        </w:rPr>
        <w:t xml:space="preserve"> safeguarding policies and procedures offer clear reporting paths and protocols to assist whistleblowers or concerned individuals who feel obligated to expose safeguarding problems. These channels protect those who express their concerns by ensuring they are heard and taken seriously. After that, prompt and appropriate action is taken to resolve the situation, protect the welfare of those affected, and prevent additional harm.</w:t>
      </w:r>
    </w:p>
    <w:p w14:paraId="19EBF714"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Furthermore, safeguarding policies and procedures emphasize the significance of continual training and support for staff employees in order for them to accurately detect, respond to, and report cases</w:t>
      </w:r>
      <w:r w:rsidR="00B32A30" w:rsidRPr="0063409C">
        <w:rPr>
          <w:rFonts w:ascii="Arial" w:eastAsia="Times New Roman" w:hAnsi="Arial" w:cs="Arial"/>
        </w:rPr>
        <w:t xml:space="preserve"> (</w:t>
      </w:r>
      <w:r w:rsidR="00B32A30" w:rsidRPr="0063409C">
        <w:rPr>
          <w:rFonts w:ascii="Arial" w:hAnsi="Arial" w:cs="Arial"/>
          <w:shd w:val="clear" w:color="auto" w:fill="FFFFFF"/>
        </w:rPr>
        <w:t>Busher et al., 2019)</w:t>
      </w:r>
      <w:r w:rsidRPr="005F061B">
        <w:rPr>
          <w:rFonts w:ascii="Arial" w:eastAsia="Times New Roman" w:hAnsi="Arial" w:cs="Arial"/>
        </w:rPr>
        <w:t>. Effective training provides personnel with the required skills, information, and confidence to help persons and ensure their safety and well-being effectively. Safeguarding is critical in maintaining the well-being and welfare of persons, particularly vulnerable populations such as children, young people, and at-risk adults</w:t>
      </w:r>
      <w:r w:rsidR="00B32A30" w:rsidRPr="0063409C">
        <w:rPr>
          <w:rFonts w:ascii="Arial" w:eastAsia="Times New Roman" w:hAnsi="Arial" w:cs="Arial"/>
        </w:rPr>
        <w:t xml:space="preserve"> (</w:t>
      </w:r>
      <w:proofErr w:type="spellStart"/>
      <w:r w:rsidR="00B32A30" w:rsidRPr="0063409C">
        <w:rPr>
          <w:rFonts w:ascii="Arial" w:hAnsi="Arial" w:cs="Arial"/>
          <w:shd w:val="clear" w:color="auto" w:fill="FFFFFF"/>
        </w:rPr>
        <w:t>Bonazza</w:t>
      </w:r>
      <w:proofErr w:type="spellEnd"/>
      <w:r w:rsidR="00B32A30" w:rsidRPr="0063409C">
        <w:rPr>
          <w:rFonts w:ascii="Arial" w:hAnsi="Arial" w:cs="Arial"/>
          <w:shd w:val="clear" w:color="auto" w:fill="FFFFFF"/>
        </w:rPr>
        <w:t xml:space="preserve"> et al., 2021)</w:t>
      </w:r>
      <w:r w:rsidRPr="005F061B">
        <w:rPr>
          <w:rFonts w:ascii="Arial" w:eastAsia="Times New Roman" w:hAnsi="Arial" w:cs="Arial"/>
        </w:rPr>
        <w:t>. A safeguarding policy sets standards and procedures to protect individuals from abuse, harm, or neglect. It includes several components: prevention, identification, reporting, intervention, and support. This essay will address the significance of safeguarding policies and procedures, concentrating on why they are critical for creating safe settings, supporting individual rights, and preventing abuse.</w:t>
      </w:r>
    </w:p>
    <w:p w14:paraId="0C728340" w14:textId="77777777" w:rsidR="005F061B" w:rsidRPr="005F061B" w:rsidRDefault="005F061B" w:rsidP="0063409C">
      <w:pPr>
        <w:spacing w:after="0" w:line="360" w:lineRule="auto"/>
        <w:jc w:val="both"/>
        <w:rPr>
          <w:rFonts w:ascii="Arial" w:eastAsia="Times New Roman" w:hAnsi="Arial" w:cs="Arial"/>
          <w:b/>
        </w:rPr>
      </w:pPr>
      <w:r w:rsidRPr="005F061B">
        <w:rPr>
          <w:rFonts w:ascii="Arial" w:eastAsia="Times New Roman" w:hAnsi="Arial" w:cs="Arial"/>
          <w:b/>
        </w:rPr>
        <w:t>Preventing Abuse and Neglect</w:t>
      </w:r>
    </w:p>
    <w:p w14:paraId="2021DE95"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Safeguarding policies and procedures are critical in preventing child abuse and neglect. They provide a framework for evaluating potential risks and vulnerabilities and mitigation solutions. In an educational context, for example, a safeguarding policy may contain staff recruitment and training rules</w:t>
      </w:r>
      <w:r w:rsidR="00B32A30" w:rsidRPr="0063409C">
        <w:rPr>
          <w:rFonts w:ascii="Arial" w:eastAsia="Times New Roman" w:hAnsi="Arial" w:cs="Arial"/>
        </w:rPr>
        <w:t xml:space="preserve"> (</w:t>
      </w:r>
      <w:r w:rsidR="00B32A30" w:rsidRPr="0063409C">
        <w:rPr>
          <w:rFonts w:ascii="Arial" w:hAnsi="Arial" w:cs="Arial"/>
          <w:shd w:val="clear" w:color="auto" w:fill="FFFFFF"/>
        </w:rPr>
        <w:t>Roberts et al., 2021)</w:t>
      </w:r>
      <w:r w:rsidRPr="005F061B">
        <w:rPr>
          <w:rFonts w:ascii="Arial" w:eastAsia="Times New Roman" w:hAnsi="Arial" w:cs="Arial"/>
        </w:rPr>
        <w:t xml:space="preserve">. Individuals with a history of abuse or </w:t>
      </w:r>
      <w:r w:rsidR="00FC51F4" w:rsidRPr="005F061B">
        <w:rPr>
          <w:rFonts w:ascii="Arial" w:eastAsia="Times New Roman" w:hAnsi="Arial" w:cs="Arial"/>
        </w:rPr>
        <w:t>misbehavior</w:t>
      </w:r>
      <w:r w:rsidRPr="005F061B">
        <w:rPr>
          <w:rFonts w:ascii="Arial" w:eastAsia="Times New Roman" w:hAnsi="Arial" w:cs="Arial"/>
        </w:rPr>
        <w:t xml:space="preserve"> should not be employed in jobs with access to vulnerable children. Similarly, hospital safeguarding policies may establish standards for properly administering medications or treatments, decreasing the chance of maltreatment or neglect. By implementing strong safeguarding practices, organizations can protect persons from abuse and lessen the probability of long-term bodily or psychological harm.</w:t>
      </w:r>
    </w:p>
    <w:p w14:paraId="4E64B3AC" w14:textId="77777777" w:rsidR="005F061B" w:rsidRPr="005F061B" w:rsidRDefault="005F061B" w:rsidP="0063409C">
      <w:pPr>
        <w:spacing w:after="0" w:line="360" w:lineRule="auto"/>
        <w:jc w:val="both"/>
        <w:rPr>
          <w:rFonts w:ascii="Arial" w:eastAsia="Times New Roman" w:hAnsi="Arial" w:cs="Arial"/>
          <w:b/>
        </w:rPr>
      </w:pPr>
      <w:r w:rsidRPr="005F061B">
        <w:rPr>
          <w:rFonts w:ascii="Arial" w:eastAsia="Times New Roman" w:hAnsi="Arial" w:cs="Arial"/>
          <w:b/>
        </w:rPr>
        <w:t>Promoting Rights and Well-being</w:t>
      </w:r>
    </w:p>
    <w:p w14:paraId="084DBA82"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Individual rights and well-being require safeguarding policies and procedures. They highlight the significance of protecting autonomy, privacy, and dignity and ensure that persons are actively involved in decision-making processes. Safeguarding policies frequently include guidelines on safeguarding in specific areas, such as child protection, domestic violence, or mental health. Policies and procedures addressing these specific challenges protect people's rights and ensure their safety, regardless of age, gender, ethnicity, or origin.</w:t>
      </w:r>
    </w:p>
    <w:p w14:paraId="28F8CBB8" w14:textId="77777777" w:rsidR="005F061B" w:rsidRPr="005F061B" w:rsidRDefault="005F061B" w:rsidP="0063409C">
      <w:pPr>
        <w:spacing w:after="0" w:line="360" w:lineRule="auto"/>
        <w:jc w:val="both"/>
        <w:rPr>
          <w:rFonts w:ascii="Arial" w:eastAsia="Times New Roman" w:hAnsi="Arial" w:cs="Arial"/>
          <w:b/>
        </w:rPr>
      </w:pPr>
      <w:r w:rsidRPr="005F061B">
        <w:rPr>
          <w:rFonts w:ascii="Arial" w:eastAsia="Times New Roman" w:hAnsi="Arial" w:cs="Arial"/>
          <w:b/>
        </w:rPr>
        <w:lastRenderedPageBreak/>
        <w:t>Early Identification and Intervention</w:t>
      </w:r>
    </w:p>
    <w:p w14:paraId="6BAC180D"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Identifying abuse or harm as soon as possible is critical to safeguard persons and prevent further harm. They are safeguarding policies and procedures put in place systems for detecting warning signs and indicators of abuse and instructions on how to respond correctly</w:t>
      </w:r>
      <w:r w:rsidR="009B2C43" w:rsidRPr="0063409C">
        <w:rPr>
          <w:rFonts w:ascii="Arial" w:eastAsia="Times New Roman" w:hAnsi="Arial" w:cs="Arial"/>
        </w:rPr>
        <w:t xml:space="preserve"> (</w:t>
      </w:r>
      <w:r w:rsidR="009B2C43" w:rsidRPr="0063409C">
        <w:rPr>
          <w:rFonts w:ascii="Arial" w:hAnsi="Arial" w:cs="Arial"/>
          <w:shd w:val="clear" w:color="auto" w:fill="FFFFFF"/>
        </w:rPr>
        <w:t>Kerr &amp; Stirling, 2019)</w:t>
      </w:r>
      <w:r w:rsidRPr="005F061B">
        <w:rPr>
          <w:rFonts w:ascii="Arial" w:eastAsia="Times New Roman" w:hAnsi="Arial" w:cs="Arial"/>
        </w:rPr>
        <w:t>. Clear reporting systems that describe the measures to be taken in suspected incidents of abuse or damage are part of this. With these systems in place, companies can guarantee that any concerns are reported and treated effectively, preventing the problem from growing and safeguarding the individuals involved.</w:t>
      </w:r>
    </w:p>
    <w:p w14:paraId="44238C21" w14:textId="77777777" w:rsidR="005F061B" w:rsidRPr="005F061B" w:rsidRDefault="005F061B" w:rsidP="0063409C">
      <w:pPr>
        <w:spacing w:after="0" w:line="360" w:lineRule="auto"/>
        <w:jc w:val="both"/>
        <w:rPr>
          <w:rFonts w:ascii="Arial" w:eastAsia="Times New Roman" w:hAnsi="Arial" w:cs="Arial"/>
          <w:b/>
        </w:rPr>
      </w:pPr>
      <w:r w:rsidRPr="005F061B">
        <w:rPr>
          <w:rFonts w:ascii="Arial" w:eastAsia="Times New Roman" w:hAnsi="Arial" w:cs="Arial"/>
          <w:b/>
        </w:rPr>
        <w:t>Training and Education</w:t>
      </w:r>
    </w:p>
    <w:p w14:paraId="22C3ACED"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Training and education for workers, volunteers, and related stakeholders is essential to safeguarding policies and procedures</w:t>
      </w:r>
      <w:r w:rsidR="009B2C43" w:rsidRPr="0063409C">
        <w:rPr>
          <w:rFonts w:ascii="Arial" w:eastAsia="Times New Roman" w:hAnsi="Arial" w:cs="Arial"/>
        </w:rPr>
        <w:t xml:space="preserve"> (</w:t>
      </w:r>
      <w:r w:rsidR="009B2C43" w:rsidRPr="0063409C">
        <w:rPr>
          <w:rFonts w:ascii="Arial" w:hAnsi="Arial" w:cs="Arial"/>
          <w:shd w:val="clear" w:color="auto" w:fill="FFFFFF"/>
        </w:rPr>
        <w:t>Kerr et al., 2020)</w:t>
      </w:r>
      <w:r w:rsidRPr="005F061B">
        <w:rPr>
          <w:rFonts w:ascii="Arial" w:eastAsia="Times New Roman" w:hAnsi="Arial" w:cs="Arial"/>
        </w:rPr>
        <w:t>. Individuals who receive training can notice indicators of abuse, understand their obligations, and respond appropriately. It provides students with the knowledge and skills they need to protect persons while emphasizing the necessity of professional boundaries and confidentiality. Organizations develop their safeguarding culture by investing in training and education, ensuring all staff members can fulfill their safeguarding responsibilities.</w:t>
      </w:r>
    </w:p>
    <w:p w14:paraId="47CDB8E5"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Safeguarding is an important part of keeping people safe, especially vulnerable people. Unfortunately, numerous high-profile safeguarding situations have exposed institutions' and individuals' failings to ensure the safety and well-being of those in their care</w:t>
      </w:r>
      <w:r w:rsidR="00B32A30" w:rsidRPr="0063409C">
        <w:rPr>
          <w:rFonts w:ascii="Arial" w:eastAsia="Times New Roman" w:hAnsi="Arial" w:cs="Arial"/>
        </w:rPr>
        <w:t xml:space="preserve"> (</w:t>
      </w:r>
      <w:r w:rsidR="00B32A30" w:rsidRPr="0063409C">
        <w:rPr>
          <w:rFonts w:ascii="Arial" w:hAnsi="Arial" w:cs="Arial"/>
          <w:shd w:val="clear" w:color="auto" w:fill="FFFFFF"/>
        </w:rPr>
        <w:t>Roberts et al., 2021)</w:t>
      </w:r>
      <w:r w:rsidRPr="005F061B">
        <w:rPr>
          <w:rFonts w:ascii="Arial" w:eastAsia="Times New Roman" w:hAnsi="Arial" w:cs="Arial"/>
        </w:rPr>
        <w:t xml:space="preserve">. The Jimmy Savile scandal and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child sexual exploitation case are two such incidents that have received international attention. These incidents show the importance of safeguarding, the repercussions of its failure, and the urgent need for reforms in safeguarding procedures and policy.</w:t>
      </w:r>
    </w:p>
    <w:p w14:paraId="3A3AF6E5" w14:textId="77777777" w:rsidR="005F061B" w:rsidRPr="005F061B" w:rsidRDefault="007A0337" w:rsidP="0063409C">
      <w:pPr>
        <w:spacing w:after="0" w:line="360" w:lineRule="auto"/>
        <w:jc w:val="both"/>
        <w:rPr>
          <w:rFonts w:ascii="Arial" w:eastAsia="Times New Roman" w:hAnsi="Arial" w:cs="Arial"/>
          <w:b/>
        </w:rPr>
      </w:pPr>
      <w:r w:rsidRPr="0063409C">
        <w:rPr>
          <w:rFonts w:ascii="Arial" w:eastAsia="Times New Roman" w:hAnsi="Arial" w:cs="Arial"/>
          <w:b/>
        </w:rPr>
        <w:t>Case 1: Jimmy Savile Scandal</w:t>
      </w:r>
    </w:p>
    <w:p w14:paraId="031E7088"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The Jimmy Savile scandal, which broke in 2012 after his death, exposed the prominent British television and radio personality's massive sexual abuse over several decades. Savile used his reputation to acquire access to vulnerable people, mainly children, in hospitals, care homes, and schools</w:t>
      </w:r>
      <w:r w:rsidR="00B32A30" w:rsidRPr="0063409C">
        <w:rPr>
          <w:rFonts w:ascii="Arial" w:eastAsia="Times New Roman" w:hAnsi="Arial" w:cs="Arial"/>
        </w:rPr>
        <w:t xml:space="preserve"> (</w:t>
      </w:r>
      <w:r w:rsidR="00B32A30" w:rsidRPr="0063409C">
        <w:rPr>
          <w:rFonts w:ascii="Arial" w:hAnsi="Arial" w:cs="Arial"/>
          <w:shd w:val="clear" w:color="auto" w:fill="FFFFFF"/>
        </w:rPr>
        <w:t>Roberts et al., 2021)</w:t>
      </w:r>
      <w:r w:rsidRPr="005F061B">
        <w:rPr>
          <w:rFonts w:ascii="Arial" w:eastAsia="Times New Roman" w:hAnsi="Arial" w:cs="Arial"/>
        </w:rPr>
        <w:t>. The magnitude of the abuse shocked the country and showed serious flaws in safeguarding protocols across many institutions.</w:t>
      </w:r>
    </w:p>
    <w:p w14:paraId="41CFD3DE" w14:textId="77777777" w:rsidR="005F061B" w:rsidRPr="005F061B" w:rsidRDefault="003558DC" w:rsidP="0063409C">
      <w:pPr>
        <w:spacing w:after="0" w:line="360" w:lineRule="auto"/>
        <w:jc w:val="both"/>
        <w:rPr>
          <w:rFonts w:ascii="Arial" w:eastAsia="Times New Roman" w:hAnsi="Arial" w:cs="Arial"/>
          <w:b/>
        </w:rPr>
      </w:pPr>
      <w:r>
        <w:rPr>
          <w:rFonts w:ascii="Arial" w:eastAsia="Times New Roman" w:hAnsi="Arial" w:cs="Arial"/>
          <w:b/>
        </w:rPr>
        <w:t xml:space="preserve">The </w:t>
      </w:r>
      <w:r w:rsidR="005F061B" w:rsidRPr="005F061B">
        <w:rPr>
          <w:rFonts w:ascii="Arial" w:eastAsia="Times New Roman" w:hAnsi="Arial" w:cs="Arial"/>
          <w:b/>
        </w:rPr>
        <w:t>Significa</w:t>
      </w:r>
      <w:r w:rsidR="007A0337" w:rsidRPr="0063409C">
        <w:rPr>
          <w:rFonts w:ascii="Arial" w:eastAsia="Times New Roman" w:hAnsi="Arial" w:cs="Arial"/>
          <w:b/>
        </w:rPr>
        <w:t>nce of the Jimmy Savile scandal</w:t>
      </w:r>
    </w:p>
    <w:p w14:paraId="5CFFC9E9"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The Jimmy Savile affair exposed a culture of secrecy and complicity surrounding sexual abuse in the United Kingdom. The significance of this controversy lay in the manner it exposed various institutional problems that had allowed Savile to abuse innumerable victims without being held accountable.</w:t>
      </w:r>
      <w:r w:rsidR="007A0337" w:rsidRPr="0063409C">
        <w:rPr>
          <w:rFonts w:ascii="Arial" w:eastAsia="Times New Roman" w:hAnsi="Arial" w:cs="Arial"/>
        </w:rPr>
        <w:t xml:space="preserve"> </w:t>
      </w:r>
      <w:r w:rsidRPr="005F061B">
        <w:rPr>
          <w:rFonts w:ascii="Arial" w:eastAsia="Times New Roman" w:hAnsi="Arial" w:cs="Arial"/>
        </w:rPr>
        <w:t>The scandal exposed a culture of silence and complicity throughout various institutions, including the BBC and the National Health Service (NHS). Savile was a well-known public personality, and it became clear that many people at these institutions were aware of his abusive behaviour but did nothing to stop or report it</w:t>
      </w:r>
      <w:r w:rsidR="009B2C43" w:rsidRPr="0063409C">
        <w:rPr>
          <w:rFonts w:ascii="Arial" w:eastAsia="Times New Roman" w:hAnsi="Arial" w:cs="Arial"/>
        </w:rPr>
        <w:t xml:space="preserve"> (</w:t>
      </w:r>
      <w:r w:rsidR="009B2C43" w:rsidRPr="0063409C">
        <w:rPr>
          <w:rFonts w:ascii="Arial" w:hAnsi="Arial" w:cs="Arial"/>
          <w:shd w:val="clear" w:color="auto" w:fill="FFFFFF"/>
        </w:rPr>
        <w:t>Kerr &amp; Stirling, 2019)</w:t>
      </w:r>
      <w:r w:rsidRPr="005F061B">
        <w:rPr>
          <w:rFonts w:ascii="Arial" w:eastAsia="Times New Roman" w:hAnsi="Arial" w:cs="Arial"/>
        </w:rPr>
        <w:t>. Fear of jeopardizing their jobs or reputations, mixed with a reluctance to confront a popular figure, allowed Savile to continue his assault without repercussions for decades. This culture of silence and complicity revealed a systemic issue that had to be addressed.</w:t>
      </w:r>
    </w:p>
    <w:p w14:paraId="5BF1CD74"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Second, Savile could operate with impunity due to a lack of responsibility and monitoring among specific organizations. The incident revealed how Savile used his influence to manipulate and exploit vulnerable people. Because organizations failed to properly screen individuals in positions of authority and enforce strong safeguarding measures, predators like Savile could go unnoticed and continue their abuses unabated. This controversy highlighted the need for increased responsibility and monitoring in institutions to prevent future abuses.</w:t>
      </w:r>
    </w:p>
    <w:p w14:paraId="6663C4DD"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Finally, Savile's abuse's long-term anguish and impact on </w:t>
      </w:r>
      <w:r w:rsidR="003558DC">
        <w:rPr>
          <w:rFonts w:ascii="Arial" w:eastAsia="Times New Roman" w:hAnsi="Arial" w:cs="Arial"/>
        </w:rPr>
        <w:t xml:space="preserve">the </w:t>
      </w:r>
      <w:r w:rsidRPr="005F061B">
        <w:rPr>
          <w:rFonts w:ascii="Arial" w:eastAsia="Times New Roman" w:hAnsi="Arial" w:cs="Arial"/>
        </w:rPr>
        <w:t>survivors cannot be emphasized. Survivors of Savile's abuse had to deal with the physical, emotional, and psychological scars left by a guy who was meant to be a trusted person for decades. The scandal provided survivors with a forum to speak out and be heard</w:t>
      </w:r>
      <w:r w:rsidR="009B2C43" w:rsidRPr="0063409C">
        <w:rPr>
          <w:rFonts w:ascii="Arial" w:eastAsia="Times New Roman" w:hAnsi="Arial" w:cs="Arial"/>
        </w:rPr>
        <w:t xml:space="preserve"> (</w:t>
      </w:r>
      <w:r w:rsidR="009B2C43" w:rsidRPr="0063409C">
        <w:rPr>
          <w:rFonts w:ascii="Arial" w:hAnsi="Arial" w:cs="Arial"/>
          <w:shd w:val="clear" w:color="auto" w:fill="FFFFFF"/>
        </w:rPr>
        <w:t>Skinner et al., 2021)</w:t>
      </w:r>
      <w:r w:rsidRPr="005F061B">
        <w:rPr>
          <w:rFonts w:ascii="Arial" w:eastAsia="Times New Roman" w:hAnsi="Arial" w:cs="Arial"/>
        </w:rPr>
        <w:t>. However, it also emphasized the long-term damage that abuse can have on individuals and the critical need for comprehensive support networks to assist survivors in navigating their trauma.</w:t>
      </w:r>
      <w:r w:rsidR="007A0337" w:rsidRPr="0063409C">
        <w:rPr>
          <w:rFonts w:ascii="Arial" w:eastAsia="Times New Roman" w:hAnsi="Arial" w:cs="Arial"/>
        </w:rPr>
        <w:t xml:space="preserve"> The</w:t>
      </w:r>
      <w:r w:rsidRPr="005F061B">
        <w:rPr>
          <w:rFonts w:ascii="Arial" w:eastAsia="Times New Roman" w:hAnsi="Arial" w:cs="Arial"/>
        </w:rPr>
        <w:t xml:space="preserve"> Jimmy Savile incident was noteworthy in that it revealed a culture of silence and complicity and a lack of accountability and control inside institutions that contributed to unchecked abuse. It also focuses on long-term trauma and its impact on survivors, emphasizing the significance of providing them with a safe and supportive environment. The controversy sparked a nationwide debate about the need for significant institutional reforms to prevent future abuses and protect the vulnerable.</w:t>
      </w:r>
    </w:p>
    <w:p w14:paraId="1C843771" w14:textId="77777777" w:rsidR="005F061B" w:rsidRPr="005F061B" w:rsidRDefault="005F061B" w:rsidP="0063409C">
      <w:pPr>
        <w:spacing w:after="0" w:line="360" w:lineRule="auto"/>
        <w:jc w:val="both"/>
        <w:rPr>
          <w:rFonts w:ascii="Arial" w:eastAsia="Times New Roman" w:hAnsi="Arial" w:cs="Arial"/>
          <w:b/>
        </w:rPr>
      </w:pPr>
      <w:r w:rsidRPr="005F061B">
        <w:rPr>
          <w:rFonts w:ascii="Arial" w:eastAsia="Times New Roman" w:hAnsi="Arial" w:cs="Arial"/>
          <w:b/>
        </w:rPr>
        <w:t xml:space="preserve">Case 2: </w:t>
      </w:r>
      <w:proofErr w:type="spellStart"/>
      <w:r w:rsidRPr="005F061B">
        <w:rPr>
          <w:rFonts w:ascii="Arial" w:eastAsia="Times New Roman" w:hAnsi="Arial" w:cs="Arial"/>
          <w:b/>
        </w:rPr>
        <w:t>Rotherham</w:t>
      </w:r>
      <w:proofErr w:type="spellEnd"/>
      <w:r w:rsidRPr="005F061B">
        <w:rPr>
          <w:rFonts w:ascii="Arial" w:eastAsia="Times New Roman" w:hAnsi="Arial" w:cs="Arial"/>
          <w:b/>
        </w:rPr>
        <w:t xml:space="preserve"> Child Sex</w:t>
      </w:r>
      <w:r w:rsidR="007A0337" w:rsidRPr="0063409C">
        <w:rPr>
          <w:rFonts w:ascii="Arial" w:eastAsia="Times New Roman" w:hAnsi="Arial" w:cs="Arial"/>
          <w:b/>
        </w:rPr>
        <w:t>ual Exploitation Scandal (2014)</w:t>
      </w:r>
    </w:p>
    <w:p w14:paraId="174FA5C5"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Between 1997 and 2013,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referred to a series of revelations involving child sexual exploitation and grooming gangs in </w:t>
      </w:r>
      <w:proofErr w:type="spellStart"/>
      <w:r w:rsidRPr="005F061B">
        <w:rPr>
          <w:rFonts w:ascii="Arial" w:eastAsia="Times New Roman" w:hAnsi="Arial" w:cs="Arial"/>
        </w:rPr>
        <w:t>Rotherham</w:t>
      </w:r>
      <w:proofErr w:type="spellEnd"/>
      <w:r w:rsidRPr="005F061B">
        <w:rPr>
          <w:rFonts w:ascii="Arial" w:eastAsia="Times New Roman" w:hAnsi="Arial" w:cs="Arial"/>
        </w:rPr>
        <w:t>, England. The case exposed several failures by municipal governments to address the issue, resulting in widespread institutional apathy and inaction</w:t>
      </w:r>
      <w:r w:rsidR="00B578AD" w:rsidRPr="0063409C">
        <w:rPr>
          <w:rFonts w:ascii="Arial" w:eastAsia="Times New Roman" w:hAnsi="Arial" w:cs="Arial"/>
        </w:rPr>
        <w:t xml:space="preserve"> (</w:t>
      </w:r>
      <w:r w:rsidR="00B578AD" w:rsidRPr="0063409C">
        <w:rPr>
          <w:rFonts w:ascii="Arial" w:hAnsi="Arial" w:cs="Arial"/>
          <w:shd w:val="clear" w:color="auto" w:fill="FFFFFF"/>
        </w:rPr>
        <w:t>Kerr &amp; Stirling, 2019)</w:t>
      </w:r>
      <w:r w:rsidRPr="005F061B">
        <w:rPr>
          <w:rFonts w:ascii="Arial" w:eastAsia="Times New Roman" w:hAnsi="Arial" w:cs="Arial"/>
        </w:rPr>
        <w:t xml:space="preserve">. Because of the intersectionality of race, culture, and safeguarding, these errors profoundly impacted community ties and </w:t>
      </w:r>
      <w:r w:rsidR="007A0337" w:rsidRPr="0063409C">
        <w:rPr>
          <w:rFonts w:ascii="Arial" w:eastAsia="Times New Roman" w:hAnsi="Arial" w:cs="Arial"/>
        </w:rPr>
        <w:t>trust. The</w:t>
      </w:r>
      <w:r w:rsidRPr="005F061B">
        <w:rPr>
          <w:rFonts w:ascii="Arial" w:eastAsia="Times New Roman" w:hAnsi="Arial" w:cs="Arial"/>
        </w:rPr>
        <w:t xml:space="preserve"> intersectionality of race and culture was one of the most important components of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w:t>
      </w:r>
      <w:r w:rsidR="009B2C43" w:rsidRPr="0063409C">
        <w:rPr>
          <w:rFonts w:ascii="Arial" w:eastAsia="Times New Roman" w:hAnsi="Arial" w:cs="Arial"/>
        </w:rPr>
        <w:t xml:space="preserve">According to </w:t>
      </w:r>
      <w:r w:rsidR="009B2C43" w:rsidRPr="0063409C">
        <w:rPr>
          <w:rFonts w:ascii="Arial" w:hAnsi="Arial" w:cs="Arial"/>
          <w:shd w:val="clear" w:color="auto" w:fill="FFFFFF"/>
        </w:rPr>
        <w:t xml:space="preserve">Kerr &amp; Stirling (2019), </w:t>
      </w:r>
      <w:r w:rsidR="009B2C43" w:rsidRPr="0063409C">
        <w:rPr>
          <w:rFonts w:ascii="Arial" w:eastAsia="Times New Roman" w:hAnsi="Arial" w:cs="Arial"/>
        </w:rPr>
        <w:t>t</w:t>
      </w:r>
      <w:r w:rsidRPr="005F061B">
        <w:rPr>
          <w:rFonts w:ascii="Arial" w:eastAsia="Times New Roman" w:hAnsi="Arial" w:cs="Arial"/>
        </w:rPr>
        <w:t xml:space="preserve">he offenders were mostly of Pakistani ethnicity, whereas the victims were mostly young, </w:t>
      </w:r>
      <w:r w:rsidR="00FC51F4" w:rsidRPr="005F061B">
        <w:rPr>
          <w:rFonts w:ascii="Arial" w:eastAsia="Times New Roman" w:hAnsi="Arial" w:cs="Arial"/>
        </w:rPr>
        <w:t>defenseless</w:t>
      </w:r>
      <w:r w:rsidRPr="005F061B">
        <w:rPr>
          <w:rFonts w:ascii="Arial" w:eastAsia="Times New Roman" w:hAnsi="Arial" w:cs="Arial"/>
        </w:rPr>
        <w:t xml:space="preserve"> white girls. This intersectionality raised worries about political correctness and racial sensitivity, which influenced local governments' reactions to the issue. Authorities were accused of being terrified of being accused of racism, which stopped them from tackling the issue adequately. This intersectionality highlighted the complexities and difficulties connected with addressing issues of race and culture while also protecting vulnerable individuals.</w:t>
      </w:r>
    </w:p>
    <w:p w14:paraId="6597477D"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In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situation, institutional indifference and inactivity were very worrisome. Many professionals, including police officers, social workers, and council officials, were found to be aware of the scope of the abuse but chose to ignore or minimize it</w:t>
      </w:r>
      <w:r w:rsidR="009B2C43" w:rsidRPr="0063409C">
        <w:rPr>
          <w:rFonts w:ascii="Arial" w:eastAsia="Times New Roman" w:hAnsi="Arial" w:cs="Arial"/>
        </w:rPr>
        <w:t xml:space="preserve"> (</w:t>
      </w:r>
      <w:r w:rsidR="009B2C43" w:rsidRPr="0063409C">
        <w:rPr>
          <w:rFonts w:ascii="Arial" w:hAnsi="Arial" w:cs="Arial"/>
          <w:shd w:val="clear" w:color="auto" w:fill="FFFFFF"/>
        </w:rPr>
        <w:t>Skinner et al., 2021)</w:t>
      </w:r>
      <w:r w:rsidRPr="005F061B">
        <w:rPr>
          <w:rFonts w:ascii="Arial" w:eastAsia="Times New Roman" w:hAnsi="Arial" w:cs="Arial"/>
        </w:rPr>
        <w:t>. This apathy and passivity allowed the exploitation to continue for years, resulting in the suffering of many victims. Failure to act allowed the abuse to continue and destroyed trust in the institutions designed to safeguard the community.</w:t>
      </w:r>
      <w:r w:rsidR="007A0337" w:rsidRPr="0063409C">
        <w:rPr>
          <w:rFonts w:ascii="Arial" w:eastAsia="Times New Roman" w:hAnsi="Arial" w:cs="Arial"/>
        </w:rPr>
        <w:t xml:space="preserve"> </w:t>
      </w:r>
      <w:r w:rsidRPr="005F061B">
        <w:rPr>
          <w:rFonts w:ascii="Arial" w:eastAsia="Times New Roman" w:hAnsi="Arial" w:cs="Arial"/>
        </w:rPr>
        <w:t xml:space="preserve">It is impossible to overestimate the impact on community connections and trust.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damaged the trust between authorities and affected residents. Not only did the victims suffer at the hands of the offenders, but they also experienced additional trauma due to a lack of support and protection from the same institutions that were supposed to protect them. This loss of trust had long-term effects, making it more difficult for victims to come forward and report abuse, deepening community differences, and impeding efforts to construct cohesive and inclusive societies.</w:t>
      </w:r>
    </w:p>
    <w:p w14:paraId="779E66D7"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is significant because it highlights bigger concerns like institutional apathy, intersectionality, and community trust. It served as a wake-up call, requiring a rethinking of safeguarding methods and the necessity for more aggressive measures to protect vulnerable individuals. The case also emphasized the significance of tackling intersectionality sensitively and thoughtfully without allowing it to stymie attempts to combat abuse and exploitation. Finally,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case serves as a reminder of the constant effort required to protect the safety and well-being of all people, regardless of ethnicity, culture, or vulnerability.</w:t>
      </w:r>
      <w:r w:rsidR="007A0337" w:rsidRPr="0063409C">
        <w:rPr>
          <w:rFonts w:ascii="Arial" w:eastAsia="Times New Roman" w:hAnsi="Arial" w:cs="Arial"/>
        </w:rPr>
        <w:t xml:space="preserve"> </w:t>
      </w:r>
      <w:r w:rsidRPr="005F061B">
        <w:rPr>
          <w:rFonts w:ascii="Arial" w:eastAsia="Times New Roman" w:hAnsi="Arial" w:cs="Arial"/>
        </w:rPr>
        <w:t xml:space="preserve">The significance of high-profile safeguarding cases, such as the Jimmy Savile scandal and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child sexual exploitation case, cannot be understated. These cases exposed the failures within institutions, the extent of the harm inflicted on vulnerable individuals, and the urgent need for reforms in safeguarding practices and policies</w:t>
      </w:r>
      <w:r w:rsidR="009B2C43" w:rsidRPr="0063409C">
        <w:rPr>
          <w:rFonts w:ascii="Arial" w:eastAsia="Times New Roman" w:hAnsi="Arial" w:cs="Arial"/>
        </w:rPr>
        <w:t xml:space="preserve"> (</w:t>
      </w:r>
      <w:r w:rsidR="009B2C43" w:rsidRPr="0063409C">
        <w:rPr>
          <w:rFonts w:ascii="Arial" w:hAnsi="Arial" w:cs="Arial"/>
          <w:shd w:val="clear" w:color="auto" w:fill="FFFFFF"/>
        </w:rPr>
        <w:t>Skinner et al., 2021)</w:t>
      </w:r>
      <w:r w:rsidRPr="005F061B">
        <w:rPr>
          <w:rFonts w:ascii="Arial" w:eastAsia="Times New Roman" w:hAnsi="Arial" w:cs="Arial"/>
        </w:rPr>
        <w:t>. They ignited public outrage, led to inquiries and investigations, and prompted changes in legislation and guidelines to strengthen safeguarding frameworks. However, it is essential to acknowledge that safeguarding remains an ongoing challenge that requires continuous efforts, vigilance, and commitment to protect the most vulnerable members of society.</w:t>
      </w:r>
    </w:p>
    <w:p w14:paraId="12DC3D8B" w14:textId="77777777" w:rsidR="005F061B" w:rsidRPr="005F061B" w:rsidRDefault="007A0337" w:rsidP="0063409C">
      <w:pPr>
        <w:spacing w:after="0" w:line="360" w:lineRule="auto"/>
        <w:jc w:val="both"/>
        <w:rPr>
          <w:rFonts w:ascii="Arial" w:eastAsia="Times New Roman" w:hAnsi="Arial" w:cs="Arial"/>
          <w:b/>
        </w:rPr>
      </w:pPr>
      <w:r w:rsidRPr="0063409C">
        <w:rPr>
          <w:rFonts w:ascii="Arial" w:eastAsia="Times New Roman" w:hAnsi="Arial" w:cs="Arial"/>
          <w:b/>
        </w:rPr>
        <w:t>Conclusion</w:t>
      </w:r>
    </w:p>
    <w:p w14:paraId="2631C5A7" w14:textId="77777777" w:rsidR="005F061B" w:rsidRPr="005F061B"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Safeguarding policies and procedures are extremely important in the United Kingdom because they protect and help vulnerable individuals. These rules and procedures protect persons at risk from abuse, neglect, and harm while maintaining their well-being and dignity. The Jimmy case and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child sexual exploitation case are two high-profile safeguarding instances that have had a long-lasting influence in the last 20 years. The Jimmy Savile controversy in 2000 resulted in significant improvements to child protection regulations and practices. It revealed major failings in communication and coordination among child-protection authorities, culminating in the terrible death of Jimmy Savile. This case sparked the implementation of the Every Child Matters policy in 2003, laying the framework for interagency collaboration and cooperation in child protection.</w:t>
      </w:r>
    </w:p>
    <w:p w14:paraId="5E786E6F" w14:textId="77777777" w:rsidR="005F061B" w:rsidRPr="0063409C" w:rsidRDefault="005F061B" w:rsidP="0063409C">
      <w:pPr>
        <w:spacing w:after="0" w:line="360" w:lineRule="auto"/>
        <w:ind w:firstLine="720"/>
        <w:jc w:val="both"/>
        <w:rPr>
          <w:rFonts w:ascii="Arial" w:eastAsia="Times New Roman" w:hAnsi="Arial" w:cs="Arial"/>
        </w:rPr>
      </w:pPr>
      <w:r w:rsidRPr="005F061B">
        <w:rPr>
          <w:rFonts w:ascii="Arial" w:eastAsia="Times New Roman" w:hAnsi="Arial" w:cs="Arial"/>
        </w:rPr>
        <w:t xml:space="preserve">Similarly, the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child sexual exploitation case of 2014 highlighted glaring shortcomings in the protective system. Despite several visits from social workers, healthcare specialists, and the police, a </w:t>
      </w:r>
      <w:proofErr w:type="spellStart"/>
      <w:r w:rsidRPr="005F061B">
        <w:rPr>
          <w:rFonts w:ascii="Arial" w:eastAsia="Times New Roman" w:hAnsi="Arial" w:cs="Arial"/>
        </w:rPr>
        <w:t>Rotherham</w:t>
      </w:r>
      <w:proofErr w:type="spellEnd"/>
      <w:r w:rsidRPr="005F061B">
        <w:rPr>
          <w:rFonts w:ascii="Arial" w:eastAsia="Times New Roman" w:hAnsi="Arial" w:cs="Arial"/>
        </w:rPr>
        <w:t xml:space="preserve"> child sexual exploitation case, whose identity was safeguarded, suffered severe abuse and neglect. The case highlighted systemic shortcomings, insufficient risk assessments, and poor inter-agency communication. As a result, important reforms were implemented, such as stronger child safety training, improved information sharing, and a greater emphasis on early intervention and prevention.</w:t>
      </w:r>
      <w:r w:rsidR="007A0337" w:rsidRPr="0063409C">
        <w:rPr>
          <w:rFonts w:ascii="Arial" w:eastAsia="Times New Roman" w:hAnsi="Arial" w:cs="Arial"/>
        </w:rPr>
        <w:t xml:space="preserve"> </w:t>
      </w:r>
      <w:r w:rsidRPr="005F061B">
        <w:rPr>
          <w:rFonts w:ascii="Arial" w:eastAsia="Times New Roman" w:hAnsi="Arial" w:cs="Arial"/>
        </w:rPr>
        <w:t>These high-profile incidents highlight the crucial need for effective safeguarding rules and procedures. They emphasize the importance of effective communication, collaboration, and early risk detection to prevent tragic outcomes for vulnerable individuals. Safeguarding policies give a structure for professionals and organizations to collaborate, share information, and act quickly to safeguard persons in need.</w:t>
      </w:r>
    </w:p>
    <w:p w14:paraId="4D317F33" w14:textId="77777777" w:rsidR="005F061B" w:rsidRPr="0063409C" w:rsidRDefault="005F061B" w:rsidP="0063409C">
      <w:pPr>
        <w:spacing w:after="0" w:line="360" w:lineRule="auto"/>
        <w:jc w:val="both"/>
        <w:rPr>
          <w:rFonts w:ascii="Arial" w:eastAsia="Times New Roman" w:hAnsi="Arial" w:cs="Arial"/>
        </w:rPr>
      </w:pPr>
    </w:p>
    <w:p w14:paraId="7EE9B06C" w14:textId="77777777" w:rsidR="005F061B" w:rsidRPr="0063409C" w:rsidRDefault="005F061B" w:rsidP="0063409C">
      <w:pPr>
        <w:spacing w:line="360" w:lineRule="auto"/>
        <w:rPr>
          <w:rFonts w:ascii="Arial" w:eastAsia="Times New Roman" w:hAnsi="Arial" w:cs="Arial"/>
        </w:rPr>
      </w:pPr>
      <w:r w:rsidRPr="0063409C">
        <w:rPr>
          <w:rFonts w:ascii="Arial" w:eastAsia="Times New Roman" w:hAnsi="Arial" w:cs="Arial"/>
        </w:rPr>
        <w:br w:type="page"/>
      </w:r>
    </w:p>
    <w:p w14:paraId="66222AD3" w14:textId="77777777" w:rsidR="005F061B" w:rsidRPr="005F061B" w:rsidRDefault="005F061B" w:rsidP="0063409C">
      <w:pPr>
        <w:spacing w:after="0" w:line="360" w:lineRule="auto"/>
        <w:jc w:val="center"/>
        <w:rPr>
          <w:rFonts w:ascii="Arial" w:eastAsia="Times New Roman" w:hAnsi="Arial" w:cs="Arial"/>
        </w:rPr>
      </w:pPr>
      <w:r w:rsidRPr="0063409C">
        <w:rPr>
          <w:rFonts w:ascii="Arial" w:eastAsia="Times New Roman" w:hAnsi="Arial" w:cs="Arial"/>
        </w:rPr>
        <w:t>References</w:t>
      </w:r>
    </w:p>
    <w:p w14:paraId="47D1C9C7" w14:textId="77777777" w:rsidR="007A0337" w:rsidRPr="0063409C" w:rsidRDefault="007A0337" w:rsidP="0063409C">
      <w:pPr>
        <w:spacing w:line="360" w:lineRule="auto"/>
        <w:ind w:left="720" w:hanging="720"/>
        <w:rPr>
          <w:rFonts w:ascii="Arial" w:hAnsi="Arial" w:cs="Arial"/>
          <w:shd w:val="clear" w:color="auto" w:fill="FFFFFF"/>
        </w:rPr>
      </w:pPr>
      <w:proofErr w:type="spellStart"/>
      <w:r w:rsidRPr="0063409C">
        <w:rPr>
          <w:rFonts w:ascii="Arial" w:hAnsi="Arial" w:cs="Arial"/>
          <w:shd w:val="clear" w:color="auto" w:fill="FFFFFF"/>
        </w:rPr>
        <w:t>Bonazza</w:t>
      </w:r>
      <w:proofErr w:type="spellEnd"/>
      <w:r w:rsidRPr="0063409C">
        <w:rPr>
          <w:rFonts w:ascii="Arial" w:hAnsi="Arial" w:cs="Arial"/>
          <w:shd w:val="clear" w:color="auto" w:fill="FFFFFF"/>
        </w:rPr>
        <w:t xml:space="preserve">, A., </w:t>
      </w:r>
      <w:proofErr w:type="spellStart"/>
      <w:r w:rsidRPr="0063409C">
        <w:rPr>
          <w:rFonts w:ascii="Arial" w:hAnsi="Arial" w:cs="Arial"/>
          <w:shd w:val="clear" w:color="auto" w:fill="FFFFFF"/>
        </w:rPr>
        <w:t>Sardella</w:t>
      </w:r>
      <w:proofErr w:type="spellEnd"/>
      <w:r w:rsidRPr="0063409C">
        <w:rPr>
          <w:rFonts w:ascii="Arial" w:hAnsi="Arial" w:cs="Arial"/>
          <w:shd w:val="clear" w:color="auto" w:fill="FFFFFF"/>
        </w:rPr>
        <w:t xml:space="preserve">, A., Kaiser, A., Cacciotti, R., De </w:t>
      </w:r>
      <w:proofErr w:type="spellStart"/>
      <w:r w:rsidRPr="0063409C">
        <w:rPr>
          <w:rFonts w:ascii="Arial" w:hAnsi="Arial" w:cs="Arial"/>
          <w:shd w:val="clear" w:color="auto" w:fill="FFFFFF"/>
        </w:rPr>
        <w:t>Nuntiis</w:t>
      </w:r>
      <w:proofErr w:type="spellEnd"/>
      <w:r w:rsidRPr="0063409C">
        <w:rPr>
          <w:rFonts w:ascii="Arial" w:hAnsi="Arial" w:cs="Arial"/>
          <w:shd w:val="clear" w:color="auto" w:fill="FFFFFF"/>
        </w:rPr>
        <w:t xml:space="preserve">, P., </w:t>
      </w:r>
      <w:proofErr w:type="spellStart"/>
      <w:r w:rsidRPr="0063409C">
        <w:rPr>
          <w:rFonts w:ascii="Arial" w:hAnsi="Arial" w:cs="Arial"/>
          <w:shd w:val="clear" w:color="auto" w:fill="FFFFFF"/>
        </w:rPr>
        <w:t>Hanus</w:t>
      </w:r>
      <w:proofErr w:type="spellEnd"/>
      <w:r w:rsidRPr="0063409C">
        <w:rPr>
          <w:rFonts w:ascii="Arial" w:hAnsi="Arial" w:cs="Arial"/>
          <w:shd w:val="clear" w:color="auto" w:fill="FFFFFF"/>
        </w:rPr>
        <w:t xml:space="preserve">, C., ... &amp; </w:t>
      </w:r>
      <w:proofErr w:type="spellStart"/>
      <w:r w:rsidRPr="0063409C">
        <w:rPr>
          <w:rFonts w:ascii="Arial" w:hAnsi="Arial" w:cs="Arial"/>
          <w:shd w:val="clear" w:color="auto" w:fill="FFFFFF"/>
        </w:rPr>
        <w:t>Drdácký</w:t>
      </w:r>
      <w:proofErr w:type="spellEnd"/>
      <w:r w:rsidRPr="0063409C">
        <w:rPr>
          <w:rFonts w:ascii="Arial" w:hAnsi="Arial" w:cs="Arial"/>
          <w:shd w:val="clear" w:color="auto" w:fill="FFFFFF"/>
        </w:rPr>
        <w:t>, M. (2021). Safeguarding cultural heritage from climate change related hydrometeorological hazards in Central Europe. </w:t>
      </w:r>
      <w:r w:rsidRPr="0063409C">
        <w:rPr>
          <w:rFonts w:ascii="Arial" w:hAnsi="Arial" w:cs="Arial"/>
          <w:i/>
          <w:iCs/>
          <w:shd w:val="clear" w:color="auto" w:fill="FFFFFF"/>
        </w:rPr>
        <w:t>International Journal of Disaster Risk Reduction</w:t>
      </w:r>
      <w:r w:rsidRPr="0063409C">
        <w:rPr>
          <w:rFonts w:ascii="Arial" w:hAnsi="Arial" w:cs="Arial"/>
          <w:shd w:val="clear" w:color="auto" w:fill="FFFFFF"/>
        </w:rPr>
        <w:t>, </w:t>
      </w:r>
      <w:r w:rsidRPr="0063409C">
        <w:rPr>
          <w:rFonts w:ascii="Arial" w:hAnsi="Arial" w:cs="Arial"/>
          <w:i/>
          <w:iCs/>
          <w:shd w:val="clear" w:color="auto" w:fill="FFFFFF"/>
        </w:rPr>
        <w:t>63</w:t>
      </w:r>
      <w:r w:rsidRPr="0063409C">
        <w:rPr>
          <w:rFonts w:ascii="Arial" w:hAnsi="Arial" w:cs="Arial"/>
          <w:shd w:val="clear" w:color="auto" w:fill="FFFFFF"/>
        </w:rPr>
        <w:t>, 102455.</w:t>
      </w:r>
    </w:p>
    <w:p w14:paraId="5636AB10"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Busher, J., Choudhury, T., &amp; Thomas, P. (2019). The enactment of the counter-terrorism “Prevent duty” in British schools and colleges: Beyond reluctant accommodation or straightforward policy acceptance. </w:t>
      </w:r>
      <w:r w:rsidRPr="0063409C">
        <w:rPr>
          <w:rFonts w:ascii="Arial" w:hAnsi="Arial" w:cs="Arial"/>
          <w:i/>
          <w:iCs/>
          <w:shd w:val="clear" w:color="auto" w:fill="FFFFFF"/>
        </w:rPr>
        <w:t>Critical Studies on Terrorism</w:t>
      </w:r>
      <w:r w:rsidRPr="0063409C">
        <w:rPr>
          <w:rFonts w:ascii="Arial" w:hAnsi="Arial" w:cs="Arial"/>
          <w:shd w:val="clear" w:color="auto" w:fill="FFFFFF"/>
        </w:rPr>
        <w:t>, </w:t>
      </w:r>
      <w:r w:rsidRPr="0063409C">
        <w:rPr>
          <w:rFonts w:ascii="Arial" w:hAnsi="Arial" w:cs="Arial"/>
          <w:i/>
          <w:iCs/>
          <w:shd w:val="clear" w:color="auto" w:fill="FFFFFF"/>
        </w:rPr>
        <w:t>12</w:t>
      </w:r>
      <w:r w:rsidRPr="0063409C">
        <w:rPr>
          <w:rFonts w:ascii="Arial" w:hAnsi="Arial" w:cs="Arial"/>
          <w:shd w:val="clear" w:color="auto" w:fill="FFFFFF"/>
        </w:rPr>
        <w:t>(3), 440-462.</w:t>
      </w:r>
    </w:p>
    <w:p w14:paraId="0A4D6181"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Firmin, C. (2020). </w:t>
      </w:r>
      <w:r w:rsidRPr="0063409C">
        <w:rPr>
          <w:rFonts w:ascii="Arial" w:hAnsi="Arial" w:cs="Arial"/>
          <w:i/>
          <w:iCs/>
          <w:shd w:val="clear" w:color="auto" w:fill="FFFFFF"/>
        </w:rPr>
        <w:t>Contextual safeguarding and child protection: Rewriting the rules</w:t>
      </w:r>
      <w:r w:rsidRPr="0063409C">
        <w:rPr>
          <w:rFonts w:ascii="Arial" w:hAnsi="Arial" w:cs="Arial"/>
          <w:shd w:val="clear" w:color="auto" w:fill="FFFFFF"/>
        </w:rPr>
        <w:t>. Taylor &amp; Francis.</w:t>
      </w:r>
    </w:p>
    <w:p w14:paraId="55A2396D"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 xml:space="preserve">Gamage, K. A., Silva, E. K. D., &amp; </w:t>
      </w:r>
      <w:proofErr w:type="spellStart"/>
      <w:r w:rsidRPr="0063409C">
        <w:rPr>
          <w:rFonts w:ascii="Arial" w:hAnsi="Arial" w:cs="Arial"/>
          <w:shd w:val="clear" w:color="auto" w:fill="FFFFFF"/>
        </w:rPr>
        <w:t>Gunawardhana</w:t>
      </w:r>
      <w:proofErr w:type="spellEnd"/>
      <w:r w:rsidRPr="0063409C">
        <w:rPr>
          <w:rFonts w:ascii="Arial" w:hAnsi="Arial" w:cs="Arial"/>
          <w:shd w:val="clear" w:color="auto" w:fill="FFFFFF"/>
        </w:rPr>
        <w:t>, N. (2020). Online delivery and assessment during COVID-19: Safeguarding academic integrity. </w:t>
      </w:r>
      <w:r w:rsidRPr="0063409C">
        <w:rPr>
          <w:rFonts w:ascii="Arial" w:hAnsi="Arial" w:cs="Arial"/>
          <w:i/>
          <w:iCs/>
          <w:shd w:val="clear" w:color="auto" w:fill="FFFFFF"/>
        </w:rPr>
        <w:t>Education Sciences</w:t>
      </w:r>
      <w:r w:rsidRPr="0063409C">
        <w:rPr>
          <w:rFonts w:ascii="Arial" w:hAnsi="Arial" w:cs="Arial"/>
          <w:shd w:val="clear" w:color="auto" w:fill="FFFFFF"/>
        </w:rPr>
        <w:t>, </w:t>
      </w:r>
      <w:r w:rsidRPr="0063409C">
        <w:rPr>
          <w:rFonts w:ascii="Arial" w:hAnsi="Arial" w:cs="Arial"/>
          <w:i/>
          <w:iCs/>
          <w:shd w:val="clear" w:color="auto" w:fill="FFFFFF"/>
        </w:rPr>
        <w:t>10</w:t>
      </w:r>
      <w:r w:rsidRPr="0063409C">
        <w:rPr>
          <w:rFonts w:ascii="Arial" w:hAnsi="Arial" w:cs="Arial"/>
          <w:shd w:val="clear" w:color="auto" w:fill="FFFFFF"/>
        </w:rPr>
        <w:t>(11), 301.</w:t>
      </w:r>
    </w:p>
    <w:p w14:paraId="4B81E0D7"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Kerr, G., &amp; Stirling, A. (2019). Where is safeguarding in sport psychology research and practice?. </w:t>
      </w:r>
      <w:r w:rsidRPr="0063409C">
        <w:rPr>
          <w:rFonts w:ascii="Arial" w:hAnsi="Arial" w:cs="Arial"/>
          <w:i/>
          <w:iCs/>
          <w:shd w:val="clear" w:color="auto" w:fill="FFFFFF"/>
        </w:rPr>
        <w:t>Journal of Applied Sport Psychology</w:t>
      </w:r>
      <w:r w:rsidRPr="0063409C">
        <w:rPr>
          <w:rFonts w:ascii="Arial" w:hAnsi="Arial" w:cs="Arial"/>
          <w:shd w:val="clear" w:color="auto" w:fill="FFFFFF"/>
        </w:rPr>
        <w:t>, </w:t>
      </w:r>
      <w:r w:rsidRPr="0063409C">
        <w:rPr>
          <w:rFonts w:ascii="Arial" w:hAnsi="Arial" w:cs="Arial"/>
          <w:i/>
          <w:iCs/>
          <w:shd w:val="clear" w:color="auto" w:fill="FFFFFF"/>
        </w:rPr>
        <w:t>31</w:t>
      </w:r>
      <w:r w:rsidRPr="0063409C">
        <w:rPr>
          <w:rFonts w:ascii="Arial" w:hAnsi="Arial" w:cs="Arial"/>
          <w:shd w:val="clear" w:color="auto" w:fill="FFFFFF"/>
        </w:rPr>
        <w:t>(4), 367-384.</w:t>
      </w:r>
    </w:p>
    <w:p w14:paraId="509B7491"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Kerr, G., Kidd, B., &amp; Donnelly, P. (2020). One step forward, two steps back: the struggle for child protection in Canadian sport. </w:t>
      </w:r>
      <w:r w:rsidRPr="0063409C">
        <w:rPr>
          <w:rFonts w:ascii="Arial" w:hAnsi="Arial" w:cs="Arial"/>
          <w:i/>
          <w:iCs/>
          <w:shd w:val="clear" w:color="auto" w:fill="FFFFFF"/>
        </w:rPr>
        <w:t>Social Sciences</w:t>
      </w:r>
      <w:r w:rsidRPr="0063409C">
        <w:rPr>
          <w:rFonts w:ascii="Arial" w:hAnsi="Arial" w:cs="Arial"/>
          <w:shd w:val="clear" w:color="auto" w:fill="FFFFFF"/>
        </w:rPr>
        <w:t>, </w:t>
      </w:r>
      <w:r w:rsidRPr="0063409C">
        <w:rPr>
          <w:rFonts w:ascii="Arial" w:hAnsi="Arial" w:cs="Arial"/>
          <w:i/>
          <w:iCs/>
          <w:shd w:val="clear" w:color="auto" w:fill="FFFFFF"/>
        </w:rPr>
        <w:t>9</w:t>
      </w:r>
      <w:r w:rsidRPr="0063409C">
        <w:rPr>
          <w:rFonts w:ascii="Arial" w:hAnsi="Arial" w:cs="Arial"/>
          <w:shd w:val="clear" w:color="auto" w:fill="FFFFFF"/>
        </w:rPr>
        <w:t>(5), 68.</w:t>
      </w:r>
    </w:p>
    <w:p w14:paraId="76D3BE0E" w14:textId="77777777" w:rsidR="007A0337" w:rsidRPr="0063409C" w:rsidRDefault="007A0337" w:rsidP="0063409C">
      <w:pPr>
        <w:spacing w:line="360" w:lineRule="auto"/>
        <w:ind w:left="720" w:hanging="720"/>
        <w:rPr>
          <w:rFonts w:ascii="Arial" w:hAnsi="Arial" w:cs="Arial"/>
          <w:shd w:val="clear" w:color="auto" w:fill="FFFFFF"/>
        </w:rPr>
      </w:pPr>
      <w:proofErr w:type="spellStart"/>
      <w:r w:rsidRPr="0063409C">
        <w:rPr>
          <w:rFonts w:ascii="Arial" w:hAnsi="Arial" w:cs="Arial"/>
          <w:shd w:val="clear" w:color="auto" w:fill="FFFFFF"/>
        </w:rPr>
        <w:t>Malgieri</w:t>
      </w:r>
      <w:proofErr w:type="spellEnd"/>
      <w:r w:rsidRPr="0063409C">
        <w:rPr>
          <w:rFonts w:ascii="Arial" w:hAnsi="Arial" w:cs="Arial"/>
          <w:shd w:val="clear" w:color="auto" w:fill="FFFFFF"/>
        </w:rPr>
        <w:t>, G. (2019). Automated decision-making in the EU Member States: The right to explanation and other “suitable safeguards” in the national legislations. </w:t>
      </w:r>
      <w:r w:rsidRPr="0063409C">
        <w:rPr>
          <w:rFonts w:ascii="Arial" w:hAnsi="Arial" w:cs="Arial"/>
          <w:i/>
          <w:iCs/>
          <w:shd w:val="clear" w:color="auto" w:fill="FFFFFF"/>
        </w:rPr>
        <w:t>Computer law &amp; security review</w:t>
      </w:r>
      <w:r w:rsidRPr="0063409C">
        <w:rPr>
          <w:rFonts w:ascii="Arial" w:hAnsi="Arial" w:cs="Arial"/>
          <w:shd w:val="clear" w:color="auto" w:fill="FFFFFF"/>
        </w:rPr>
        <w:t>, </w:t>
      </w:r>
      <w:r w:rsidRPr="0063409C">
        <w:rPr>
          <w:rFonts w:ascii="Arial" w:hAnsi="Arial" w:cs="Arial"/>
          <w:i/>
          <w:iCs/>
          <w:shd w:val="clear" w:color="auto" w:fill="FFFFFF"/>
        </w:rPr>
        <w:t>35</w:t>
      </w:r>
      <w:r w:rsidRPr="0063409C">
        <w:rPr>
          <w:rFonts w:ascii="Arial" w:hAnsi="Arial" w:cs="Arial"/>
          <w:shd w:val="clear" w:color="auto" w:fill="FFFFFF"/>
        </w:rPr>
        <w:t>(5), 105327.</w:t>
      </w:r>
    </w:p>
    <w:p w14:paraId="342F280E"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 xml:space="preserve">Power, M., Doherty, B., </w:t>
      </w:r>
      <w:proofErr w:type="spellStart"/>
      <w:r w:rsidRPr="0063409C">
        <w:rPr>
          <w:rFonts w:ascii="Arial" w:hAnsi="Arial" w:cs="Arial"/>
          <w:shd w:val="clear" w:color="auto" w:fill="FFFFFF"/>
        </w:rPr>
        <w:t>Pybus</w:t>
      </w:r>
      <w:proofErr w:type="spellEnd"/>
      <w:r w:rsidRPr="0063409C">
        <w:rPr>
          <w:rFonts w:ascii="Arial" w:hAnsi="Arial" w:cs="Arial"/>
          <w:shd w:val="clear" w:color="auto" w:fill="FFFFFF"/>
        </w:rPr>
        <w:t>, K., &amp; Pickett, K. (2020). How COVID-19 has exposed inequalities in the UK food system: The case of UK food and poverty. </w:t>
      </w:r>
      <w:r w:rsidRPr="0063409C">
        <w:rPr>
          <w:rFonts w:ascii="Arial" w:hAnsi="Arial" w:cs="Arial"/>
          <w:i/>
          <w:iCs/>
          <w:shd w:val="clear" w:color="auto" w:fill="FFFFFF"/>
        </w:rPr>
        <w:t>Emerald Open Research</w:t>
      </w:r>
      <w:r w:rsidRPr="0063409C">
        <w:rPr>
          <w:rFonts w:ascii="Arial" w:hAnsi="Arial" w:cs="Arial"/>
          <w:shd w:val="clear" w:color="auto" w:fill="FFFFFF"/>
        </w:rPr>
        <w:t>, </w:t>
      </w:r>
      <w:r w:rsidRPr="0063409C">
        <w:rPr>
          <w:rFonts w:ascii="Arial" w:hAnsi="Arial" w:cs="Arial"/>
          <w:i/>
          <w:iCs/>
          <w:shd w:val="clear" w:color="auto" w:fill="FFFFFF"/>
        </w:rPr>
        <w:t>2</w:t>
      </w:r>
      <w:r w:rsidRPr="0063409C">
        <w:rPr>
          <w:rFonts w:ascii="Arial" w:hAnsi="Arial" w:cs="Arial"/>
          <w:shd w:val="clear" w:color="auto" w:fill="FFFFFF"/>
        </w:rPr>
        <w:t>.</w:t>
      </w:r>
    </w:p>
    <w:p w14:paraId="10207C6D"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 xml:space="preserve">Roberts, H., Cowls, J., </w:t>
      </w:r>
      <w:proofErr w:type="spellStart"/>
      <w:r w:rsidRPr="0063409C">
        <w:rPr>
          <w:rFonts w:ascii="Arial" w:hAnsi="Arial" w:cs="Arial"/>
          <w:shd w:val="clear" w:color="auto" w:fill="FFFFFF"/>
        </w:rPr>
        <w:t>Casolari</w:t>
      </w:r>
      <w:proofErr w:type="spellEnd"/>
      <w:r w:rsidRPr="0063409C">
        <w:rPr>
          <w:rFonts w:ascii="Arial" w:hAnsi="Arial" w:cs="Arial"/>
          <w:shd w:val="clear" w:color="auto" w:fill="FFFFFF"/>
        </w:rPr>
        <w:t xml:space="preserve">, F., Morley, J., Taddeo, M., &amp; </w:t>
      </w:r>
      <w:proofErr w:type="spellStart"/>
      <w:r w:rsidRPr="0063409C">
        <w:rPr>
          <w:rFonts w:ascii="Arial" w:hAnsi="Arial" w:cs="Arial"/>
          <w:shd w:val="clear" w:color="auto" w:fill="FFFFFF"/>
        </w:rPr>
        <w:t>Floridi</w:t>
      </w:r>
      <w:proofErr w:type="spellEnd"/>
      <w:r w:rsidRPr="0063409C">
        <w:rPr>
          <w:rFonts w:ascii="Arial" w:hAnsi="Arial" w:cs="Arial"/>
          <w:shd w:val="clear" w:color="auto" w:fill="FFFFFF"/>
        </w:rPr>
        <w:t>, L. (2021). Safeguarding European values with digital sovereignty: An analysis of statements and policies. </w:t>
      </w:r>
      <w:r w:rsidRPr="0063409C">
        <w:rPr>
          <w:rFonts w:ascii="Arial" w:hAnsi="Arial" w:cs="Arial"/>
          <w:i/>
          <w:iCs/>
          <w:shd w:val="clear" w:color="auto" w:fill="FFFFFF"/>
        </w:rPr>
        <w:t>Internet Policy Review, Forthcoming</w:t>
      </w:r>
      <w:r w:rsidRPr="0063409C">
        <w:rPr>
          <w:rFonts w:ascii="Arial" w:hAnsi="Arial" w:cs="Arial"/>
          <w:shd w:val="clear" w:color="auto" w:fill="FFFFFF"/>
        </w:rPr>
        <w:t>.</w:t>
      </w:r>
    </w:p>
    <w:p w14:paraId="4952252F" w14:textId="77777777" w:rsidR="007A0337" w:rsidRPr="0063409C" w:rsidRDefault="007A0337" w:rsidP="0063409C">
      <w:pPr>
        <w:spacing w:line="360" w:lineRule="auto"/>
        <w:ind w:left="720" w:hanging="720"/>
        <w:rPr>
          <w:rFonts w:ascii="Arial" w:hAnsi="Arial" w:cs="Arial"/>
          <w:shd w:val="clear" w:color="auto" w:fill="FFFFFF"/>
        </w:rPr>
      </w:pPr>
      <w:r w:rsidRPr="0063409C">
        <w:rPr>
          <w:rFonts w:ascii="Arial" w:hAnsi="Arial" w:cs="Arial"/>
          <w:shd w:val="clear" w:color="auto" w:fill="FFFFFF"/>
        </w:rPr>
        <w:t xml:space="preserve">Skinner, G. C., </w:t>
      </w:r>
      <w:proofErr w:type="spellStart"/>
      <w:r w:rsidRPr="0063409C">
        <w:rPr>
          <w:rFonts w:ascii="Arial" w:hAnsi="Arial" w:cs="Arial"/>
          <w:shd w:val="clear" w:color="auto" w:fill="FFFFFF"/>
        </w:rPr>
        <w:t>Bywaters</w:t>
      </w:r>
      <w:proofErr w:type="spellEnd"/>
      <w:r w:rsidRPr="0063409C">
        <w:rPr>
          <w:rFonts w:ascii="Arial" w:hAnsi="Arial" w:cs="Arial"/>
          <w:shd w:val="clear" w:color="auto" w:fill="FFFFFF"/>
        </w:rPr>
        <w:t xml:space="preserve">, P. W., Bilson, A., </w:t>
      </w:r>
      <w:proofErr w:type="spellStart"/>
      <w:r w:rsidRPr="0063409C">
        <w:rPr>
          <w:rFonts w:ascii="Arial" w:hAnsi="Arial" w:cs="Arial"/>
          <w:shd w:val="clear" w:color="auto" w:fill="FFFFFF"/>
        </w:rPr>
        <w:t>Duschinsky</w:t>
      </w:r>
      <w:proofErr w:type="spellEnd"/>
      <w:r w:rsidRPr="0063409C">
        <w:rPr>
          <w:rFonts w:ascii="Arial" w:hAnsi="Arial" w:cs="Arial"/>
          <w:shd w:val="clear" w:color="auto" w:fill="FFFFFF"/>
        </w:rPr>
        <w:t>, R., Clements, K., &amp; Hutchinson, D. (2021). The ‘toxic trio’(domestic violence, substance misuse and mental ill-health): How good is the evidence base?. </w:t>
      </w:r>
      <w:r w:rsidRPr="0063409C">
        <w:rPr>
          <w:rFonts w:ascii="Arial" w:hAnsi="Arial" w:cs="Arial"/>
          <w:i/>
          <w:iCs/>
          <w:shd w:val="clear" w:color="auto" w:fill="FFFFFF"/>
        </w:rPr>
        <w:t>Children and Youth Services Review</w:t>
      </w:r>
      <w:r w:rsidRPr="0063409C">
        <w:rPr>
          <w:rFonts w:ascii="Arial" w:hAnsi="Arial" w:cs="Arial"/>
          <w:shd w:val="clear" w:color="auto" w:fill="FFFFFF"/>
        </w:rPr>
        <w:t>, </w:t>
      </w:r>
      <w:r w:rsidRPr="0063409C">
        <w:rPr>
          <w:rFonts w:ascii="Arial" w:hAnsi="Arial" w:cs="Arial"/>
          <w:i/>
          <w:iCs/>
          <w:shd w:val="clear" w:color="auto" w:fill="FFFFFF"/>
        </w:rPr>
        <w:t>120</w:t>
      </w:r>
      <w:r w:rsidRPr="0063409C">
        <w:rPr>
          <w:rFonts w:ascii="Arial" w:hAnsi="Arial" w:cs="Arial"/>
          <w:shd w:val="clear" w:color="auto" w:fill="FFFFFF"/>
        </w:rPr>
        <w:t>, 105678.</w:t>
      </w:r>
    </w:p>
    <w:p w14:paraId="6F694FC4" w14:textId="77777777" w:rsidR="00B578AD" w:rsidRPr="0063409C" w:rsidRDefault="007A0337" w:rsidP="0063409C">
      <w:pPr>
        <w:tabs>
          <w:tab w:val="left" w:pos="4170"/>
        </w:tabs>
        <w:spacing w:line="360" w:lineRule="auto"/>
        <w:rPr>
          <w:rFonts w:ascii="Arial" w:hAnsi="Arial" w:cs="Arial"/>
        </w:rPr>
      </w:pPr>
      <w:r w:rsidRPr="0063409C">
        <w:rPr>
          <w:rFonts w:ascii="Arial" w:hAnsi="Arial" w:cs="Arial"/>
        </w:rPr>
        <w:tab/>
      </w:r>
    </w:p>
    <w:sectPr w:rsidR="00B578AD" w:rsidRPr="0063409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2EBEF" w14:textId="77777777" w:rsidR="00AC5FDA" w:rsidRDefault="00AC5FDA" w:rsidP="0063409C">
      <w:pPr>
        <w:spacing w:after="0" w:line="240" w:lineRule="auto"/>
      </w:pPr>
      <w:r>
        <w:separator/>
      </w:r>
    </w:p>
  </w:endnote>
  <w:endnote w:type="continuationSeparator" w:id="0">
    <w:p w14:paraId="300F5C79" w14:textId="77777777" w:rsidR="00AC5FDA" w:rsidRDefault="00AC5FDA" w:rsidP="00634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3F815" w14:textId="77777777" w:rsidR="00AC5FDA" w:rsidRDefault="00AC5FDA" w:rsidP="0063409C">
      <w:pPr>
        <w:spacing w:after="0" w:line="240" w:lineRule="auto"/>
      </w:pPr>
      <w:r>
        <w:separator/>
      </w:r>
    </w:p>
  </w:footnote>
  <w:footnote w:type="continuationSeparator" w:id="0">
    <w:p w14:paraId="19807D1B" w14:textId="77777777" w:rsidR="00AC5FDA" w:rsidRDefault="00AC5FDA" w:rsidP="00634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784405"/>
      <w:docPartObj>
        <w:docPartGallery w:val="Page Numbers (Top of Page)"/>
        <w:docPartUnique/>
      </w:docPartObj>
    </w:sdtPr>
    <w:sdtEndPr>
      <w:rPr>
        <w:rFonts w:ascii="Arial" w:hAnsi="Arial" w:cs="Arial"/>
        <w:noProof/>
      </w:rPr>
    </w:sdtEndPr>
    <w:sdtContent>
      <w:p w14:paraId="6362490F" w14:textId="77777777" w:rsidR="0063409C" w:rsidRPr="0063409C" w:rsidRDefault="0063409C">
        <w:pPr>
          <w:pStyle w:val="Header"/>
          <w:jc w:val="right"/>
          <w:rPr>
            <w:rFonts w:ascii="Arial" w:hAnsi="Arial" w:cs="Arial"/>
          </w:rPr>
        </w:pPr>
        <w:r w:rsidRPr="0063409C">
          <w:rPr>
            <w:rFonts w:ascii="Arial" w:hAnsi="Arial" w:cs="Arial"/>
          </w:rPr>
          <w:fldChar w:fldCharType="begin"/>
        </w:r>
        <w:r w:rsidRPr="0063409C">
          <w:rPr>
            <w:rFonts w:ascii="Arial" w:hAnsi="Arial" w:cs="Arial"/>
          </w:rPr>
          <w:instrText xml:space="preserve"> PAGE   \* MERGEFORMAT </w:instrText>
        </w:r>
        <w:r w:rsidRPr="0063409C">
          <w:rPr>
            <w:rFonts w:ascii="Arial" w:hAnsi="Arial" w:cs="Arial"/>
          </w:rPr>
          <w:fldChar w:fldCharType="separate"/>
        </w:r>
        <w:r w:rsidR="00186A18">
          <w:rPr>
            <w:rFonts w:ascii="Arial" w:hAnsi="Arial" w:cs="Arial"/>
            <w:noProof/>
          </w:rPr>
          <w:t>9</w:t>
        </w:r>
        <w:r w:rsidRPr="0063409C">
          <w:rPr>
            <w:rFonts w:ascii="Arial" w:hAnsi="Arial" w:cs="Arial"/>
            <w:noProof/>
          </w:rPr>
          <w:fldChar w:fldCharType="end"/>
        </w:r>
      </w:p>
    </w:sdtContent>
  </w:sdt>
  <w:p w14:paraId="4C99A28F" w14:textId="77777777" w:rsidR="0063409C" w:rsidRDefault="006340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E6F3E"/>
    <w:multiLevelType w:val="multilevel"/>
    <w:tmpl w:val="C2F0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452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FCB"/>
    <w:rsid w:val="00186A18"/>
    <w:rsid w:val="001B0D65"/>
    <w:rsid w:val="003558DC"/>
    <w:rsid w:val="003E0D88"/>
    <w:rsid w:val="004D6293"/>
    <w:rsid w:val="00512CE7"/>
    <w:rsid w:val="005F061B"/>
    <w:rsid w:val="00620341"/>
    <w:rsid w:val="0063409C"/>
    <w:rsid w:val="00697D97"/>
    <w:rsid w:val="00716123"/>
    <w:rsid w:val="007A0337"/>
    <w:rsid w:val="0082459F"/>
    <w:rsid w:val="00831391"/>
    <w:rsid w:val="008D0AE6"/>
    <w:rsid w:val="008F0663"/>
    <w:rsid w:val="00985462"/>
    <w:rsid w:val="009B2C43"/>
    <w:rsid w:val="009E72E8"/>
    <w:rsid w:val="00AB3D60"/>
    <w:rsid w:val="00AC5FDA"/>
    <w:rsid w:val="00AF3F3F"/>
    <w:rsid w:val="00B32A30"/>
    <w:rsid w:val="00B565D7"/>
    <w:rsid w:val="00B578AD"/>
    <w:rsid w:val="00B905FF"/>
    <w:rsid w:val="00B9533C"/>
    <w:rsid w:val="00BE7E05"/>
    <w:rsid w:val="00C42C3A"/>
    <w:rsid w:val="00D57FCB"/>
    <w:rsid w:val="00FC5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4338"/>
  <w15:chartTrackingRefBased/>
  <w15:docId w15:val="{AE91941C-7CF0-43F9-8750-F84A940EC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061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340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09C"/>
  </w:style>
  <w:style w:type="paragraph" w:styleId="Footer">
    <w:name w:val="footer"/>
    <w:basedOn w:val="Normal"/>
    <w:link w:val="FooterChar"/>
    <w:uiPriority w:val="99"/>
    <w:unhideWhenUsed/>
    <w:rsid w:val="006340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8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Kabir Miah</cp:lastModifiedBy>
  <cp:revision>2</cp:revision>
  <dcterms:created xsi:type="dcterms:W3CDTF">2023-07-28T11:55:00Z</dcterms:created>
  <dcterms:modified xsi:type="dcterms:W3CDTF">2023-07-28T11:55:00Z</dcterms:modified>
</cp:coreProperties>
</file>