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Default="00B83A24" w:rsidP="00B83A24">
      <w:pPr>
        <w:jc w:val="center"/>
        <w:rPr>
          <w:b/>
        </w:rPr>
      </w:pPr>
    </w:p>
    <w:p w:rsidR="00B83A24" w:rsidRPr="00B83A24" w:rsidRDefault="003E2DE8" w:rsidP="00B83A24">
      <w:pPr>
        <w:jc w:val="center"/>
        <w:rPr>
          <w:b/>
        </w:rPr>
      </w:pPr>
      <w:r w:rsidRPr="00B83A24">
        <w:rPr>
          <w:b/>
        </w:rPr>
        <w:t>Student Name</w:t>
      </w:r>
      <w:r>
        <w:rPr>
          <w:b/>
        </w:rPr>
        <w:t>:</w:t>
      </w:r>
      <w:r w:rsidR="007D13B8">
        <w:rPr>
          <w:b/>
        </w:rPr>
        <w:t>Borislav Mitkov Biserov</w:t>
      </w:r>
      <w:bookmarkStart w:id="0" w:name="_GoBack"/>
      <w:bookmarkEnd w:id="0"/>
    </w:p>
    <w:p w:rsidR="00B83A24" w:rsidRPr="00B83A24" w:rsidRDefault="003E2DE8" w:rsidP="00B83A24">
      <w:pPr>
        <w:jc w:val="center"/>
        <w:rPr>
          <w:b/>
        </w:rPr>
      </w:pPr>
      <w:r w:rsidRPr="00B83A24">
        <w:rPr>
          <w:b/>
        </w:rPr>
        <w:t>Student Number</w:t>
      </w:r>
      <w:r>
        <w:rPr>
          <w:b/>
        </w:rPr>
        <w:t>:</w:t>
      </w:r>
      <w:r w:rsidR="007D13B8">
        <w:rPr>
          <w:b/>
        </w:rPr>
        <w:t>1921534</w:t>
      </w:r>
    </w:p>
    <w:p w:rsidR="00E81D41" w:rsidRPr="00B83A24" w:rsidRDefault="003E2DE8" w:rsidP="00B83A24">
      <w:pPr>
        <w:jc w:val="center"/>
        <w:rPr>
          <w:b/>
        </w:rPr>
      </w:pPr>
      <w:r w:rsidRPr="00B83A24">
        <w:rPr>
          <w:b/>
        </w:rPr>
        <w:t>Module title:</w:t>
      </w:r>
      <w:r>
        <w:rPr>
          <w:b/>
        </w:rPr>
        <w:t xml:space="preserve"> BMSW4001</w:t>
      </w:r>
    </w:p>
    <w:p w:rsidR="00B83A24" w:rsidRDefault="003E2DE8" w:rsidP="00B83A24">
      <w:pPr>
        <w:jc w:val="center"/>
      </w:pPr>
      <w:r w:rsidRPr="00B83A24">
        <w:rPr>
          <w:b/>
        </w:rPr>
        <w:t>Assignment Title</w:t>
      </w:r>
      <w:r>
        <w:t xml:space="preserve">: </w:t>
      </w:r>
      <w:r w:rsidRPr="00B83A24">
        <w:rPr>
          <w:b/>
        </w:rPr>
        <w:t>Academic and Employability Skills</w:t>
      </w:r>
    </w:p>
    <w:p w:rsidR="00B83A24" w:rsidRDefault="003E2DE8" w:rsidP="00B83A24">
      <w:pPr>
        <w:jc w:val="center"/>
        <w:rPr>
          <w:b/>
        </w:rPr>
      </w:pPr>
      <w:r w:rsidRPr="00B83A24">
        <w:rPr>
          <w:b/>
        </w:rPr>
        <w:t>Module Lecturer</w:t>
      </w:r>
      <w:r>
        <w:rPr>
          <w:b/>
        </w:rPr>
        <w:t xml:space="preserve">: </w:t>
      </w:r>
    </w:p>
    <w:p w:rsidR="00C445A3" w:rsidRPr="008E7A6D" w:rsidRDefault="003E2DE8" w:rsidP="008E7A6D">
      <w:pPr>
        <w:spacing w:line="276" w:lineRule="auto"/>
        <w:jc w:val="left"/>
        <w:rPr>
          <w:b/>
        </w:rPr>
      </w:pPr>
      <w:r>
        <w:rPr>
          <w:b/>
        </w:rPr>
        <w:br w:type="page"/>
      </w:r>
    </w:p>
    <w:sdt>
      <w:sdtPr>
        <w:rPr>
          <w:rFonts w:ascii="Times New Roman" w:eastAsiaTheme="minorEastAsia" w:hAnsi="Times New Roman" w:cstheme="minorBidi"/>
          <w:b w:val="0"/>
          <w:bCs w:val="0"/>
          <w:color w:val="auto"/>
          <w:sz w:val="24"/>
          <w:szCs w:val="22"/>
          <w:lang w:val="en-GB" w:eastAsia="en-IN"/>
        </w:rPr>
        <w:id w:val="747093"/>
        <w:docPartObj>
          <w:docPartGallery w:val="Table of Contents"/>
          <w:docPartUnique/>
        </w:docPartObj>
      </w:sdtPr>
      <w:sdtEndPr/>
      <w:sdtContent>
        <w:p w:rsidR="00BA2D7C" w:rsidRDefault="003E2DE8" w:rsidP="00BA2D7C">
          <w:pPr>
            <w:pStyle w:val="TtulodeTDC"/>
            <w:jc w:val="center"/>
          </w:pPr>
          <w:r w:rsidRPr="00BA2D7C">
            <w:rPr>
              <w:rFonts w:ascii="Times New Roman" w:hAnsi="Times New Roman" w:cs="Times New Roman"/>
              <w:color w:val="auto"/>
              <w:sz w:val="24"/>
              <w:szCs w:val="24"/>
            </w:rPr>
            <w:t>Table of Contents</w:t>
          </w:r>
        </w:p>
        <w:p w:rsidR="00BA2D7C" w:rsidRDefault="003E2DE8">
          <w:pPr>
            <w:pStyle w:val="TDC1"/>
            <w:tabs>
              <w:tab w:val="right" w:leader="dot" w:pos="9016"/>
            </w:tabs>
            <w:rPr>
              <w:rFonts w:asciiTheme="minorHAnsi" w:hAnsiTheme="minorHAnsi"/>
              <w:noProof/>
              <w:sz w:val="22"/>
              <w:lang w:val="en-IN"/>
            </w:rPr>
          </w:pPr>
          <w:r>
            <w:fldChar w:fldCharType="begin"/>
          </w:r>
          <w:r>
            <w:instrText xml:space="preserve"> TOC \o "1-3" \h \z \u </w:instrText>
          </w:r>
          <w:r>
            <w:fldChar w:fldCharType="separate"/>
          </w:r>
          <w:hyperlink w:anchor="_Toc49954761" w:history="1">
            <w:r w:rsidRPr="00D15EEA">
              <w:rPr>
                <w:rStyle w:val="Hipervnculo"/>
                <w:noProof/>
              </w:rPr>
              <w:t>Introduction</w:t>
            </w:r>
            <w:r>
              <w:rPr>
                <w:noProof/>
                <w:webHidden/>
              </w:rPr>
              <w:tab/>
            </w:r>
            <w:r>
              <w:rPr>
                <w:noProof/>
                <w:webHidden/>
              </w:rPr>
              <w:fldChar w:fldCharType="begin"/>
            </w:r>
            <w:r>
              <w:rPr>
                <w:noProof/>
                <w:webHidden/>
              </w:rPr>
              <w:instrText xml:space="preserve"> PAGEREF _Toc49954761 \h </w:instrText>
            </w:r>
            <w:r>
              <w:rPr>
                <w:noProof/>
                <w:webHidden/>
              </w:rPr>
            </w:r>
            <w:r>
              <w:rPr>
                <w:noProof/>
                <w:webHidden/>
              </w:rPr>
              <w:fldChar w:fldCharType="separate"/>
            </w:r>
            <w:r w:rsidR="00C16C17">
              <w:rPr>
                <w:noProof/>
                <w:webHidden/>
              </w:rPr>
              <w:t>3</w:t>
            </w:r>
            <w:r>
              <w:rPr>
                <w:noProof/>
                <w:webHidden/>
              </w:rPr>
              <w:fldChar w:fldCharType="end"/>
            </w:r>
          </w:hyperlink>
        </w:p>
        <w:p w:rsidR="00BA2D7C" w:rsidRDefault="00C31F4C">
          <w:pPr>
            <w:pStyle w:val="TDC1"/>
            <w:tabs>
              <w:tab w:val="right" w:leader="dot" w:pos="9016"/>
            </w:tabs>
            <w:rPr>
              <w:rFonts w:asciiTheme="minorHAnsi" w:hAnsiTheme="minorHAnsi"/>
              <w:noProof/>
              <w:sz w:val="22"/>
              <w:lang w:val="en-IN"/>
            </w:rPr>
          </w:pPr>
          <w:hyperlink w:anchor="_Toc49954762" w:history="1">
            <w:r w:rsidR="003E2DE8" w:rsidRPr="00D15EEA">
              <w:rPr>
                <w:rStyle w:val="Hipervnculo"/>
                <w:noProof/>
              </w:rPr>
              <w:t>Main Body</w:t>
            </w:r>
            <w:r w:rsidR="003E2DE8">
              <w:rPr>
                <w:noProof/>
                <w:webHidden/>
              </w:rPr>
              <w:tab/>
            </w:r>
            <w:r w:rsidR="003E2DE8">
              <w:rPr>
                <w:noProof/>
                <w:webHidden/>
              </w:rPr>
              <w:fldChar w:fldCharType="begin"/>
            </w:r>
            <w:r w:rsidR="003E2DE8">
              <w:rPr>
                <w:noProof/>
                <w:webHidden/>
              </w:rPr>
              <w:instrText xml:space="preserve"> PAGEREF _Toc49954762 \h </w:instrText>
            </w:r>
            <w:r w:rsidR="003E2DE8">
              <w:rPr>
                <w:noProof/>
                <w:webHidden/>
              </w:rPr>
            </w:r>
            <w:r w:rsidR="003E2DE8">
              <w:rPr>
                <w:noProof/>
                <w:webHidden/>
              </w:rPr>
              <w:fldChar w:fldCharType="separate"/>
            </w:r>
            <w:r w:rsidR="00C16C17">
              <w:rPr>
                <w:noProof/>
                <w:webHidden/>
              </w:rPr>
              <w:t>4</w:t>
            </w:r>
            <w:r w:rsidR="003E2DE8">
              <w:rPr>
                <w:noProof/>
                <w:webHidden/>
              </w:rPr>
              <w:fldChar w:fldCharType="end"/>
            </w:r>
          </w:hyperlink>
        </w:p>
        <w:p w:rsidR="00BA2D7C" w:rsidRDefault="00C31F4C">
          <w:pPr>
            <w:pStyle w:val="TDC1"/>
            <w:tabs>
              <w:tab w:val="right" w:leader="dot" w:pos="9016"/>
            </w:tabs>
            <w:rPr>
              <w:rFonts w:asciiTheme="minorHAnsi" w:hAnsiTheme="minorHAnsi"/>
              <w:noProof/>
              <w:sz w:val="22"/>
              <w:lang w:val="en-IN"/>
            </w:rPr>
          </w:pPr>
          <w:hyperlink w:anchor="_Toc49954763" w:history="1">
            <w:r w:rsidR="003E2DE8" w:rsidRPr="00D15EEA">
              <w:rPr>
                <w:rStyle w:val="Hipervnculo"/>
                <w:noProof/>
              </w:rPr>
              <w:t>Conclusion</w:t>
            </w:r>
            <w:r w:rsidR="003E2DE8">
              <w:rPr>
                <w:noProof/>
                <w:webHidden/>
              </w:rPr>
              <w:tab/>
            </w:r>
            <w:r w:rsidR="003E2DE8">
              <w:rPr>
                <w:noProof/>
                <w:webHidden/>
              </w:rPr>
              <w:fldChar w:fldCharType="begin"/>
            </w:r>
            <w:r w:rsidR="003E2DE8">
              <w:rPr>
                <w:noProof/>
                <w:webHidden/>
              </w:rPr>
              <w:instrText xml:space="preserve"> PAGEREF _Toc49954763 \h </w:instrText>
            </w:r>
            <w:r w:rsidR="003E2DE8">
              <w:rPr>
                <w:noProof/>
                <w:webHidden/>
              </w:rPr>
            </w:r>
            <w:r w:rsidR="003E2DE8">
              <w:rPr>
                <w:noProof/>
                <w:webHidden/>
              </w:rPr>
              <w:fldChar w:fldCharType="separate"/>
            </w:r>
            <w:r w:rsidR="00C16C17">
              <w:rPr>
                <w:noProof/>
                <w:webHidden/>
              </w:rPr>
              <w:t>9</w:t>
            </w:r>
            <w:r w:rsidR="003E2DE8">
              <w:rPr>
                <w:noProof/>
                <w:webHidden/>
              </w:rPr>
              <w:fldChar w:fldCharType="end"/>
            </w:r>
          </w:hyperlink>
        </w:p>
        <w:p w:rsidR="00BA2D7C" w:rsidRDefault="00C31F4C">
          <w:pPr>
            <w:pStyle w:val="TDC1"/>
            <w:tabs>
              <w:tab w:val="right" w:leader="dot" w:pos="9016"/>
            </w:tabs>
            <w:rPr>
              <w:rFonts w:asciiTheme="minorHAnsi" w:hAnsiTheme="minorHAnsi"/>
              <w:noProof/>
              <w:sz w:val="22"/>
              <w:lang w:val="en-IN"/>
            </w:rPr>
          </w:pPr>
          <w:hyperlink w:anchor="_Toc49954764" w:history="1">
            <w:r w:rsidR="003E2DE8" w:rsidRPr="00D15EEA">
              <w:rPr>
                <w:rStyle w:val="Hipervnculo"/>
                <w:noProof/>
              </w:rPr>
              <w:t>Reference List</w:t>
            </w:r>
            <w:r w:rsidR="003E2DE8">
              <w:rPr>
                <w:noProof/>
                <w:webHidden/>
              </w:rPr>
              <w:tab/>
            </w:r>
            <w:r w:rsidR="003E2DE8">
              <w:rPr>
                <w:noProof/>
                <w:webHidden/>
              </w:rPr>
              <w:fldChar w:fldCharType="begin"/>
            </w:r>
            <w:r w:rsidR="003E2DE8">
              <w:rPr>
                <w:noProof/>
                <w:webHidden/>
              </w:rPr>
              <w:instrText xml:space="preserve"> PAGEREF _Toc49954764 \h </w:instrText>
            </w:r>
            <w:r w:rsidR="003E2DE8">
              <w:rPr>
                <w:noProof/>
                <w:webHidden/>
              </w:rPr>
            </w:r>
            <w:r w:rsidR="003E2DE8">
              <w:rPr>
                <w:noProof/>
                <w:webHidden/>
              </w:rPr>
              <w:fldChar w:fldCharType="separate"/>
            </w:r>
            <w:r w:rsidR="00C16C17">
              <w:rPr>
                <w:noProof/>
                <w:webHidden/>
              </w:rPr>
              <w:t>10</w:t>
            </w:r>
            <w:r w:rsidR="003E2DE8">
              <w:rPr>
                <w:noProof/>
                <w:webHidden/>
              </w:rPr>
              <w:fldChar w:fldCharType="end"/>
            </w:r>
          </w:hyperlink>
        </w:p>
        <w:p w:rsidR="00BA2D7C" w:rsidRDefault="003E2DE8">
          <w:r>
            <w:fldChar w:fldCharType="end"/>
          </w:r>
        </w:p>
      </w:sdtContent>
    </w:sdt>
    <w:p w:rsidR="008A066D" w:rsidRDefault="003E2DE8">
      <w:pPr>
        <w:spacing w:line="276" w:lineRule="auto"/>
        <w:jc w:val="left"/>
        <w:rPr>
          <w:rFonts w:eastAsiaTheme="majorEastAsia" w:cstheme="majorBidi"/>
          <w:b/>
          <w:bCs/>
          <w:szCs w:val="28"/>
          <w:lang w:eastAsia="en-US"/>
        </w:rPr>
      </w:pPr>
      <w:r>
        <w:br w:type="page"/>
      </w:r>
    </w:p>
    <w:p w:rsidR="00B83A24" w:rsidRDefault="003E2DE8" w:rsidP="00B83A24">
      <w:pPr>
        <w:pStyle w:val="Ttulo1"/>
      </w:pPr>
      <w:bookmarkStart w:id="1" w:name="_Toc49954761"/>
      <w:r>
        <w:lastRenderedPageBreak/>
        <w:t>Introduction</w:t>
      </w:r>
      <w:bookmarkEnd w:id="1"/>
    </w:p>
    <w:p w:rsidR="008565C7" w:rsidRDefault="009B04E9" w:rsidP="008A066D">
      <w:pPr>
        <w:rPr>
          <w:rFonts w:eastAsiaTheme="majorEastAsia" w:cstheme="majorBidi"/>
          <w:szCs w:val="28"/>
          <w:lang w:eastAsia="en-US"/>
        </w:rPr>
      </w:pPr>
      <w:r w:rsidRPr="009B04E9">
        <w:t xml:space="preserve">Business aptitudes can be alluded to as the course of action of various fundamental capacities that are required by various individuals at the hour of utilization inside some master labor force. In the report I will portray my experience that I took from the investigation cycle. What's more, I will take a gander at the various things I like in the module, near the points of view I couldn't care less about. My perspective on preparing will likewise be portrayed in a later piece of the report. In addition, I will likewise utilize two novel hypotheses to audit my preparation. </w:t>
      </w:r>
      <w:r w:rsidR="009A5863">
        <w:t xml:space="preserve"> </w:t>
      </w:r>
      <w:r w:rsidR="003E2DE8">
        <w:br w:type="page"/>
      </w:r>
    </w:p>
    <w:p w:rsidR="00B83A24" w:rsidRDefault="003E2DE8" w:rsidP="00B83A24">
      <w:pPr>
        <w:pStyle w:val="Ttulo1"/>
        <w:rPr>
          <w:b w:val="0"/>
        </w:rPr>
      </w:pPr>
      <w:bookmarkStart w:id="2" w:name="_Toc49954762"/>
      <w:r>
        <w:lastRenderedPageBreak/>
        <w:t>Main Body</w:t>
      </w:r>
      <w:bookmarkEnd w:id="2"/>
    </w:p>
    <w:p w:rsidR="008565C7" w:rsidRDefault="009B04E9" w:rsidP="008565C7">
      <w:pPr>
        <w:rPr>
          <w:lang w:eastAsia="en-US"/>
        </w:rPr>
      </w:pPr>
      <w:r w:rsidRPr="009B04E9">
        <w:rPr>
          <w:lang w:eastAsia="en-US"/>
        </w:rPr>
        <w:t>I will look at my overall learning measure in this module. To mirror all my experience during the educational period of this module, I will utilize the Kolb study cycle and the Gibb keen cycle. The portrayal of these hypotheses, near my experience, is communicated beneath.</w:t>
      </w:r>
    </w:p>
    <w:p w:rsidR="008565C7" w:rsidRPr="00DF5014" w:rsidRDefault="003E2DE8" w:rsidP="008565C7">
      <w:pPr>
        <w:rPr>
          <w:b/>
          <w:lang w:eastAsia="en-US"/>
        </w:rPr>
      </w:pPr>
      <w:r w:rsidRPr="00DF5014">
        <w:rPr>
          <w:b/>
          <w:lang w:eastAsia="en-US"/>
        </w:rPr>
        <w:t>Kolb's learning cycle</w:t>
      </w:r>
    </w:p>
    <w:p w:rsidR="009B04E9" w:rsidRPr="009B04E9" w:rsidRDefault="009B04E9" w:rsidP="009B04E9">
      <w:pPr>
        <w:rPr>
          <w:bCs/>
          <w:iCs/>
          <w:lang w:eastAsia="en-US"/>
        </w:rPr>
      </w:pPr>
      <w:r w:rsidRPr="009B04E9">
        <w:rPr>
          <w:bCs/>
          <w:iCs/>
          <w:lang w:eastAsia="en-US"/>
        </w:rPr>
        <w:t xml:space="preserve">Immovably dedicated to this period of Kolb's preparation cycle, I encountered some new kinds of experiences that I had not had previously. In the underlying section of the module, I was given the commitment to utilize a collection of gadgets while utilizing these gadgets in my situation (Rowe and Zegwaard, 2017). Also, I was additionally limited by the commitment to mirror my overall academic development, </w:t>
      </w:r>
      <w:r w:rsidR="00500323">
        <w:rPr>
          <w:bCs/>
          <w:iCs/>
          <w:lang w:eastAsia="en-US"/>
        </w:rPr>
        <w:t xml:space="preserve">and so that in times I experienced resistance towards the learning </w:t>
      </w:r>
      <w:r w:rsidR="00A626EB">
        <w:rPr>
          <w:bCs/>
          <w:iCs/>
          <w:lang w:eastAsia="en-US"/>
        </w:rPr>
        <w:t>cycle in the beginning of this module.</w:t>
      </w:r>
      <w:r w:rsidR="00500323">
        <w:rPr>
          <w:bCs/>
          <w:iCs/>
          <w:color w:val="FF0000"/>
          <w:lang w:eastAsia="en-US"/>
        </w:rPr>
        <w:t xml:space="preserve"> </w:t>
      </w:r>
      <w:r w:rsidR="00A626EB" w:rsidRPr="00A626EB">
        <w:rPr>
          <w:bCs/>
          <w:iCs/>
          <w:lang w:eastAsia="en-US"/>
        </w:rPr>
        <w:t>Some of</w:t>
      </w:r>
      <w:r w:rsidR="00A626EB">
        <w:rPr>
          <w:bCs/>
          <w:iCs/>
          <w:color w:val="FF0000"/>
          <w:lang w:eastAsia="en-US"/>
        </w:rPr>
        <w:t xml:space="preserve"> </w:t>
      </w:r>
      <w:r w:rsidR="00A626EB">
        <w:rPr>
          <w:bCs/>
          <w:iCs/>
          <w:lang w:eastAsia="en-US"/>
        </w:rPr>
        <w:t xml:space="preserve">the material was a challenge to grasp due to language barrier and also complexity. The complexity took me out of my comfort zone when I also decided to work on my language barrier and to use any practical examples that I could find in books and journals in order to secure a better understanding of more complex concepts. </w:t>
      </w:r>
      <w:r w:rsidRPr="009B04E9">
        <w:rPr>
          <w:bCs/>
          <w:iCs/>
          <w:lang w:eastAsia="en-US"/>
        </w:rPr>
        <w:t>In spite of the fact that I found that drafting reports was unquestionably not an issue for me, I saw that I was not altogether happy with the subject of the load up, as I didn't have any connected information with respect to an opportunity to consider the subjects of the supervisors.</w:t>
      </w:r>
    </w:p>
    <w:p w:rsidR="009B04E9" w:rsidRPr="00A626EB" w:rsidRDefault="009B04E9" w:rsidP="009B04E9">
      <w:pPr>
        <w:rPr>
          <w:bCs/>
          <w:iCs/>
          <w:lang w:eastAsia="en-US"/>
        </w:rPr>
      </w:pPr>
      <w:r w:rsidRPr="009B04E9">
        <w:rPr>
          <w:bCs/>
          <w:iCs/>
          <w:lang w:eastAsia="en-US"/>
        </w:rPr>
        <w:t xml:space="preserve">Moreover, at the </w:t>
      </w:r>
      <w:r w:rsidR="00A626EB">
        <w:rPr>
          <w:bCs/>
          <w:iCs/>
          <w:lang w:eastAsia="en-US"/>
        </w:rPr>
        <w:t>time</w:t>
      </w:r>
      <w:r w:rsidRPr="009B04E9">
        <w:rPr>
          <w:bCs/>
          <w:iCs/>
          <w:lang w:eastAsia="en-US"/>
        </w:rPr>
        <w:t xml:space="preserve"> of </w:t>
      </w:r>
      <w:r w:rsidR="00A626EB">
        <w:rPr>
          <w:bCs/>
          <w:iCs/>
          <w:lang w:eastAsia="en-US"/>
        </w:rPr>
        <w:t xml:space="preserve">writing </w:t>
      </w:r>
      <w:r w:rsidRPr="009B04E9">
        <w:rPr>
          <w:bCs/>
          <w:iCs/>
          <w:lang w:eastAsia="en-US"/>
        </w:rPr>
        <w:t xml:space="preserve">the report in the primary errand of the module, I was somewhat more dubious about how to consider my master progress plan, as I likewise had no connected information on it thusly. I had felt somewhat more dubious and awkward as the two points distinguished by time, dashboard and PDP were different to me. In any case, in the past I have been engaged with driving a SWOT examination. In this way, I didn't discover any issue while coordinating my SWOT survey. In the underlying not extremely long areas from the earliest starting point of the entire report, </w:t>
      </w:r>
      <w:r w:rsidR="007C3EEB" w:rsidRPr="007C3EEB">
        <w:rPr>
          <w:bCs/>
          <w:iCs/>
          <w:lang w:eastAsia="en-US"/>
        </w:rPr>
        <w:t>there</w:t>
      </w:r>
      <w:r w:rsidR="007C3EEB">
        <w:rPr>
          <w:bCs/>
          <w:iCs/>
          <w:color w:val="FF0000"/>
          <w:lang w:eastAsia="en-US"/>
        </w:rPr>
        <w:t xml:space="preserve"> </w:t>
      </w:r>
      <w:r w:rsidR="00A626EB">
        <w:rPr>
          <w:bCs/>
          <w:iCs/>
          <w:lang w:eastAsia="en-US"/>
        </w:rPr>
        <w:t>were</w:t>
      </w:r>
      <w:r w:rsidR="00A626EB" w:rsidRPr="00A626EB">
        <w:rPr>
          <w:bCs/>
          <w:iCs/>
          <w:lang w:eastAsia="en-US"/>
        </w:rPr>
        <w:t xml:space="preserve"> </w:t>
      </w:r>
      <w:r w:rsidR="00A626EB">
        <w:rPr>
          <w:bCs/>
          <w:iCs/>
          <w:lang w:eastAsia="en-US"/>
        </w:rPr>
        <w:t>aspects</w:t>
      </w:r>
      <w:r w:rsidR="00A626EB" w:rsidRPr="00A626EB">
        <w:rPr>
          <w:bCs/>
          <w:iCs/>
          <w:lang w:eastAsia="en-US"/>
        </w:rPr>
        <w:t xml:space="preserve"> that can be explored with the help of reflection cycle models which can help for one to remain impartial when writing those (Suartaet et al., 2018). </w:t>
      </w:r>
      <w:r w:rsidR="007C3EEB">
        <w:rPr>
          <w:bCs/>
          <w:iCs/>
          <w:lang w:eastAsia="en-US"/>
        </w:rPr>
        <w:t xml:space="preserve">Initially, I was uncertain about my capabilities or inside regarding academic and employability understanding although I was making sure that I read as much as possible. I decided to alter or adjust the way in which I was using the reflection theory to suit the challenges that I was experiencing in order to have them laid out in front of me with more clarity and to find an easier way to solve them. This work successfully especially with the help of the analysis of Swot. </w:t>
      </w:r>
    </w:p>
    <w:p w:rsidR="009B04E9" w:rsidRPr="009B04E9" w:rsidRDefault="009B04E9" w:rsidP="009B04E9">
      <w:pPr>
        <w:rPr>
          <w:bCs/>
          <w:iCs/>
          <w:lang w:eastAsia="en-US"/>
        </w:rPr>
      </w:pPr>
      <w:r w:rsidRPr="009B04E9">
        <w:rPr>
          <w:bCs/>
          <w:iCs/>
          <w:lang w:eastAsia="en-US"/>
        </w:rPr>
        <w:lastRenderedPageBreak/>
        <w:t>Perception</w:t>
      </w:r>
      <w:r w:rsidR="00C16C17">
        <w:rPr>
          <w:bCs/>
          <w:iCs/>
          <w:lang w:eastAsia="en-US"/>
        </w:rPr>
        <w:t xml:space="preserve"> - </w:t>
      </w:r>
      <w:r w:rsidR="00C16C17" w:rsidRPr="009B04E9">
        <w:rPr>
          <w:bCs/>
          <w:iCs/>
          <w:lang w:eastAsia="en-US"/>
        </w:rPr>
        <w:t>This</w:t>
      </w:r>
      <w:r w:rsidRPr="009B04E9">
        <w:rPr>
          <w:bCs/>
          <w:iCs/>
          <w:lang w:eastAsia="en-US"/>
        </w:rPr>
        <w:t xml:space="preserve"> is the following period of Kolb's preparation cycle, and it has been seen that in the field of wise discernment I can undoubtedly distinguish and portray my different levels of anomaly regarding considerable arrangement and experience. Since breaking the last command, I can without a doubt consider the fundamental thought that my understanding into enrollment and determination procedures is near the reason of running a PDP and when guidance was adequately not. Regardless, I was extremely productive as far as keeping various sorts of educator notes in the underlying section of the entire assignment. I was productive in coordinating the SWOT review, so in this specific circumstance I can without a doubt say that the theme identified with the SWOT examination</w:t>
      </w:r>
      <w:r w:rsidR="00C16C17">
        <w:rPr>
          <w:bCs/>
          <w:iCs/>
          <w:lang w:eastAsia="en-US"/>
        </w:rPr>
        <w:t>.</w:t>
      </w:r>
      <w:r w:rsidRPr="009B04E9">
        <w:rPr>
          <w:bCs/>
          <w:iCs/>
          <w:lang w:eastAsia="en-US"/>
        </w:rPr>
        <w:t xml:space="preserve"> </w:t>
      </w:r>
    </w:p>
    <w:p w:rsidR="009B04E9" w:rsidRPr="009B04E9" w:rsidRDefault="009B04E9" w:rsidP="009B04E9">
      <w:pPr>
        <w:rPr>
          <w:bCs/>
          <w:iCs/>
          <w:lang w:eastAsia="en-US"/>
        </w:rPr>
      </w:pPr>
      <w:r w:rsidRPr="009B04E9">
        <w:rPr>
          <w:bCs/>
          <w:iCs/>
          <w:lang w:eastAsia="en-US"/>
        </w:rPr>
        <w:t>I started to comprehend the significance of directing a test on different themes and occasions, which I believe is entirely worthy at the hour of introducing my master and mindfulness viewpoints, as I had the occasion to investigate my remarkable qualities and shortcomings (Thomaset</w:t>
      </w:r>
      <w:r w:rsidR="00C16C17">
        <w:rPr>
          <w:bCs/>
          <w:iCs/>
          <w:lang w:eastAsia="en-US"/>
        </w:rPr>
        <w:t xml:space="preserve"> et</w:t>
      </w:r>
      <w:r w:rsidRPr="009B04E9">
        <w:rPr>
          <w:bCs/>
          <w:iCs/>
          <w:lang w:eastAsia="en-US"/>
        </w:rPr>
        <w:t xml:space="preserve"> </w:t>
      </w:r>
      <w:r w:rsidR="00C16C17" w:rsidRPr="009B04E9">
        <w:rPr>
          <w:bCs/>
          <w:iCs/>
          <w:lang w:eastAsia="en-US"/>
        </w:rPr>
        <w:t>al.,</w:t>
      </w:r>
      <w:r w:rsidRPr="009B04E9">
        <w:rPr>
          <w:bCs/>
          <w:iCs/>
          <w:lang w:eastAsia="en-US"/>
        </w:rPr>
        <w:t xml:space="preserve"> 2016). Along these lines, I can likewise think about how conceivable it is that my preparation, just as some past involvement in the SWOT examination, has supported me broadly in the PDP readiness class. </w:t>
      </w:r>
    </w:p>
    <w:p w:rsidR="009B04E9" w:rsidRPr="009B04E9" w:rsidRDefault="009B04E9" w:rsidP="009B04E9">
      <w:pPr>
        <w:rPr>
          <w:bCs/>
          <w:iCs/>
          <w:lang w:eastAsia="en-US"/>
        </w:rPr>
      </w:pPr>
      <w:r w:rsidRPr="009B04E9">
        <w:rPr>
          <w:bCs/>
          <w:iCs/>
          <w:lang w:eastAsia="en-US"/>
        </w:rPr>
        <w:t xml:space="preserve">Hypothetical conceptualization </w:t>
      </w:r>
      <w:r w:rsidR="007C3EEB">
        <w:rPr>
          <w:bCs/>
          <w:iCs/>
          <w:lang w:eastAsia="en-US"/>
        </w:rPr>
        <w:t>– the stage comes third of the learning cycle that has been identified by Kolb is the development of a new idea for the solution of a past problem or current problem where emphasis falls on removing yourself from comfort zone in order to become open to new means to an end. For me, this was portrayed as drawing from past experience to develop an idea of using time management planners where I am mobilised myself to spend specific windows of time to revise into practice on my understanding about the academics and employability. It is crucial to find a suitable timeframe for each and every activity that is required of you to complete in order to minimise future and current stress and to think with more clarity that leads to provision of more quality work in the end. The idea of time management and its application was also part of my PDP plan</w:t>
      </w:r>
      <w:r w:rsidRPr="009B04E9">
        <w:rPr>
          <w:bCs/>
          <w:iCs/>
          <w:lang w:eastAsia="en-US"/>
        </w:rPr>
        <w:t xml:space="preserve"> (Osmaniet al., 2019). I can without much of a stretch observe that my past data in regards to a portion of the focuses that were analyzed in organization 1 of the entire examination was not sufficient. By and by, I had zeroed in on a portion of the activities in class, for instance, taking different intruded on courses, going to web classes, and taking notes on the web with the goal that I could grow my efficiency by reflecting PDP and load up time. </w:t>
      </w:r>
    </w:p>
    <w:p w:rsidR="009B04E9" w:rsidRPr="007C3EEB" w:rsidRDefault="009B04E9" w:rsidP="009B04E9">
      <w:pPr>
        <w:rPr>
          <w:bCs/>
          <w:iCs/>
          <w:lang w:eastAsia="en-US"/>
        </w:rPr>
      </w:pPr>
      <w:r w:rsidRPr="009B04E9">
        <w:rPr>
          <w:bCs/>
          <w:iCs/>
          <w:lang w:eastAsia="en-US"/>
        </w:rPr>
        <w:t xml:space="preserve">Furthermore, I considered an amazing thought of the interest in various study hall practices for pondering the various pieces of the PDP, an individual SWOT test, enlisting laborers, and </w:t>
      </w:r>
      <w:r w:rsidRPr="009B04E9">
        <w:rPr>
          <w:bCs/>
          <w:iCs/>
          <w:lang w:eastAsia="en-US"/>
        </w:rPr>
        <w:lastRenderedPageBreak/>
        <w:t xml:space="preserve">a decision related guide close in time toward the load up's point of view. </w:t>
      </w:r>
      <w:r w:rsidR="007C3EEB">
        <w:rPr>
          <w:bCs/>
          <w:iCs/>
          <w:lang w:eastAsia="en-US"/>
        </w:rPr>
        <w:t>There is requirement for being articulate and reasonable in terms of analysing on performance with the SWOT analysis where the individual in any case will look at strengths and weaknesses before looking at any opportunities or threats that they may face. This framework help me to look at my PDP plan with much more realism instead of setting goals that are appealing but are not encouraging me to grow because of how complex I had made them. I had to construct a better idea of my image in an academic and also employability context before I went on to set goals and objectives for this year and more long-term achievements in the following years.</w:t>
      </w:r>
    </w:p>
    <w:p w:rsidR="009B04E9" w:rsidRDefault="009B04E9" w:rsidP="009B04E9">
      <w:pPr>
        <w:rPr>
          <w:bCs/>
          <w:iCs/>
          <w:lang w:eastAsia="en-US"/>
        </w:rPr>
      </w:pPr>
      <w:r w:rsidRPr="009B04E9">
        <w:rPr>
          <w:bCs/>
          <w:iCs/>
          <w:lang w:eastAsia="en-US"/>
        </w:rPr>
        <w:t xml:space="preserve">Likewise, by guiding express learning assignments corresponding to managers' time, I had the occasion to have some extremely clear considerations on why various individuals should set aside effort for load up related plans and the general lead-time cycle. board (Gill, 2018). At long last, I had the occasion to discover reasonable contemplations on key work aptitudes and what might should be accomplished to be utilized in an exceptional business climate that was hazy to me prior to driving the module's center business. </w:t>
      </w:r>
    </w:p>
    <w:p w:rsidR="007C3EEB" w:rsidRPr="009B04E9" w:rsidRDefault="007C3EEB" w:rsidP="009B04E9">
      <w:pPr>
        <w:rPr>
          <w:bCs/>
          <w:iCs/>
          <w:lang w:eastAsia="en-US"/>
        </w:rPr>
      </w:pPr>
      <w:r>
        <w:rPr>
          <w:bCs/>
          <w:iCs/>
          <w:lang w:eastAsia="en-US"/>
        </w:rPr>
        <w:t>Dynamic experimentation or active experimentation – this is the last stage that is part of the learning cycle where I apply what I have learnt including the new idea and even reflect slightly on the progression that is being made at the moment. After gaining stability and better footing on every and each assignment that I had to complete for a short period of time through better time management skills, I became more confident in my understanding and coordination of the right concepts that needed to be applied in place. This applied across all subjects regardless of their challenging nature. I was able to see genuine positive outcomes as a result of my willingness and growing confidence to learn more and to not let my language barrier stand in the way of my achievements. Coordinating information that is being put into my PDP plan is one among other examples that was successful after I applied myself in a better way.</w:t>
      </w:r>
    </w:p>
    <w:p w:rsidR="008565C7" w:rsidRDefault="003E2DE8" w:rsidP="008565C7">
      <w:pPr>
        <w:rPr>
          <w:lang w:eastAsia="en-US"/>
        </w:rPr>
      </w:pPr>
      <w:r w:rsidRPr="00DF5014">
        <w:rPr>
          <w:b/>
          <w:lang w:eastAsia="en-US"/>
        </w:rPr>
        <w:t>Gibb's reflective cycle</w:t>
      </w:r>
    </w:p>
    <w:p w:rsidR="009B04E9" w:rsidRDefault="009B04E9" w:rsidP="009B04E9">
      <w:pPr>
        <w:rPr>
          <w:lang w:eastAsia="en-US"/>
        </w:rPr>
      </w:pPr>
      <w:r>
        <w:rPr>
          <w:lang w:eastAsia="en-US"/>
        </w:rPr>
        <w:t xml:space="preserve">In nearness to Kolb's learning cycle, I will likewise utilize Gibb's </w:t>
      </w:r>
      <w:r w:rsidR="007C3EEB">
        <w:rPr>
          <w:lang w:eastAsia="en-US"/>
        </w:rPr>
        <w:t xml:space="preserve">theory </w:t>
      </w:r>
      <w:r>
        <w:rPr>
          <w:lang w:eastAsia="en-US"/>
        </w:rPr>
        <w:t xml:space="preserve">cycle to portray my own understanding and point of view on learning at the hour of culmination of the whole module. Gibb's insightful cycle comprises primarily of six separate stages. My own involvement in the various periods of the Gibb smart cycle is sketched out beneath: </w:t>
      </w:r>
    </w:p>
    <w:p w:rsidR="009B04E9" w:rsidRDefault="009B04E9" w:rsidP="009B04E9">
      <w:pPr>
        <w:rPr>
          <w:lang w:eastAsia="en-US"/>
        </w:rPr>
      </w:pPr>
      <w:r>
        <w:rPr>
          <w:lang w:eastAsia="en-US"/>
        </w:rPr>
        <w:lastRenderedPageBreak/>
        <w:t xml:space="preserve">Imaging In the imaging stage, various individuals in a general sense portray the entire condition point by point (Di Gregorioet al., 2019). </w:t>
      </w:r>
      <w:r w:rsidR="007C3EEB">
        <w:rPr>
          <w:lang w:eastAsia="en-US"/>
        </w:rPr>
        <w:t xml:space="preserve">In the beginning of the module I had some expectations that were said that resulted in lessons focus as they were centralised in different areas of my learning progress. Nevertheless, it was a wise decision for me to utilise multiple ideas with a brainstorm on paper such as using frameworks and theories that we are not limited to one believe or idea in order to learn most about myself almost effectively. </w:t>
      </w:r>
      <w:r>
        <w:rPr>
          <w:lang w:eastAsia="en-US"/>
        </w:rPr>
        <w:t xml:space="preserve">I went to me to introduce and think about the general advantages of this module. The Mu module manage is liable for inspecting the sensible aftereffects of the entire module, so I need to guarantee that I follow the suitable adocracy in the hour of reflection on my experience. </w:t>
      </w:r>
    </w:p>
    <w:p w:rsidR="008E7A6D" w:rsidRPr="008E7A6D" w:rsidRDefault="009B04E9" w:rsidP="009B04E9">
      <w:pPr>
        <w:rPr>
          <w:bCs/>
          <w:iCs/>
          <w:lang w:eastAsia="en-US"/>
        </w:rPr>
      </w:pPr>
      <w:r>
        <w:rPr>
          <w:lang w:eastAsia="en-US"/>
        </w:rPr>
        <w:t>Temperaments - The different thoughts and feelings that can be gotten from the current experience can be associated with the passionate piece of the wise cycle. In the fundamental period of the start of the module, I advised myself that I need legitimate assurance because of my failure to do PDP and the time on the load up (Kenayathullaet al., 2019). Likewise, I was additionally not amazingly sure with my ability and data with respect to business, as I had not dealt with this theme before the beginning of the module. By and by, I can envision that the degree of conviction in tending to my qualities and shortcomings was exceptionally high, as I think about the critical advancement that must be made for a fruitful and impeccable SWOT study. I understand that the revelation I can make from coordinating the module will be in my future work, and in this manner I felt significantly more sure about my future as a specialist.</w:t>
      </w:r>
    </w:p>
    <w:p w:rsidR="009B04E9" w:rsidRPr="009B04E9" w:rsidRDefault="009B04E9" w:rsidP="009B04E9">
      <w:pPr>
        <w:rPr>
          <w:bCs/>
          <w:iCs/>
          <w:lang w:eastAsia="en-US"/>
        </w:rPr>
      </w:pPr>
      <w:r w:rsidRPr="009B04E9">
        <w:rPr>
          <w:bCs/>
          <w:iCs/>
          <w:lang w:eastAsia="en-US"/>
        </w:rPr>
        <w:t xml:space="preserve">Assessment - Evaluation is the significance of portraying what works commendably and what has not worked honorably in specific conditions. In the primary errand of this module I had the occasion to make my very own powerful evaluation and master characteristics and deficiencies while attempting to do a SWOT test. Notwithstanding, I was not generally ready to reflect various occasions identified with the points related with chiefs, and I was terrible in the class when I settled my future preparing needs, contingent upon the effective PDP. </w:t>
      </w:r>
    </w:p>
    <w:p w:rsidR="009B04E9" w:rsidRPr="009B04E9" w:rsidRDefault="009B04E9" w:rsidP="009B04E9">
      <w:pPr>
        <w:rPr>
          <w:bCs/>
          <w:iCs/>
          <w:lang w:eastAsia="en-US"/>
        </w:rPr>
      </w:pPr>
      <w:r w:rsidRPr="009B04E9">
        <w:rPr>
          <w:bCs/>
          <w:iCs/>
          <w:lang w:eastAsia="en-US"/>
        </w:rPr>
        <w:t xml:space="preserve">Insightful investigation is the primary progression I can use to show why various things are going well indeed and why a few things are going seriously. Since I have taken an interest in a SWOT survey before, I have had the occasion to do so satisfactorily. Regardless, as I had no interest in drawing up a specialist improvement plan and was uncertain about the genuine sufficiency of load up time, I discovered it very hard to think about these particular themes (Scottet al., 2019). </w:t>
      </w:r>
    </w:p>
    <w:p w:rsidR="009B04E9" w:rsidRPr="009B04E9" w:rsidRDefault="009B04E9" w:rsidP="009B04E9">
      <w:pPr>
        <w:rPr>
          <w:bCs/>
          <w:iCs/>
          <w:lang w:eastAsia="en-US"/>
        </w:rPr>
      </w:pPr>
      <w:r w:rsidRPr="009B04E9">
        <w:rPr>
          <w:bCs/>
          <w:iCs/>
          <w:lang w:eastAsia="en-US"/>
        </w:rPr>
        <w:lastRenderedPageBreak/>
        <w:t xml:space="preserve">End In the last portion, I will introduce a concise blueprint of my points of view on learning all through the experience. I found out about the necessity to make a particular open entryway association for individual and master bits of occasions. Likewise, I additionally found that without legitimate perception of time, capable significance couldn't be accomplished. </w:t>
      </w:r>
    </w:p>
    <w:p w:rsidR="00CB362D" w:rsidRPr="00DF5014" w:rsidRDefault="009B04E9" w:rsidP="009B04E9">
      <w:pPr>
        <w:rPr>
          <w:lang w:eastAsia="en-US"/>
        </w:rPr>
      </w:pPr>
      <w:r w:rsidRPr="009B04E9">
        <w:rPr>
          <w:bCs/>
          <w:iCs/>
          <w:lang w:eastAsia="en-US"/>
        </w:rPr>
        <w:t>Activity Plan - At this stage, I will consider what I can do later on in the event that I experience a similar condition (Goodwinet al., 2019). I have decided to do some appropriate exploration on different propensities that will extend my fitness in building up a productiv</w:t>
      </w:r>
      <w:r>
        <w:rPr>
          <w:bCs/>
          <w:iCs/>
          <w:lang w:eastAsia="en-US"/>
        </w:rPr>
        <w:t xml:space="preserve">e PDP plan for action. </w:t>
      </w:r>
    </w:p>
    <w:p w:rsidR="009F4E6B" w:rsidRDefault="003E2DE8">
      <w:pPr>
        <w:spacing w:line="276" w:lineRule="auto"/>
        <w:jc w:val="left"/>
        <w:rPr>
          <w:rFonts w:eastAsiaTheme="majorEastAsia" w:cstheme="majorBidi"/>
          <w:b/>
          <w:bCs/>
          <w:szCs w:val="28"/>
          <w:lang w:eastAsia="en-US"/>
        </w:rPr>
      </w:pPr>
      <w:r>
        <w:br w:type="page"/>
      </w:r>
    </w:p>
    <w:p w:rsidR="00B83A24" w:rsidRDefault="003E2DE8" w:rsidP="00B83A24">
      <w:pPr>
        <w:pStyle w:val="Ttulo1"/>
      </w:pPr>
      <w:bookmarkStart w:id="3" w:name="_Toc49954763"/>
      <w:r>
        <w:lastRenderedPageBreak/>
        <w:t>Conclusion</w:t>
      </w:r>
      <w:bookmarkEnd w:id="3"/>
    </w:p>
    <w:p w:rsidR="009F4E6B" w:rsidRDefault="007C3EEB" w:rsidP="009F4E6B">
      <w:pPr>
        <w:rPr>
          <w:rFonts w:eastAsiaTheme="majorEastAsia" w:cstheme="majorBidi"/>
          <w:b/>
          <w:bCs/>
          <w:szCs w:val="28"/>
          <w:lang w:eastAsia="en-US"/>
        </w:rPr>
      </w:pPr>
      <w:r>
        <w:t xml:space="preserve">In conclusion, </w:t>
      </w:r>
      <w:r w:rsidR="009B04E9" w:rsidRPr="009B04E9">
        <w:t>I can infer that a portion of the things in the entire module have grown decidedly for me, albeit a portion of the perspectives are coordinated as satisfactorily as can sensibly be normal. Both examination cycles that I use to make the resulting try help me give sensible information</w:t>
      </w:r>
      <w:r>
        <w:t xml:space="preserve"> in regards to the learning cycles and theories that I applied for my current experience and learning in the academic environment. </w:t>
      </w:r>
      <w:r w:rsidR="00C16C17">
        <w:t xml:space="preserve">I found better means to achieve goals through the simple act of organising time in specific ways that work for me and are not too inflexible. I applied investigation about my current qualities and any weaknesses through the framework of SWOT and looked at the creation of a PDP plan where my primary focus came to be the language barrier that I am experiencing but will be resolved as they learn more and persist. </w:t>
      </w:r>
      <w:r w:rsidR="009B04E9" w:rsidRPr="009B04E9">
        <w:t xml:space="preserve"> </w:t>
      </w:r>
      <w:r w:rsidR="003E2DE8">
        <w:br w:type="page"/>
      </w:r>
    </w:p>
    <w:p w:rsidR="00B83A24" w:rsidRDefault="003E2DE8" w:rsidP="00B83A24">
      <w:pPr>
        <w:pStyle w:val="Ttulo1"/>
      </w:pPr>
      <w:bookmarkStart w:id="4" w:name="_Toc49954764"/>
      <w:r>
        <w:lastRenderedPageBreak/>
        <w:t>Reference List</w:t>
      </w:r>
      <w:bookmarkEnd w:id="4"/>
    </w:p>
    <w:p w:rsidR="00BA2D7C" w:rsidRPr="00FF3CFD" w:rsidRDefault="003E2DE8" w:rsidP="00BA2D7C">
      <w:pPr>
        <w:rPr>
          <w:szCs w:val="24"/>
        </w:rPr>
      </w:pPr>
      <w:r w:rsidRPr="00FF3CFD">
        <w:rPr>
          <w:szCs w:val="24"/>
          <w:shd w:val="clear" w:color="auto" w:fill="FFFFFF"/>
        </w:rPr>
        <w:t xml:space="preserve">Abas, M.C., and Imam, O.A., 2016. Graduates' Competence in Employability Skills and Job Performance. </w:t>
      </w:r>
      <w:r w:rsidRPr="00FF3CFD">
        <w:rPr>
          <w:i/>
          <w:iCs/>
          <w:szCs w:val="24"/>
          <w:shd w:val="clear" w:color="auto" w:fill="FFFFFF"/>
        </w:rPr>
        <w:t>International Journal of Evaluation and Research in Education</w:t>
      </w:r>
      <w:r w:rsidRPr="00FF3CFD">
        <w:rPr>
          <w:szCs w:val="24"/>
          <w:shd w:val="clear" w:color="auto" w:fill="FFFFFF"/>
        </w:rPr>
        <w:t>, </w:t>
      </w:r>
      <w:r w:rsidRPr="00FF3CFD">
        <w:rPr>
          <w:i/>
          <w:iCs/>
          <w:szCs w:val="24"/>
          <w:shd w:val="clear" w:color="auto" w:fill="FFFFFF"/>
        </w:rPr>
        <w:t>5</w:t>
      </w:r>
      <w:r w:rsidRPr="00FF3CFD">
        <w:rPr>
          <w:szCs w:val="24"/>
          <w:shd w:val="clear" w:color="auto" w:fill="FFFFFF"/>
        </w:rPr>
        <w:t>(2), pp.119-125.</w:t>
      </w:r>
    </w:p>
    <w:p w:rsidR="00BA2D7C" w:rsidRPr="00FF3CFD" w:rsidRDefault="003E2DE8" w:rsidP="00BA2D7C">
      <w:pPr>
        <w:rPr>
          <w:szCs w:val="24"/>
          <w:shd w:val="clear" w:color="auto" w:fill="FFFFFF"/>
        </w:rPr>
      </w:pPr>
      <w:r w:rsidRPr="00FF3CFD">
        <w:rPr>
          <w:szCs w:val="24"/>
          <w:shd w:val="clear" w:color="auto" w:fill="FFFFFF"/>
        </w:rPr>
        <w:t xml:space="preserve">Di Gregorio, A., Maggioni, I., Mauri, C., and Mazzucchelli, A., 2019. Employability skills for future marketing professionals. </w:t>
      </w:r>
      <w:r w:rsidRPr="00FF3CFD">
        <w:rPr>
          <w:i/>
          <w:iCs/>
          <w:szCs w:val="24"/>
          <w:shd w:val="clear" w:color="auto" w:fill="FFFFFF"/>
        </w:rPr>
        <w:t>European management journal</w:t>
      </w:r>
      <w:r w:rsidRPr="00FF3CFD">
        <w:rPr>
          <w:szCs w:val="24"/>
          <w:shd w:val="clear" w:color="auto" w:fill="FFFFFF"/>
        </w:rPr>
        <w:t>, </w:t>
      </w:r>
      <w:r w:rsidRPr="00FF3CFD">
        <w:rPr>
          <w:i/>
          <w:iCs/>
          <w:szCs w:val="24"/>
          <w:shd w:val="clear" w:color="auto" w:fill="FFFFFF"/>
        </w:rPr>
        <w:t>37</w:t>
      </w:r>
      <w:r w:rsidRPr="00FF3CFD">
        <w:rPr>
          <w:szCs w:val="24"/>
          <w:shd w:val="clear" w:color="auto" w:fill="FFFFFF"/>
        </w:rPr>
        <w:t>(3), pp.251-258.</w:t>
      </w:r>
    </w:p>
    <w:p w:rsidR="00BA2D7C" w:rsidRPr="00FF3CFD" w:rsidRDefault="003E2DE8" w:rsidP="00BA2D7C">
      <w:pPr>
        <w:rPr>
          <w:szCs w:val="24"/>
          <w:shd w:val="clear" w:color="auto" w:fill="FFFFFF"/>
        </w:rPr>
      </w:pPr>
      <w:r w:rsidRPr="00FF3CFD">
        <w:rPr>
          <w:szCs w:val="24"/>
          <w:shd w:val="clear" w:color="auto" w:fill="FFFFFF"/>
        </w:rPr>
        <w:t>Gill, R.J., 2018. Building employability skills for higher education students: An Australian example. </w:t>
      </w:r>
      <w:r w:rsidRPr="00FF3CFD">
        <w:rPr>
          <w:i/>
          <w:iCs/>
          <w:szCs w:val="24"/>
          <w:shd w:val="clear" w:color="auto" w:fill="FFFFFF"/>
        </w:rPr>
        <w:t>Journal of Teaching and Learning for Graduate Employability</w:t>
      </w:r>
      <w:r w:rsidRPr="00FF3CFD">
        <w:rPr>
          <w:szCs w:val="24"/>
          <w:shd w:val="clear" w:color="auto" w:fill="FFFFFF"/>
        </w:rPr>
        <w:t>, </w:t>
      </w:r>
      <w:r w:rsidRPr="00FF3CFD">
        <w:rPr>
          <w:i/>
          <w:iCs/>
          <w:szCs w:val="24"/>
          <w:shd w:val="clear" w:color="auto" w:fill="FFFFFF"/>
        </w:rPr>
        <w:t>9</w:t>
      </w:r>
      <w:r w:rsidRPr="00FF3CFD">
        <w:rPr>
          <w:szCs w:val="24"/>
          <w:shd w:val="clear" w:color="auto" w:fill="FFFFFF"/>
        </w:rPr>
        <w:t>(1), pp.84-92.</w:t>
      </w:r>
    </w:p>
    <w:p w:rsidR="00BA2D7C" w:rsidRPr="00FF3CFD" w:rsidRDefault="003E2DE8" w:rsidP="00BA2D7C">
      <w:pPr>
        <w:rPr>
          <w:szCs w:val="24"/>
          <w:shd w:val="clear" w:color="auto" w:fill="FFFFFF"/>
        </w:rPr>
      </w:pPr>
      <w:r w:rsidRPr="00FF3CFD">
        <w:rPr>
          <w:szCs w:val="24"/>
          <w:shd w:val="clear" w:color="auto" w:fill="FFFFFF"/>
        </w:rPr>
        <w:t xml:space="preserve">Goodwin, J.T., Goh, J., Verkoeyen, S., and Lithgow, K., 2019. Can students be taught to articulate employability skills?. </w:t>
      </w:r>
      <w:r w:rsidRPr="00FF3CFD">
        <w:rPr>
          <w:i/>
          <w:iCs/>
          <w:szCs w:val="24"/>
          <w:shd w:val="clear" w:color="auto" w:fill="FFFFFF"/>
        </w:rPr>
        <w:t>Education+ Training</w:t>
      </w:r>
      <w:r w:rsidRPr="00FF3CFD">
        <w:rPr>
          <w:szCs w:val="24"/>
          <w:shd w:val="clear" w:color="auto" w:fill="FFFFFF"/>
        </w:rPr>
        <w:t>.</w:t>
      </w:r>
    </w:p>
    <w:p w:rsidR="00BA2D7C" w:rsidRPr="00FF3CFD" w:rsidRDefault="003E2DE8" w:rsidP="00BA2D7C">
      <w:pPr>
        <w:rPr>
          <w:szCs w:val="24"/>
          <w:shd w:val="clear" w:color="auto" w:fill="FFFFFF"/>
        </w:rPr>
      </w:pPr>
      <w:r w:rsidRPr="00FF3CFD">
        <w:rPr>
          <w:szCs w:val="24"/>
          <w:shd w:val="clear" w:color="auto" w:fill="FFFFFF"/>
        </w:rPr>
        <w:t xml:space="preserve">Kenayathulla, H.B., Ahmad, N.A., and Idris, A.R., 2019. Gaps between competence and importance of employability skills: evidence from Malaysia. </w:t>
      </w:r>
      <w:r w:rsidRPr="00FF3CFD">
        <w:rPr>
          <w:i/>
          <w:iCs/>
          <w:szCs w:val="24"/>
          <w:shd w:val="clear" w:color="auto" w:fill="FFFFFF"/>
        </w:rPr>
        <w:t>Higher Education Evaluation and Development</w:t>
      </w:r>
      <w:r w:rsidRPr="00FF3CFD">
        <w:rPr>
          <w:szCs w:val="24"/>
          <w:shd w:val="clear" w:color="auto" w:fill="FFFFFF"/>
        </w:rPr>
        <w:t>.</w:t>
      </w:r>
    </w:p>
    <w:p w:rsidR="00BA2D7C" w:rsidRPr="00FF3CFD" w:rsidRDefault="003E2DE8" w:rsidP="00BA2D7C">
      <w:pPr>
        <w:rPr>
          <w:szCs w:val="24"/>
          <w:shd w:val="clear" w:color="auto" w:fill="FFFFFF"/>
        </w:rPr>
      </w:pPr>
      <w:r w:rsidRPr="00FF3CFD">
        <w:rPr>
          <w:szCs w:val="24"/>
          <w:shd w:val="clear" w:color="auto" w:fill="FFFFFF"/>
        </w:rPr>
        <w:t xml:space="preserve">Osmani, M., Weerakkody, V., Hindi, N., and Eldabi, T., 2019. Graduates employability skills: A review of literature against market demand. </w:t>
      </w:r>
      <w:r w:rsidRPr="00FF3CFD">
        <w:rPr>
          <w:i/>
          <w:iCs/>
          <w:szCs w:val="24"/>
          <w:shd w:val="clear" w:color="auto" w:fill="FFFFFF"/>
        </w:rPr>
        <w:t>Journal of Education for Business</w:t>
      </w:r>
      <w:r w:rsidRPr="00FF3CFD">
        <w:rPr>
          <w:szCs w:val="24"/>
          <w:shd w:val="clear" w:color="auto" w:fill="FFFFFF"/>
        </w:rPr>
        <w:t>, </w:t>
      </w:r>
      <w:r w:rsidRPr="00FF3CFD">
        <w:rPr>
          <w:i/>
          <w:iCs/>
          <w:szCs w:val="24"/>
          <w:shd w:val="clear" w:color="auto" w:fill="FFFFFF"/>
        </w:rPr>
        <w:t>94</w:t>
      </w:r>
      <w:r w:rsidRPr="00FF3CFD">
        <w:rPr>
          <w:szCs w:val="24"/>
          <w:shd w:val="clear" w:color="auto" w:fill="FFFFFF"/>
        </w:rPr>
        <w:t>(7), pp.423-432.</w:t>
      </w:r>
    </w:p>
    <w:p w:rsidR="00BA2D7C" w:rsidRPr="00FF3CFD" w:rsidRDefault="003E2DE8" w:rsidP="00BA2D7C">
      <w:pPr>
        <w:rPr>
          <w:szCs w:val="24"/>
          <w:shd w:val="clear" w:color="auto" w:fill="FFFFFF"/>
        </w:rPr>
      </w:pPr>
      <w:r w:rsidRPr="00FF3CFD">
        <w:rPr>
          <w:szCs w:val="24"/>
          <w:shd w:val="clear" w:color="auto" w:fill="FFFFFF"/>
        </w:rPr>
        <w:t>Rowe, A.D., and Zegwaard, K.E., 2017. Developing graduate employability skills and attributes: Curriculum enhancement through work-integrated learning.</w:t>
      </w:r>
    </w:p>
    <w:p w:rsidR="00BA2D7C" w:rsidRPr="00FF3CFD" w:rsidRDefault="003E2DE8" w:rsidP="00BA2D7C">
      <w:pPr>
        <w:rPr>
          <w:szCs w:val="24"/>
          <w:shd w:val="clear" w:color="auto" w:fill="FFFFFF"/>
        </w:rPr>
      </w:pPr>
      <w:r w:rsidRPr="00FF3CFD">
        <w:rPr>
          <w:szCs w:val="24"/>
          <w:shd w:val="clear" w:color="auto" w:fill="FFFFFF"/>
        </w:rPr>
        <w:t>Scott, F.J., Connell, P., Thomson, L.A. and Willison, D., 2019. Empowering students by enhancing their employability skills. </w:t>
      </w:r>
      <w:r w:rsidRPr="00FF3CFD">
        <w:rPr>
          <w:i/>
          <w:iCs/>
          <w:szCs w:val="24"/>
          <w:shd w:val="clear" w:color="auto" w:fill="FFFFFF"/>
        </w:rPr>
        <w:t>Journal of Further and Higher Education</w:t>
      </w:r>
      <w:r w:rsidRPr="00FF3CFD">
        <w:rPr>
          <w:szCs w:val="24"/>
          <w:shd w:val="clear" w:color="auto" w:fill="FFFFFF"/>
        </w:rPr>
        <w:t>, </w:t>
      </w:r>
      <w:r w:rsidRPr="00FF3CFD">
        <w:rPr>
          <w:i/>
          <w:iCs/>
          <w:szCs w:val="24"/>
          <w:shd w:val="clear" w:color="auto" w:fill="FFFFFF"/>
        </w:rPr>
        <w:t>43</w:t>
      </w:r>
      <w:r w:rsidRPr="00FF3CFD">
        <w:rPr>
          <w:szCs w:val="24"/>
          <w:shd w:val="clear" w:color="auto" w:fill="FFFFFF"/>
        </w:rPr>
        <w:t xml:space="preserve">(5), pp.692-707. </w:t>
      </w:r>
    </w:p>
    <w:p w:rsidR="00BA2D7C" w:rsidRPr="00FF3CFD" w:rsidRDefault="003E2DE8" w:rsidP="00BA2D7C">
      <w:pPr>
        <w:rPr>
          <w:szCs w:val="24"/>
          <w:shd w:val="clear" w:color="auto" w:fill="FFFFFF"/>
        </w:rPr>
      </w:pPr>
      <w:r w:rsidRPr="00FF3CFD">
        <w:rPr>
          <w:szCs w:val="24"/>
          <w:shd w:val="clear" w:color="auto" w:fill="FFFFFF"/>
        </w:rPr>
        <w:t>Suarta, I.M., Suwintana, I.K., Sudhana, I.F.P. and Hariyanti, N.K.D., 2018. Employability skills for entry level workers: a content analysis of job advertisements in Indonesia. </w:t>
      </w:r>
      <w:r w:rsidRPr="00FF3CFD">
        <w:rPr>
          <w:i/>
          <w:iCs/>
          <w:szCs w:val="24"/>
          <w:shd w:val="clear" w:color="auto" w:fill="FFFFFF"/>
        </w:rPr>
        <w:t>Journal of Technical Education and Training</w:t>
      </w:r>
      <w:r w:rsidRPr="00FF3CFD">
        <w:rPr>
          <w:szCs w:val="24"/>
          <w:shd w:val="clear" w:color="auto" w:fill="FFFFFF"/>
        </w:rPr>
        <w:t>, </w:t>
      </w:r>
      <w:r w:rsidRPr="00FF3CFD">
        <w:rPr>
          <w:i/>
          <w:iCs/>
          <w:szCs w:val="24"/>
          <w:shd w:val="clear" w:color="auto" w:fill="FFFFFF"/>
        </w:rPr>
        <w:t>10</w:t>
      </w:r>
      <w:r w:rsidRPr="00FF3CFD">
        <w:rPr>
          <w:szCs w:val="24"/>
          <w:shd w:val="clear" w:color="auto" w:fill="FFFFFF"/>
        </w:rPr>
        <w:t>(2).</w:t>
      </w:r>
    </w:p>
    <w:p w:rsidR="00BA2D7C" w:rsidRPr="00FF3CFD" w:rsidRDefault="003E2DE8" w:rsidP="00BA2D7C">
      <w:pPr>
        <w:rPr>
          <w:szCs w:val="24"/>
          <w:shd w:val="clear" w:color="auto" w:fill="FFFFFF"/>
        </w:rPr>
      </w:pPr>
      <w:r w:rsidRPr="00FF3CFD">
        <w:rPr>
          <w:szCs w:val="24"/>
          <w:shd w:val="clear" w:color="auto" w:fill="FFFFFF"/>
        </w:rPr>
        <w:t>Thomas, A., Piquette, C. and McMaster, D., 2016. English communication skills for employability: the perspectives of employers in Bahrain. </w:t>
      </w:r>
      <w:r w:rsidRPr="00FF3CFD">
        <w:rPr>
          <w:i/>
          <w:iCs/>
          <w:szCs w:val="24"/>
          <w:shd w:val="clear" w:color="auto" w:fill="FFFFFF"/>
        </w:rPr>
        <w:t>Learning and Teaching in Higher Education: Gulf Perspectives</w:t>
      </w:r>
      <w:r w:rsidRPr="00FF3CFD">
        <w:rPr>
          <w:szCs w:val="24"/>
          <w:shd w:val="clear" w:color="auto" w:fill="FFFFFF"/>
        </w:rPr>
        <w:t>, </w:t>
      </w:r>
      <w:r w:rsidRPr="00FF3CFD">
        <w:rPr>
          <w:i/>
          <w:iCs/>
          <w:szCs w:val="24"/>
          <w:shd w:val="clear" w:color="auto" w:fill="FFFFFF"/>
        </w:rPr>
        <w:t>13</w:t>
      </w:r>
      <w:r w:rsidRPr="00FF3CFD">
        <w:rPr>
          <w:szCs w:val="24"/>
          <w:shd w:val="clear" w:color="auto" w:fill="FFFFFF"/>
        </w:rPr>
        <w:t>(1).</w:t>
      </w:r>
    </w:p>
    <w:p w:rsidR="00B83A24" w:rsidRPr="00B83A24" w:rsidRDefault="00B83A24" w:rsidP="00B83A24">
      <w:pPr>
        <w:rPr>
          <w:b/>
        </w:rPr>
      </w:pPr>
    </w:p>
    <w:sectPr w:rsidR="00B83A24" w:rsidRPr="00B83A24" w:rsidSect="00E81D4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F4C" w:rsidRDefault="00C31F4C">
      <w:pPr>
        <w:spacing w:after="0" w:line="240" w:lineRule="auto"/>
      </w:pPr>
      <w:r>
        <w:separator/>
      </w:r>
    </w:p>
  </w:endnote>
  <w:endnote w:type="continuationSeparator" w:id="0">
    <w:p w:rsidR="00C31F4C" w:rsidRDefault="00C31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7092"/>
      <w:docPartObj>
        <w:docPartGallery w:val="Page Numbers (Bottom of Page)"/>
        <w:docPartUnique/>
      </w:docPartObj>
    </w:sdtPr>
    <w:sdtEndPr/>
    <w:sdtContent>
      <w:p w:rsidR="00C445A3" w:rsidRDefault="003E2DE8">
        <w:pPr>
          <w:pStyle w:val="Piedepgina"/>
          <w:jc w:val="right"/>
        </w:pPr>
        <w:r>
          <w:fldChar w:fldCharType="begin"/>
        </w:r>
        <w:r w:rsidR="001D4AC6">
          <w:instrText xml:space="preserve"> PAGE   \* MERGEFORMAT </w:instrText>
        </w:r>
        <w:r>
          <w:fldChar w:fldCharType="separate"/>
        </w:r>
        <w:r w:rsidR="007D13B8">
          <w:rPr>
            <w:noProof/>
          </w:rPr>
          <w:t>2</w:t>
        </w:r>
        <w:r>
          <w:rPr>
            <w:noProof/>
          </w:rPr>
          <w:fldChar w:fldCharType="end"/>
        </w:r>
      </w:p>
    </w:sdtContent>
  </w:sdt>
  <w:p w:rsidR="00C445A3" w:rsidRDefault="00C445A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F4C" w:rsidRDefault="00C31F4C">
      <w:pPr>
        <w:spacing w:after="0" w:line="240" w:lineRule="auto"/>
      </w:pPr>
      <w:r>
        <w:separator/>
      </w:r>
    </w:p>
  </w:footnote>
  <w:footnote w:type="continuationSeparator" w:id="0">
    <w:p w:rsidR="00C31F4C" w:rsidRDefault="00C31F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49"/>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
  <w:rsids>
    <w:rsidRoot w:val="0082409A"/>
    <w:rsid w:val="00022257"/>
    <w:rsid w:val="00065749"/>
    <w:rsid w:val="000953F2"/>
    <w:rsid w:val="000B2F27"/>
    <w:rsid w:val="001D4AC6"/>
    <w:rsid w:val="00207CE8"/>
    <w:rsid w:val="00245AD7"/>
    <w:rsid w:val="00281BC7"/>
    <w:rsid w:val="002F3B4D"/>
    <w:rsid w:val="003002F1"/>
    <w:rsid w:val="0034054A"/>
    <w:rsid w:val="003448C5"/>
    <w:rsid w:val="003A0CA1"/>
    <w:rsid w:val="003A5C6F"/>
    <w:rsid w:val="003C3883"/>
    <w:rsid w:val="003E2DE8"/>
    <w:rsid w:val="00430FF8"/>
    <w:rsid w:val="00440F5A"/>
    <w:rsid w:val="004524F7"/>
    <w:rsid w:val="004B7E48"/>
    <w:rsid w:val="00500323"/>
    <w:rsid w:val="00541551"/>
    <w:rsid w:val="00570C65"/>
    <w:rsid w:val="00617445"/>
    <w:rsid w:val="006D104A"/>
    <w:rsid w:val="006D5C8B"/>
    <w:rsid w:val="006F0F07"/>
    <w:rsid w:val="00767A44"/>
    <w:rsid w:val="00777D7A"/>
    <w:rsid w:val="007A5A09"/>
    <w:rsid w:val="007C3EEB"/>
    <w:rsid w:val="007D13B8"/>
    <w:rsid w:val="0082409A"/>
    <w:rsid w:val="00835F62"/>
    <w:rsid w:val="008561FE"/>
    <w:rsid w:val="008565C7"/>
    <w:rsid w:val="00860FED"/>
    <w:rsid w:val="008A066D"/>
    <w:rsid w:val="008E7A6D"/>
    <w:rsid w:val="009102EA"/>
    <w:rsid w:val="00985A52"/>
    <w:rsid w:val="009A5863"/>
    <w:rsid w:val="009B04E9"/>
    <w:rsid w:val="009F4E6B"/>
    <w:rsid w:val="00A4396B"/>
    <w:rsid w:val="00A626EB"/>
    <w:rsid w:val="00B83A24"/>
    <w:rsid w:val="00BA2D7C"/>
    <w:rsid w:val="00BD4738"/>
    <w:rsid w:val="00C16C17"/>
    <w:rsid w:val="00C31F4C"/>
    <w:rsid w:val="00C445A3"/>
    <w:rsid w:val="00C51D9F"/>
    <w:rsid w:val="00CB362D"/>
    <w:rsid w:val="00D15EEA"/>
    <w:rsid w:val="00D23FC2"/>
    <w:rsid w:val="00DF5014"/>
    <w:rsid w:val="00E73DC0"/>
    <w:rsid w:val="00E81D41"/>
    <w:rsid w:val="00E92F8E"/>
    <w:rsid w:val="00ED302F"/>
    <w:rsid w:val="00EF40ED"/>
    <w:rsid w:val="00F01155"/>
    <w:rsid w:val="00F45B9A"/>
    <w:rsid w:val="00F67973"/>
    <w:rsid w:val="00FF3CFD"/>
    <w:rsid w:val="00FF43F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A24"/>
    <w:pPr>
      <w:spacing w:line="360" w:lineRule="auto"/>
      <w:jc w:val="both"/>
    </w:pPr>
    <w:rPr>
      <w:rFonts w:ascii="Times New Roman" w:eastAsiaTheme="minorEastAsia" w:hAnsi="Times New Roman"/>
      <w:sz w:val="24"/>
      <w:lang w:val="en-GB" w:eastAsia="en-IN"/>
    </w:rPr>
  </w:style>
  <w:style w:type="paragraph" w:styleId="Ttulo1">
    <w:name w:val="heading 1"/>
    <w:basedOn w:val="Normal"/>
    <w:next w:val="Normal"/>
    <w:link w:val="Ttulo1Car"/>
    <w:uiPriority w:val="9"/>
    <w:qFormat/>
    <w:rsid w:val="00207CE8"/>
    <w:pPr>
      <w:keepNext/>
      <w:keepLines/>
      <w:spacing w:before="480" w:after="0"/>
      <w:outlineLvl w:val="0"/>
    </w:pPr>
    <w:rPr>
      <w:rFonts w:eastAsiaTheme="majorEastAsia" w:cstheme="majorBidi"/>
      <w:b/>
      <w:bCs/>
      <w:szCs w:val="28"/>
      <w:lang w:eastAsia="en-US"/>
    </w:rPr>
  </w:style>
  <w:style w:type="paragraph" w:styleId="Ttulo2">
    <w:name w:val="heading 2"/>
    <w:basedOn w:val="Normal"/>
    <w:next w:val="Normal"/>
    <w:link w:val="Ttulo2Car"/>
    <w:uiPriority w:val="9"/>
    <w:semiHidden/>
    <w:unhideWhenUsed/>
    <w:qFormat/>
    <w:rsid w:val="00207CE8"/>
    <w:pPr>
      <w:keepNext/>
      <w:keepLines/>
      <w:spacing w:before="200" w:after="0"/>
      <w:outlineLvl w:val="1"/>
    </w:pPr>
    <w:rPr>
      <w:rFonts w:ascii="Arial" w:eastAsiaTheme="majorEastAsia" w:hAnsi="Arial" w:cstheme="majorBidi"/>
      <w:b/>
      <w:bCs/>
      <w:szCs w:val="26"/>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07CE8"/>
    <w:rPr>
      <w:rFonts w:ascii="Times New Roman" w:eastAsiaTheme="majorEastAsia" w:hAnsi="Times New Roman" w:cstheme="majorBidi"/>
      <w:b/>
      <w:bCs/>
      <w:szCs w:val="28"/>
    </w:rPr>
  </w:style>
  <w:style w:type="paragraph" w:styleId="Ttulo">
    <w:name w:val="Title"/>
    <w:basedOn w:val="Normal"/>
    <w:next w:val="Normal"/>
    <w:link w:val="TtuloCar"/>
    <w:uiPriority w:val="10"/>
    <w:qFormat/>
    <w:rsid w:val="00207CE8"/>
    <w:pPr>
      <w:pBdr>
        <w:bottom w:val="single" w:sz="8" w:space="4" w:color="4F81BD" w:themeColor="accent1"/>
      </w:pBdr>
      <w:spacing w:after="300"/>
      <w:contextualSpacing/>
      <w:jc w:val="center"/>
    </w:pPr>
    <w:rPr>
      <w:rFonts w:eastAsiaTheme="majorEastAsia" w:cstheme="majorBidi"/>
      <w:b/>
      <w:spacing w:val="5"/>
      <w:kern w:val="28"/>
      <w:sz w:val="32"/>
      <w:szCs w:val="52"/>
      <w:lang w:eastAsia="en-US"/>
    </w:rPr>
  </w:style>
  <w:style w:type="character" w:customStyle="1" w:styleId="TtuloCar">
    <w:name w:val="Título Car"/>
    <w:basedOn w:val="Fuentedeprrafopredeter"/>
    <w:link w:val="Ttulo"/>
    <w:uiPriority w:val="10"/>
    <w:rsid w:val="00207CE8"/>
    <w:rPr>
      <w:rFonts w:ascii="Times New Roman" w:eastAsiaTheme="majorEastAsia" w:hAnsi="Times New Roman" w:cstheme="majorBidi"/>
      <w:b/>
      <w:spacing w:val="5"/>
      <w:kern w:val="28"/>
      <w:sz w:val="32"/>
      <w:szCs w:val="52"/>
    </w:rPr>
  </w:style>
  <w:style w:type="character" w:customStyle="1" w:styleId="Ttulo2Car">
    <w:name w:val="Título 2 Car"/>
    <w:basedOn w:val="Fuentedeprrafopredeter"/>
    <w:link w:val="Ttulo2"/>
    <w:uiPriority w:val="9"/>
    <w:semiHidden/>
    <w:rsid w:val="00207CE8"/>
    <w:rPr>
      <w:rFonts w:ascii="Arial" w:eastAsiaTheme="majorEastAsia" w:hAnsi="Arial" w:cstheme="majorBidi"/>
      <w:b/>
      <w:bCs/>
      <w:sz w:val="24"/>
      <w:szCs w:val="26"/>
      <w:lang w:val="en-GB"/>
    </w:rPr>
  </w:style>
  <w:style w:type="paragraph" w:styleId="Epgrafe">
    <w:name w:val="caption"/>
    <w:basedOn w:val="Normal"/>
    <w:next w:val="Normal"/>
    <w:uiPriority w:val="35"/>
    <w:unhideWhenUsed/>
    <w:qFormat/>
    <w:rsid w:val="00E73DC0"/>
    <w:pPr>
      <w:spacing w:line="480" w:lineRule="auto"/>
    </w:pPr>
    <w:rPr>
      <w:b/>
      <w:bCs/>
      <w:szCs w:val="18"/>
    </w:rPr>
  </w:style>
  <w:style w:type="paragraph" w:styleId="Encabezado">
    <w:name w:val="header"/>
    <w:basedOn w:val="Normal"/>
    <w:link w:val="EncabezadoCar"/>
    <w:uiPriority w:val="99"/>
    <w:semiHidden/>
    <w:unhideWhenUsed/>
    <w:rsid w:val="009F4E6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semiHidden/>
    <w:rsid w:val="009F4E6B"/>
    <w:rPr>
      <w:rFonts w:ascii="Times New Roman" w:eastAsiaTheme="minorEastAsia" w:hAnsi="Times New Roman"/>
      <w:sz w:val="24"/>
      <w:lang w:val="en-GB" w:eastAsia="en-IN"/>
    </w:rPr>
  </w:style>
  <w:style w:type="paragraph" w:styleId="Piedepgina">
    <w:name w:val="footer"/>
    <w:basedOn w:val="Normal"/>
    <w:link w:val="PiedepginaCar"/>
    <w:uiPriority w:val="99"/>
    <w:unhideWhenUsed/>
    <w:rsid w:val="009F4E6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9F4E6B"/>
    <w:rPr>
      <w:rFonts w:ascii="Times New Roman" w:eastAsiaTheme="minorEastAsia" w:hAnsi="Times New Roman"/>
      <w:sz w:val="24"/>
      <w:lang w:val="en-GB" w:eastAsia="en-IN"/>
    </w:rPr>
  </w:style>
  <w:style w:type="paragraph" w:styleId="TtulodeTDC">
    <w:name w:val="TOC Heading"/>
    <w:basedOn w:val="Ttulo1"/>
    <w:next w:val="Normal"/>
    <w:uiPriority w:val="39"/>
    <w:semiHidden/>
    <w:unhideWhenUsed/>
    <w:qFormat/>
    <w:rsid w:val="00BA2D7C"/>
    <w:pPr>
      <w:spacing w:line="276" w:lineRule="auto"/>
      <w:jc w:val="left"/>
      <w:outlineLvl w:val="9"/>
    </w:pPr>
    <w:rPr>
      <w:rFonts w:asciiTheme="majorHAnsi" w:hAnsiTheme="majorHAnsi"/>
      <w:color w:val="365F91" w:themeColor="accent1" w:themeShade="BF"/>
      <w:sz w:val="28"/>
      <w:lang w:val="en-US"/>
    </w:rPr>
  </w:style>
  <w:style w:type="paragraph" w:styleId="TDC1">
    <w:name w:val="toc 1"/>
    <w:basedOn w:val="Normal"/>
    <w:next w:val="Normal"/>
    <w:autoRedefine/>
    <w:uiPriority w:val="39"/>
    <w:unhideWhenUsed/>
    <w:rsid w:val="00BA2D7C"/>
    <w:pPr>
      <w:spacing w:after="100"/>
    </w:pPr>
  </w:style>
  <w:style w:type="character" w:styleId="Hipervnculo">
    <w:name w:val="Hyperlink"/>
    <w:basedOn w:val="Fuentedeprrafopredeter"/>
    <w:uiPriority w:val="99"/>
    <w:unhideWhenUsed/>
    <w:rsid w:val="00BA2D7C"/>
    <w:rPr>
      <w:color w:val="0000FF" w:themeColor="hyperlink"/>
      <w:u w:val="single"/>
    </w:rPr>
  </w:style>
  <w:style w:type="paragraph" w:styleId="Textodeglobo">
    <w:name w:val="Balloon Text"/>
    <w:basedOn w:val="Normal"/>
    <w:link w:val="TextodegloboCar"/>
    <w:uiPriority w:val="99"/>
    <w:semiHidden/>
    <w:unhideWhenUsed/>
    <w:rsid w:val="00BA2D7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A2D7C"/>
    <w:rPr>
      <w:rFonts w:ascii="Tahoma" w:eastAsiaTheme="minorEastAsia" w:hAnsi="Tahoma" w:cs="Tahoma"/>
      <w:sz w:val="16"/>
      <w:szCs w:val="16"/>
      <w:lang w:val="en-GB" w:eastAsia="en-IN"/>
    </w:rPr>
  </w:style>
  <w:style w:type="character" w:styleId="Refdecomentario">
    <w:name w:val="annotation reference"/>
    <w:basedOn w:val="Fuentedeprrafopredeter"/>
    <w:uiPriority w:val="99"/>
    <w:semiHidden/>
    <w:unhideWhenUsed/>
    <w:rsid w:val="00EF40ED"/>
    <w:rPr>
      <w:sz w:val="16"/>
      <w:szCs w:val="16"/>
    </w:rPr>
  </w:style>
  <w:style w:type="paragraph" w:styleId="Textocomentario">
    <w:name w:val="annotation text"/>
    <w:basedOn w:val="Normal"/>
    <w:link w:val="TextocomentarioCar"/>
    <w:uiPriority w:val="99"/>
    <w:semiHidden/>
    <w:unhideWhenUsed/>
    <w:rsid w:val="00EF40E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F40ED"/>
    <w:rPr>
      <w:rFonts w:ascii="Times New Roman" w:eastAsiaTheme="minorEastAsia" w:hAnsi="Times New Roman"/>
      <w:sz w:val="20"/>
      <w:szCs w:val="20"/>
      <w:lang w:val="en-GB" w:eastAsia="en-IN"/>
    </w:rPr>
  </w:style>
  <w:style w:type="paragraph" w:styleId="Asuntodelcomentario">
    <w:name w:val="annotation subject"/>
    <w:basedOn w:val="Textocomentario"/>
    <w:next w:val="Textocomentario"/>
    <w:link w:val="AsuntodelcomentarioCar"/>
    <w:uiPriority w:val="99"/>
    <w:semiHidden/>
    <w:unhideWhenUsed/>
    <w:rsid w:val="00EF40ED"/>
    <w:rPr>
      <w:b/>
      <w:bCs/>
    </w:rPr>
  </w:style>
  <w:style w:type="character" w:customStyle="1" w:styleId="AsuntodelcomentarioCar">
    <w:name w:val="Asunto del comentario Car"/>
    <w:basedOn w:val="TextocomentarioCar"/>
    <w:link w:val="Asuntodelcomentario"/>
    <w:uiPriority w:val="99"/>
    <w:semiHidden/>
    <w:rsid w:val="00EF40ED"/>
    <w:rPr>
      <w:rFonts w:ascii="Times New Roman" w:eastAsiaTheme="minorEastAsia" w:hAnsi="Times New Roman"/>
      <w:b/>
      <w:bCs/>
      <w:sz w:val="20"/>
      <w:szCs w:val="20"/>
      <w:lang w:val="en-GB" w:eastAsia="en-IN"/>
    </w:rPr>
  </w:style>
  <w:style w:type="paragraph" w:styleId="Revisin">
    <w:name w:val="Revision"/>
    <w:hidden/>
    <w:uiPriority w:val="99"/>
    <w:semiHidden/>
    <w:rsid w:val="00ED302F"/>
    <w:pPr>
      <w:spacing w:after="0" w:line="240" w:lineRule="auto"/>
    </w:pPr>
    <w:rPr>
      <w:rFonts w:ascii="Times New Roman" w:eastAsiaTheme="minorEastAsia" w:hAnsi="Times New Roman"/>
      <w:sz w:val="24"/>
      <w:lang w:val="en-GB"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9E474-EB9C-4F33-B942-87238FF6D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2355</Words>
  <Characters>12958</Characters>
  <Application>Microsoft Office Word</Application>
  <DocSecurity>0</DocSecurity>
  <Lines>107</Lines>
  <Paragraphs>30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Luffi</cp:lastModifiedBy>
  <cp:revision>6</cp:revision>
  <dcterms:created xsi:type="dcterms:W3CDTF">2020-09-02T12:53:00Z</dcterms:created>
  <dcterms:modified xsi:type="dcterms:W3CDTF">2021-01-03T13:48:00Z</dcterms:modified>
</cp:coreProperties>
</file>