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9831DF" w:rsidP="009831DF" w:rsidRDefault="009831DF" w14:paraId="672A6659" wp14:textId="77777777">
      <w:pPr>
        <w:spacing w:after="200" w:line="360" w:lineRule="auto"/>
        <w:jc w:val="center"/>
        <w:rPr>
          <w:rFonts w:ascii="Times New Roman" w:hAnsi="Times New Roman" w:cs="Times New Roman"/>
          <w:b w:val="1"/>
          <w:bCs w:val="1"/>
          <w:sz w:val="36"/>
          <w:szCs w:val="36"/>
        </w:rPr>
      </w:pPr>
    </w:p>
    <w:p w:rsidR="17408E84" w:rsidP="17408E84" w:rsidRDefault="17408E84" w14:paraId="21E16392" w14:textId="7A2F7031">
      <w:pPr>
        <w:pStyle w:val="Normal"/>
        <w:spacing w:after="200" w:line="360" w:lineRule="auto"/>
        <w:jc w:val="center"/>
        <w:rPr>
          <w:rFonts w:ascii="Times New Roman" w:hAnsi="Times New Roman" w:cs="Times New Roman"/>
          <w:b w:val="1"/>
          <w:bCs w:val="1"/>
          <w:sz w:val="36"/>
          <w:szCs w:val="36"/>
        </w:rPr>
      </w:pPr>
    </w:p>
    <w:p w:rsidR="17408E84" w:rsidP="17408E84" w:rsidRDefault="17408E84" w14:paraId="3790B011" w14:textId="55E34541">
      <w:pPr>
        <w:pStyle w:val="Normal"/>
        <w:spacing w:after="200" w:line="360" w:lineRule="auto"/>
        <w:jc w:val="center"/>
        <w:rPr>
          <w:rFonts w:ascii="Times New Roman" w:hAnsi="Times New Roman" w:cs="Times New Roman"/>
          <w:b w:val="1"/>
          <w:bCs w:val="1"/>
          <w:sz w:val="36"/>
          <w:szCs w:val="36"/>
        </w:rPr>
      </w:pPr>
    </w:p>
    <w:p xmlns:wp14="http://schemas.microsoft.com/office/word/2010/wordml" w:rsidR="009831DF" w:rsidP="009831DF" w:rsidRDefault="009831DF" w14:paraId="0A37501D" wp14:textId="77777777">
      <w:pPr>
        <w:spacing w:after="200" w:line="360" w:lineRule="auto"/>
        <w:jc w:val="center"/>
        <w:rPr>
          <w:rFonts w:ascii="Times New Roman" w:hAnsi="Times New Roman" w:cs="Times New Roman"/>
          <w:b/>
          <w:bCs/>
          <w:sz w:val="36"/>
          <w:szCs w:val="36"/>
        </w:rPr>
      </w:pPr>
    </w:p>
    <w:p xmlns:wp14="http://schemas.microsoft.com/office/word/2010/wordml" w:rsidRPr="009831DF" w:rsidR="00F64E4F" w:rsidP="009831DF" w:rsidRDefault="00D916F0" w14:paraId="78F46976" wp14:textId="77777777">
      <w:pPr>
        <w:spacing w:after="200" w:line="360" w:lineRule="auto"/>
        <w:jc w:val="center"/>
        <w:rPr>
          <w:rFonts w:ascii="Times New Roman" w:hAnsi="Times New Roman" w:cs="Times New Roman"/>
          <w:b/>
          <w:bCs/>
          <w:sz w:val="36"/>
          <w:szCs w:val="36"/>
        </w:rPr>
      </w:pPr>
      <w:r w:rsidRPr="17408E84" w:rsidR="00D916F0">
        <w:rPr>
          <w:rFonts w:ascii="Times New Roman" w:hAnsi="Times New Roman" w:cs="Times New Roman"/>
          <w:b w:val="1"/>
          <w:bCs w:val="1"/>
          <w:sz w:val="36"/>
          <w:szCs w:val="36"/>
        </w:rPr>
        <w:t>International Financial Management</w:t>
      </w:r>
    </w:p>
    <w:p w:rsidR="4188ACD0" w:rsidP="17408E84" w:rsidRDefault="4188ACD0" w14:paraId="2312F94D" w14:textId="27813BDD">
      <w:pPr>
        <w:pStyle w:val="Normal"/>
        <w:spacing w:after="200" w:line="360" w:lineRule="auto"/>
        <w:jc w:val="center"/>
        <w:rPr>
          <w:rFonts w:ascii="Times New Roman" w:hAnsi="Times New Roman" w:cs="Times New Roman"/>
          <w:b w:val="1"/>
          <w:bCs w:val="1"/>
          <w:sz w:val="36"/>
          <w:szCs w:val="36"/>
        </w:rPr>
      </w:pPr>
      <w:r w:rsidRPr="17408E84" w:rsidR="4188ACD0">
        <w:rPr>
          <w:rFonts w:ascii="Times New Roman" w:hAnsi="Times New Roman" w:cs="Times New Roman"/>
          <w:b w:val="1"/>
          <w:bCs w:val="1"/>
          <w:sz w:val="36"/>
          <w:szCs w:val="36"/>
        </w:rPr>
        <w:t>Corina Georgiana Cirstea</w:t>
      </w:r>
    </w:p>
    <w:p w:rsidR="4188ACD0" w:rsidP="17408E84" w:rsidRDefault="4188ACD0" w14:paraId="278C9F79" w14:textId="16827011">
      <w:pPr>
        <w:pStyle w:val="Normal"/>
        <w:spacing w:after="200" w:line="360" w:lineRule="auto"/>
        <w:jc w:val="center"/>
        <w:rPr>
          <w:rFonts w:ascii="Times New Roman" w:hAnsi="Times New Roman" w:cs="Times New Roman"/>
          <w:b w:val="1"/>
          <w:bCs w:val="1"/>
          <w:sz w:val="36"/>
          <w:szCs w:val="36"/>
        </w:rPr>
      </w:pPr>
      <w:r w:rsidRPr="17408E84" w:rsidR="4188ACD0">
        <w:rPr>
          <w:rFonts w:ascii="Times New Roman" w:hAnsi="Times New Roman" w:cs="Times New Roman"/>
          <w:b w:val="1"/>
          <w:bCs w:val="1"/>
          <w:sz w:val="36"/>
          <w:szCs w:val="36"/>
        </w:rPr>
        <w:t>ID 2007930</w:t>
      </w:r>
    </w:p>
    <w:p w:rsidR="4188ACD0" w:rsidP="17408E84" w:rsidRDefault="4188ACD0" w14:paraId="7F4B0D73" w14:textId="364B57BC">
      <w:pPr>
        <w:pStyle w:val="Normal"/>
        <w:spacing w:after="200" w:line="360" w:lineRule="auto"/>
        <w:jc w:val="center"/>
        <w:rPr>
          <w:rFonts w:ascii="Times New Roman" w:hAnsi="Times New Roman" w:cs="Times New Roman"/>
          <w:b w:val="1"/>
          <w:bCs w:val="1"/>
          <w:sz w:val="36"/>
          <w:szCs w:val="36"/>
        </w:rPr>
      </w:pPr>
      <w:r w:rsidRPr="17408E84" w:rsidR="4188ACD0">
        <w:rPr>
          <w:rFonts w:ascii="Times New Roman" w:hAnsi="Times New Roman" w:cs="Times New Roman"/>
          <w:b w:val="1"/>
          <w:bCs w:val="1"/>
          <w:sz w:val="36"/>
          <w:szCs w:val="36"/>
        </w:rPr>
        <w:t>LCBB6002</w:t>
      </w:r>
    </w:p>
    <w:p w:rsidR="00C23A99" w:rsidP="411F2658" w:rsidRDefault="00C23A99" w14:paraId="6BBBF5A2" w14:textId="6F55D466">
      <w:pPr>
        <w:spacing w:after="200" w:line="360" w:lineRule="auto"/>
        <w:jc w:val="both"/>
        <w:rPr>
          <w:rFonts w:ascii="Times New Roman" w:hAnsi="Times New Roman" w:eastAsia="" w:cs="Times New Roman" w:eastAsiaTheme="majorEastAsia"/>
          <w:color w:val="2F5496" w:themeColor="accent1" w:themeTint="FF" w:themeShade="BF"/>
          <w:sz w:val="24"/>
          <w:szCs w:val="24"/>
        </w:rPr>
      </w:pPr>
      <w:r w:rsidRPr="411F2658">
        <w:rPr>
          <w:rFonts w:ascii="Times New Roman" w:hAnsi="Times New Roman" w:cs="Times New Roman"/>
          <w:sz w:val="24"/>
          <w:szCs w:val="24"/>
        </w:rPr>
        <w:br w:type="page"/>
      </w:r>
      <w:r w:rsidRPr="411F2658" w:rsidR="4AE6868C">
        <w:rPr>
          <w:rFonts w:ascii="Times New Roman" w:hAnsi="Times New Roman" w:cs="Times New Roman"/>
          <w:sz w:val="24"/>
          <w:szCs w:val="24"/>
        </w:rPr>
        <w:t xml:space="preserve">                                         Corina Georgiana Cirstea   </w:t>
      </w:r>
      <w:r w:rsidRPr="411F2658" w:rsidR="42F49D04">
        <w:rPr>
          <w:rFonts w:ascii="Times New Roman" w:hAnsi="Times New Roman" w:cs="Times New Roman"/>
          <w:sz w:val="24"/>
          <w:szCs w:val="24"/>
        </w:rPr>
        <w:t xml:space="preserve">ID 2007930   </w:t>
      </w:r>
      <w:r w:rsidRPr="411F2658" w:rsidR="16A31AAD">
        <w:rPr>
          <w:rFonts w:ascii="Times New Roman" w:hAnsi="Times New Roman" w:cs="Times New Roman"/>
          <w:sz w:val="24"/>
          <w:szCs w:val="24"/>
        </w:rPr>
        <w:t>LCBB6002</w:t>
      </w:r>
    </w:p>
    <w:p w:rsidR="411F2658" w:rsidP="411F2658" w:rsidRDefault="411F2658" w14:paraId="3D2434BB" w14:textId="52D39C6B">
      <w:pPr>
        <w:pStyle w:val="Normal"/>
        <w:spacing w:after="200" w:line="360" w:lineRule="auto"/>
        <w:jc w:val="both"/>
        <w:rPr>
          <w:rFonts w:ascii="Times New Roman" w:hAnsi="Times New Roman" w:cs="Times New Roman"/>
          <w:sz w:val="24"/>
          <w:szCs w:val="24"/>
        </w:rPr>
      </w:pPr>
    </w:p>
    <w:sdt>
      <w:sdtPr>
        <w:rPr>
          <w:rFonts w:ascii="Times New Roman" w:hAnsi="Times New Roman" w:cs="Times New Roman"/>
          <w:sz w:val="24"/>
          <w:szCs w:val="24"/>
        </w:rPr>
        <w:id w:val="-32972008"/>
        <w:docPartObj>
          <w:docPartGallery w:val="Table of Contents"/>
          <w:docPartUnique/>
        </w:docPartObj>
      </w:sdtPr>
      <w:sdtEndPr>
        <w:rPr>
          <w:rFonts w:eastAsiaTheme="minorHAnsi"/>
          <w:b/>
          <w:bCs/>
          <w:noProof/>
          <w:color w:val="auto"/>
          <w:kern w:val="2"/>
          <w:lang w:val="en-GB"/>
          <w14:ligatures w14:val="standardContextual"/>
        </w:rPr>
      </w:sdtEndPr>
      <w:sdtContent>
        <w:p xmlns:wp14="http://schemas.microsoft.com/office/word/2010/wordml" w:rsidRPr="00C56F0E" w:rsidR="00C56F0E" w:rsidP="00C56F0E" w:rsidRDefault="00C56F0E" w14:paraId="406425CA" wp14:textId="77777777">
          <w:pPr>
            <w:pStyle w:val="TOCHeading"/>
            <w:spacing w:after="200" w:line="360" w:lineRule="auto"/>
            <w:jc w:val="both"/>
            <w:rPr>
              <w:rFonts w:ascii="Times New Roman" w:hAnsi="Times New Roman" w:cs="Times New Roman"/>
              <w:sz w:val="24"/>
              <w:szCs w:val="24"/>
            </w:rPr>
          </w:pPr>
          <w:r w:rsidRPr="00C56F0E">
            <w:rPr>
              <w:rFonts w:ascii="Times New Roman" w:hAnsi="Times New Roman" w:cs="Times New Roman"/>
              <w:sz w:val="24"/>
              <w:szCs w:val="24"/>
            </w:rPr>
            <w:t>Contents</w:t>
          </w:r>
        </w:p>
        <w:p xmlns:wp14="http://schemas.microsoft.com/office/word/2010/wordml" w:rsidRPr="00C56F0E" w:rsidR="00C56F0E" w:rsidP="00C56F0E" w:rsidRDefault="00C56F0E" w14:paraId="27543B94" wp14:textId="77777777">
          <w:pPr>
            <w:pStyle w:val="TOC1"/>
            <w:tabs>
              <w:tab w:val="right" w:leader="dot" w:pos="9350"/>
            </w:tabs>
            <w:spacing w:after="200" w:line="360" w:lineRule="auto"/>
            <w:jc w:val="both"/>
            <w:rPr>
              <w:rFonts w:ascii="Times New Roman" w:hAnsi="Times New Roman" w:cs="Times New Roman" w:eastAsiaTheme="minorEastAsia"/>
              <w:noProof/>
              <w:sz w:val="24"/>
              <w:szCs w:val="24"/>
              <w:lang w:val="en-AU" w:eastAsia="en-AU"/>
            </w:rPr>
          </w:pPr>
          <w:r w:rsidRPr="00C56F0E">
            <w:rPr>
              <w:rFonts w:ascii="Times New Roman" w:hAnsi="Times New Roman" w:cs="Times New Roman"/>
              <w:sz w:val="24"/>
              <w:szCs w:val="24"/>
            </w:rPr>
            <w:fldChar w:fldCharType="begin"/>
          </w:r>
          <w:r w:rsidRPr="00C56F0E">
            <w:rPr>
              <w:rFonts w:ascii="Times New Roman" w:hAnsi="Times New Roman" w:cs="Times New Roman"/>
              <w:sz w:val="24"/>
              <w:szCs w:val="24"/>
            </w:rPr>
            <w:instrText xml:space="preserve"> TOC \o "1-3" \h \z \u </w:instrText>
          </w:r>
          <w:r w:rsidRPr="00C56F0E">
            <w:rPr>
              <w:rFonts w:ascii="Times New Roman" w:hAnsi="Times New Roman" w:cs="Times New Roman"/>
              <w:sz w:val="24"/>
              <w:szCs w:val="24"/>
            </w:rPr>
            <w:fldChar w:fldCharType="separate"/>
          </w:r>
          <w:hyperlink w:history="1" w:anchor="_Toc134122111">
            <w:r w:rsidRPr="00C56F0E">
              <w:rPr>
                <w:rStyle w:val="Hyperlink"/>
                <w:rFonts w:ascii="Times New Roman" w:hAnsi="Times New Roman" w:cs="Times New Roman"/>
                <w:noProof/>
                <w:sz w:val="24"/>
                <w:szCs w:val="24"/>
              </w:rPr>
              <w:t>Dividend Distribution Policy of BT Group</w:t>
            </w:r>
            <w:r w:rsidRPr="00C56F0E">
              <w:rPr>
                <w:rFonts w:ascii="Times New Roman" w:hAnsi="Times New Roman" w:cs="Times New Roman"/>
                <w:noProof/>
                <w:webHidden/>
                <w:sz w:val="24"/>
                <w:szCs w:val="24"/>
              </w:rPr>
              <w:tab/>
            </w:r>
            <w:r w:rsidRPr="00C56F0E">
              <w:rPr>
                <w:rFonts w:ascii="Times New Roman" w:hAnsi="Times New Roman" w:cs="Times New Roman"/>
                <w:noProof/>
                <w:webHidden/>
                <w:sz w:val="24"/>
                <w:szCs w:val="24"/>
              </w:rPr>
              <w:fldChar w:fldCharType="begin"/>
            </w:r>
            <w:r w:rsidRPr="00C56F0E">
              <w:rPr>
                <w:rFonts w:ascii="Times New Roman" w:hAnsi="Times New Roman" w:cs="Times New Roman"/>
                <w:noProof/>
                <w:webHidden/>
                <w:sz w:val="24"/>
                <w:szCs w:val="24"/>
              </w:rPr>
              <w:instrText xml:space="preserve"> PAGEREF _Toc134122111 \h </w:instrText>
            </w:r>
            <w:r w:rsidRPr="00C56F0E">
              <w:rPr>
                <w:rFonts w:ascii="Times New Roman" w:hAnsi="Times New Roman" w:cs="Times New Roman"/>
                <w:noProof/>
                <w:webHidden/>
                <w:sz w:val="24"/>
                <w:szCs w:val="24"/>
              </w:rPr>
            </w:r>
            <w:r w:rsidRPr="00C56F0E">
              <w:rPr>
                <w:rFonts w:ascii="Times New Roman" w:hAnsi="Times New Roman" w:cs="Times New Roman"/>
                <w:noProof/>
                <w:webHidden/>
                <w:sz w:val="24"/>
                <w:szCs w:val="24"/>
              </w:rPr>
              <w:fldChar w:fldCharType="separate"/>
            </w:r>
            <w:r w:rsidRPr="00C56F0E">
              <w:rPr>
                <w:rFonts w:ascii="Times New Roman" w:hAnsi="Times New Roman" w:cs="Times New Roman"/>
                <w:noProof/>
                <w:webHidden/>
                <w:sz w:val="24"/>
                <w:szCs w:val="24"/>
              </w:rPr>
              <w:t>3</w:t>
            </w:r>
            <w:r w:rsidRPr="00C56F0E">
              <w:rPr>
                <w:rFonts w:ascii="Times New Roman" w:hAnsi="Times New Roman" w:cs="Times New Roman"/>
                <w:noProof/>
                <w:webHidden/>
                <w:sz w:val="24"/>
                <w:szCs w:val="24"/>
              </w:rPr>
              <w:fldChar w:fldCharType="end"/>
            </w:r>
          </w:hyperlink>
        </w:p>
        <w:p xmlns:wp14="http://schemas.microsoft.com/office/word/2010/wordml" w:rsidRPr="00C56F0E" w:rsidR="00C56F0E" w:rsidP="00C56F0E" w:rsidRDefault="00C56F0E" w14:paraId="38072CA5" wp14:textId="77777777">
          <w:pPr>
            <w:pStyle w:val="TOC1"/>
            <w:tabs>
              <w:tab w:val="right" w:leader="dot" w:pos="9350"/>
            </w:tabs>
            <w:spacing w:after="200" w:line="360" w:lineRule="auto"/>
            <w:jc w:val="both"/>
            <w:rPr>
              <w:rFonts w:ascii="Times New Roman" w:hAnsi="Times New Roman" w:cs="Times New Roman" w:eastAsiaTheme="minorEastAsia"/>
              <w:noProof/>
              <w:sz w:val="24"/>
              <w:szCs w:val="24"/>
              <w:lang w:val="en-AU" w:eastAsia="en-AU"/>
            </w:rPr>
          </w:pPr>
          <w:hyperlink w:history="1" w:anchor="_Toc134122112">
            <w:r w:rsidRPr="00C56F0E">
              <w:rPr>
                <w:rStyle w:val="Hyperlink"/>
                <w:rFonts w:ascii="Times New Roman" w:hAnsi="Times New Roman" w:cs="Times New Roman"/>
                <w:noProof/>
                <w:sz w:val="24"/>
                <w:szCs w:val="24"/>
              </w:rPr>
              <w:t>Efficient market hypothesis theory in the context of BT Group</w:t>
            </w:r>
            <w:r w:rsidRPr="00C56F0E">
              <w:rPr>
                <w:rFonts w:ascii="Times New Roman" w:hAnsi="Times New Roman" w:cs="Times New Roman"/>
                <w:noProof/>
                <w:webHidden/>
                <w:sz w:val="24"/>
                <w:szCs w:val="24"/>
              </w:rPr>
              <w:tab/>
            </w:r>
            <w:r w:rsidRPr="00C56F0E">
              <w:rPr>
                <w:rFonts w:ascii="Times New Roman" w:hAnsi="Times New Roman" w:cs="Times New Roman"/>
                <w:noProof/>
                <w:webHidden/>
                <w:sz w:val="24"/>
                <w:szCs w:val="24"/>
              </w:rPr>
              <w:fldChar w:fldCharType="begin"/>
            </w:r>
            <w:r w:rsidRPr="00C56F0E">
              <w:rPr>
                <w:rFonts w:ascii="Times New Roman" w:hAnsi="Times New Roman" w:cs="Times New Roman"/>
                <w:noProof/>
                <w:webHidden/>
                <w:sz w:val="24"/>
                <w:szCs w:val="24"/>
              </w:rPr>
              <w:instrText xml:space="preserve"> PAGEREF _Toc134122112 \h </w:instrText>
            </w:r>
            <w:r w:rsidRPr="00C56F0E">
              <w:rPr>
                <w:rFonts w:ascii="Times New Roman" w:hAnsi="Times New Roman" w:cs="Times New Roman"/>
                <w:noProof/>
                <w:webHidden/>
                <w:sz w:val="24"/>
                <w:szCs w:val="24"/>
              </w:rPr>
            </w:r>
            <w:r w:rsidRPr="00C56F0E">
              <w:rPr>
                <w:rFonts w:ascii="Times New Roman" w:hAnsi="Times New Roman" w:cs="Times New Roman"/>
                <w:noProof/>
                <w:webHidden/>
                <w:sz w:val="24"/>
                <w:szCs w:val="24"/>
              </w:rPr>
              <w:fldChar w:fldCharType="separate"/>
            </w:r>
            <w:r w:rsidRPr="00C56F0E">
              <w:rPr>
                <w:rFonts w:ascii="Times New Roman" w:hAnsi="Times New Roman" w:cs="Times New Roman"/>
                <w:noProof/>
                <w:webHidden/>
                <w:sz w:val="24"/>
                <w:szCs w:val="24"/>
              </w:rPr>
              <w:t>3</w:t>
            </w:r>
            <w:r w:rsidRPr="00C56F0E">
              <w:rPr>
                <w:rFonts w:ascii="Times New Roman" w:hAnsi="Times New Roman" w:cs="Times New Roman"/>
                <w:noProof/>
                <w:webHidden/>
                <w:sz w:val="24"/>
                <w:szCs w:val="24"/>
              </w:rPr>
              <w:fldChar w:fldCharType="end"/>
            </w:r>
          </w:hyperlink>
        </w:p>
        <w:p xmlns:wp14="http://schemas.microsoft.com/office/word/2010/wordml" w:rsidRPr="00C56F0E" w:rsidR="00C56F0E" w:rsidP="00C56F0E" w:rsidRDefault="00C56F0E" w14:paraId="7751C813" wp14:textId="77777777">
          <w:pPr>
            <w:pStyle w:val="TOC1"/>
            <w:tabs>
              <w:tab w:val="right" w:leader="dot" w:pos="9350"/>
            </w:tabs>
            <w:spacing w:after="200" w:line="360" w:lineRule="auto"/>
            <w:jc w:val="both"/>
            <w:rPr>
              <w:rFonts w:ascii="Times New Roman" w:hAnsi="Times New Roman" w:cs="Times New Roman" w:eastAsiaTheme="minorEastAsia"/>
              <w:noProof/>
              <w:sz w:val="24"/>
              <w:szCs w:val="24"/>
              <w:lang w:val="en-AU" w:eastAsia="en-AU"/>
            </w:rPr>
          </w:pPr>
          <w:hyperlink w:history="1" w:anchor="_Toc134122113">
            <w:r w:rsidRPr="00C56F0E">
              <w:rPr>
                <w:rStyle w:val="Hyperlink"/>
                <w:rFonts w:ascii="Times New Roman" w:hAnsi="Times New Roman" w:cs="Times New Roman"/>
                <w:noProof/>
                <w:sz w:val="24"/>
                <w:szCs w:val="24"/>
              </w:rPr>
              <w:t>Methods of appraising projects used by BT Group</w:t>
            </w:r>
            <w:r w:rsidRPr="00C56F0E">
              <w:rPr>
                <w:rFonts w:ascii="Times New Roman" w:hAnsi="Times New Roman" w:cs="Times New Roman"/>
                <w:noProof/>
                <w:webHidden/>
                <w:sz w:val="24"/>
                <w:szCs w:val="24"/>
              </w:rPr>
              <w:tab/>
            </w:r>
            <w:r w:rsidRPr="00C56F0E">
              <w:rPr>
                <w:rFonts w:ascii="Times New Roman" w:hAnsi="Times New Roman" w:cs="Times New Roman"/>
                <w:noProof/>
                <w:webHidden/>
                <w:sz w:val="24"/>
                <w:szCs w:val="24"/>
              </w:rPr>
              <w:fldChar w:fldCharType="begin"/>
            </w:r>
            <w:r w:rsidRPr="00C56F0E">
              <w:rPr>
                <w:rFonts w:ascii="Times New Roman" w:hAnsi="Times New Roman" w:cs="Times New Roman"/>
                <w:noProof/>
                <w:webHidden/>
                <w:sz w:val="24"/>
                <w:szCs w:val="24"/>
              </w:rPr>
              <w:instrText xml:space="preserve"> PAGEREF _Toc134122113 \h </w:instrText>
            </w:r>
            <w:r w:rsidRPr="00C56F0E">
              <w:rPr>
                <w:rFonts w:ascii="Times New Roman" w:hAnsi="Times New Roman" w:cs="Times New Roman"/>
                <w:noProof/>
                <w:webHidden/>
                <w:sz w:val="24"/>
                <w:szCs w:val="24"/>
              </w:rPr>
            </w:r>
            <w:r w:rsidRPr="00C56F0E">
              <w:rPr>
                <w:rFonts w:ascii="Times New Roman" w:hAnsi="Times New Roman" w:cs="Times New Roman"/>
                <w:noProof/>
                <w:webHidden/>
                <w:sz w:val="24"/>
                <w:szCs w:val="24"/>
              </w:rPr>
              <w:fldChar w:fldCharType="separate"/>
            </w:r>
            <w:r w:rsidRPr="00C56F0E">
              <w:rPr>
                <w:rFonts w:ascii="Times New Roman" w:hAnsi="Times New Roman" w:cs="Times New Roman"/>
                <w:noProof/>
                <w:webHidden/>
                <w:sz w:val="24"/>
                <w:szCs w:val="24"/>
              </w:rPr>
              <w:t>4</w:t>
            </w:r>
            <w:r w:rsidRPr="00C56F0E">
              <w:rPr>
                <w:rFonts w:ascii="Times New Roman" w:hAnsi="Times New Roman" w:cs="Times New Roman"/>
                <w:noProof/>
                <w:webHidden/>
                <w:sz w:val="24"/>
                <w:szCs w:val="24"/>
              </w:rPr>
              <w:fldChar w:fldCharType="end"/>
            </w:r>
          </w:hyperlink>
        </w:p>
        <w:p xmlns:wp14="http://schemas.microsoft.com/office/word/2010/wordml" w:rsidRPr="00C56F0E" w:rsidR="00C56F0E" w:rsidP="00C56F0E" w:rsidRDefault="00C56F0E" w14:paraId="57EA3316" wp14:textId="77777777">
          <w:pPr>
            <w:pStyle w:val="TOC1"/>
            <w:tabs>
              <w:tab w:val="right" w:leader="dot" w:pos="9350"/>
            </w:tabs>
            <w:spacing w:after="200" w:line="360" w:lineRule="auto"/>
            <w:jc w:val="both"/>
            <w:rPr>
              <w:rFonts w:ascii="Times New Roman" w:hAnsi="Times New Roman" w:cs="Times New Roman" w:eastAsiaTheme="minorEastAsia"/>
              <w:noProof/>
              <w:sz w:val="24"/>
              <w:szCs w:val="24"/>
              <w:lang w:val="en-AU" w:eastAsia="en-AU"/>
            </w:rPr>
          </w:pPr>
          <w:hyperlink w:history="1" w:anchor="_Toc134122114">
            <w:r w:rsidRPr="00C56F0E">
              <w:rPr>
                <w:rStyle w:val="Hyperlink"/>
                <w:rFonts w:ascii="Times New Roman" w:hAnsi="Times New Roman" w:cs="Times New Roman"/>
                <w:noProof/>
                <w:sz w:val="24"/>
                <w:szCs w:val="24"/>
              </w:rPr>
              <w:t>Challenges that BT Group may experience in different international financial markets</w:t>
            </w:r>
            <w:r w:rsidRPr="00C56F0E">
              <w:rPr>
                <w:rFonts w:ascii="Times New Roman" w:hAnsi="Times New Roman" w:cs="Times New Roman"/>
                <w:noProof/>
                <w:webHidden/>
                <w:sz w:val="24"/>
                <w:szCs w:val="24"/>
              </w:rPr>
              <w:tab/>
            </w:r>
            <w:r w:rsidRPr="00C56F0E">
              <w:rPr>
                <w:rFonts w:ascii="Times New Roman" w:hAnsi="Times New Roman" w:cs="Times New Roman"/>
                <w:noProof/>
                <w:webHidden/>
                <w:sz w:val="24"/>
                <w:szCs w:val="24"/>
              </w:rPr>
              <w:fldChar w:fldCharType="begin"/>
            </w:r>
            <w:r w:rsidRPr="00C56F0E">
              <w:rPr>
                <w:rFonts w:ascii="Times New Roman" w:hAnsi="Times New Roman" w:cs="Times New Roman"/>
                <w:noProof/>
                <w:webHidden/>
                <w:sz w:val="24"/>
                <w:szCs w:val="24"/>
              </w:rPr>
              <w:instrText xml:space="preserve"> PAGEREF _Toc134122114 \h </w:instrText>
            </w:r>
            <w:r w:rsidRPr="00C56F0E">
              <w:rPr>
                <w:rFonts w:ascii="Times New Roman" w:hAnsi="Times New Roman" w:cs="Times New Roman"/>
                <w:noProof/>
                <w:webHidden/>
                <w:sz w:val="24"/>
                <w:szCs w:val="24"/>
              </w:rPr>
            </w:r>
            <w:r w:rsidRPr="00C56F0E">
              <w:rPr>
                <w:rFonts w:ascii="Times New Roman" w:hAnsi="Times New Roman" w:cs="Times New Roman"/>
                <w:noProof/>
                <w:webHidden/>
                <w:sz w:val="24"/>
                <w:szCs w:val="24"/>
              </w:rPr>
              <w:fldChar w:fldCharType="separate"/>
            </w:r>
            <w:r w:rsidRPr="00C56F0E">
              <w:rPr>
                <w:rFonts w:ascii="Times New Roman" w:hAnsi="Times New Roman" w:cs="Times New Roman"/>
                <w:noProof/>
                <w:webHidden/>
                <w:sz w:val="24"/>
                <w:szCs w:val="24"/>
              </w:rPr>
              <w:t>4</w:t>
            </w:r>
            <w:r w:rsidRPr="00C56F0E">
              <w:rPr>
                <w:rFonts w:ascii="Times New Roman" w:hAnsi="Times New Roman" w:cs="Times New Roman"/>
                <w:noProof/>
                <w:webHidden/>
                <w:sz w:val="24"/>
                <w:szCs w:val="24"/>
              </w:rPr>
              <w:fldChar w:fldCharType="end"/>
            </w:r>
          </w:hyperlink>
        </w:p>
        <w:p xmlns:wp14="http://schemas.microsoft.com/office/word/2010/wordml" w:rsidRPr="00C56F0E" w:rsidR="00C56F0E" w:rsidP="00C56F0E" w:rsidRDefault="00C56F0E" w14:paraId="11633819" wp14:textId="77777777">
          <w:pPr>
            <w:pStyle w:val="TOC1"/>
            <w:tabs>
              <w:tab w:val="right" w:leader="dot" w:pos="9350"/>
            </w:tabs>
            <w:spacing w:after="200" w:line="360" w:lineRule="auto"/>
            <w:jc w:val="both"/>
            <w:rPr>
              <w:rFonts w:ascii="Times New Roman" w:hAnsi="Times New Roman" w:cs="Times New Roman" w:eastAsiaTheme="minorEastAsia"/>
              <w:noProof/>
              <w:sz w:val="24"/>
              <w:szCs w:val="24"/>
              <w:lang w:val="en-AU" w:eastAsia="en-AU"/>
            </w:rPr>
          </w:pPr>
          <w:hyperlink w:history="1" w:anchor="_Toc134122115">
            <w:r w:rsidRPr="00C56F0E">
              <w:rPr>
                <w:rStyle w:val="Hyperlink"/>
                <w:rFonts w:ascii="Times New Roman" w:hAnsi="Times New Roman" w:cs="Times New Roman"/>
                <w:noProof/>
                <w:sz w:val="24"/>
                <w:szCs w:val="24"/>
              </w:rPr>
              <w:t>Methods and techniques relating to the financing of an international business</w:t>
            </w:r>
            <w:r w:rsidRPr="00C56F0E">
              <w:rPr>
                <w:rFonts w:ascii="Times New Roman" w:hAnsi="Times New Roman" w:cs="Times New Roman"/>
                <w:noProof/>
                <w:webHidden/>
                <w:sz w:val="24"/>
                <w:szCs w:val="24"/>
              </w:rPr>
              <w:tab/>
            </w:r>
            <w:r w:rsidRPr="00C56F0E">
              <w:rPr>
                <w:rFonts w:ascii="Times New Roman" w:hAnsi="Times New Roman" w:cs="Times New Roman"/>
                <w:noProof/>
                <w:webHidden/>
                <w:sz w:val="24"/>
                <w:szCs w:val="24"/>
              </w:rPr>
              <w:fldChar w:fldCharType="begin"/>
            </w:r>
            <w:r w:rsidRPr="00C56F0E">
              <w:rPr>
                <w:rFonts w:ascii="Times New Roman" w:hAnsi="Times New Roman" w:cs="Times New Roman"/>
                <w:noProof/>
                <w:webHidden/>
                <w:sz w:val="24"/>
                <w:szCs w:val="24"/>
              </w:rPr>
              <w:instrText xml:space="preserve"> PAGEREF _Toc134122115 \h </w:instrText>
            </w:r>
            <w:r w:rsidRPr="00C56F0E">
              <w:rPr>
                <w:rFonts w:ascii="Times New Roman" w:hAnsi="Times New Roman" w:cs="Times New Roman"/>
                <w:noProof/>
                <w:webHidden/>
                <w:sz w:val="24"/>
                <w:szCs w:val="24"/>
              </w:rPr>
            </w:r>
            <w:r w:rsidRPr="00C56F0E">
              <w:rPr>
                <w:rFonts w:ascii="Times New Roman" w:hAnsi="Times New Roman" w:cs="Times New Roman"/>
                <w:noProof/>
                <w:webHidden/>
                <w:sz w:val="24"/>
                <w:szCs w:val="24"/>
              </w:rPr>
              <w:fldChar w:fldCharType="separate"/>
            </w:r>
            <w:r w:rsidRPr="00C56F0E">
              <w:rPr>
                <w:rFonts w:ascii="Times New Roman" w:hAnsi="Times New Roman" w:cs="Times New Roman"/>
                <w:noProof/>
                <w:webHidden/>
                <w:sz w:val="24"/>
                <w:szCs w:val="24"/>
              </w:rPr>
              <w:t>5</w:t>
            </w:r>
            <w:r w:rsidRPr="00C56F0E">
              <w:rPr>
                <w:rFonts w:ascii="Times New Roman" w:hAnsi="Times New Roman" w:cs="Times New Roman"/>
                <w:noProof/>
                <w:webHidden/>
                <w:sz w:val="24"/>
                <w:szCs w:val="24"/>
              </w:rPr>
              <w:fldChar w:fldCharType="end"/>
            </w:r>
          </w:hyperlink>
        </w:p>
        <w:p xmlns:wp14="http://schemas.microsoft.com/office/word/2010/wordml" w:rsidRPr="00C56F0E" w:rsidR="00C56F0E" w:rsidP="00C56F0E" w:rsidRDefault="00C56F0E" w14:paraId="3DA4F027" wp14:textId="77777777">
          <w:pPr>
            <w:pStyle w:val="TOC1"/>
            <w:tabs>
              <w:tab w:val="right" w:leader="dot" w:pos="9350"/>
            </w:tabs>
            <w:spacing w:after="200" w:line="360" w:lineRule="auto"/>
            <w:jc w:val="both"/>
            <w:rPr>
              <w:rFonts w:ascii="Times New Roman" w:hAnsi="Times New Roman" w:cs="Times New Roman" w:eastAsiaTheme="minorEastAsia"/>
              <w:noProof/>
              <w:sz w:val="24"/>
              <w:szCs w:val="24"/>
              <w:lang w:val="en-AU" w:eastAsia="en-AU"/>
            </w:rPr>
          </w:pPr>
          <w:hyperlink w:history="1" w:anchor="_Toc134122116">
            <w:r w:rsidRPr="00C56F0E">
              <w:rPr>
                <w:rStyle w:val="Hyperlink"/>
                <w:rFonts w:ascii="Times New Roman" w:hAnsi="Times New Roman" w:cs="Times New Roman"/>
                <w:noProof/>
                <w:sz w:val="24"/>
                <w:szCs w:val="24"/>
              </w:rPr>
              <w:t>References</w:t>
            </w:r>
            <w:r w:rsidRPr="00C56F0E">
              <w:rPr>
                <w:rFonts w:ascii="Times New Roman" w:hAnsi="Times New Roman" w:cs="Times New Roman"/>
                <w:noProof/>
                <w:webHidden/>
                <w:sz w:val="24"/>
                <w:szCs w:val="24"/>
              </w:rPr>
              <w:tab/>
            </w:r>
            <w:r w:rsidRPr="00C56F0E">
              <w:rPr>
                <w:rFonts w:ascii="Times New Roman" w:hAnsi="Times New Roman" w:cs="Times New Roman"/>
                <w:noProof/>
                <w:webHidden/>
                <w:sz w:val="24"/>
                <w:szCs w:val="24"/>
              </w:rPr>
              <w:fldChar w:fldCharType="begin"/>
            </w:r>
            <w:r w:rsidRPr="00C56F0E">
              <w:rPr>
                <w:rFonts w:ascii="Times New Roman" w:hAnsi="Times New Roman" w:cs="Times New Roman"/>
                <w:noProof/>
                <w:webHidden/>
                <w:sz w:val="24"/>
                <w:szCs w:val="24"/>
              </w:rPr>
              <w:instrText xml:space="preserve"> PAGEREF _Toc134122116 \h </w:instrText>
            </w:r>
            <w:r w:rsidRPr="00C56F0E">
              <w:rPr>
                <w:rFonts w:ascii="Times New Roman" w:hAnsi="Times New Roman" w:cs="Times New Roman"/>
                <w:noProof/>
                <w:webHidden/>
                <w:sz w:val="24"/>
                <w:szCs w:val="24"/>
              </w:rPr>
            </w:r>
            <w:r w:rsidRPr="00C56F0E">
              <w:rPr>
                <w:rFonts w:ascii="Times New Roman" w:hAnsi="Times New Roman" w:cs="Times New Roman"/>
                <w:noProof/>
                <w:webHidden/>
                <w:sz w:val="24"/>
                <w:szCs w:val="24"/>
              </w:rPr>
              <w:fldChar w:fldCharType="separate"/>
            </w:r>
            <w:r w:rsidRPr="00C56F0E">
              <w:rPr>
                <w:rFonts w:ascii="Times New Roman" w:hAnsi="Times New Roman" w:cs="Times New Roman"/>
                <w:noProof/>
                <w:webHidden/>
                <w:sz w:val="24"/>
                <w:szCs w:val="24"/>
              </w:rPr>
              <w:t>7</w:t>
            </w:r>
            <w:r w:rsidRPr="00C56F0E">
              <w:rPr>
                <w:rFonts w:ascii="Times New Roman" w:hAnsi="Times New Roman" w:cs="Times New Roman"/>
                <w:noProof/>
                <w:webHidden/>
                <w:sz w:val="24"/>
                <w:szCs w:val="24"/>
              </w:rPr>
              <w:fldChar w:fldCharType="end"/>
            </w:r>
          </w:hyperlink>
        </w:p>
        <w:p xmlns:wp14="http://schemas.microsoft.com/office/word/2010/wordml" w:rsidRPr="00C56F0E" w:rsidR="00C56F0E" w:rsidP="00C56F0E" w:rsidRDefault="00C56F0E" w14:paraId="02EB378F" wp14:textId="77777777">
          <w:pPr>
            <w:spacing w:after="200" w:line="360" w:lineRule="auto"/>
            <w:jc w:val="both"/>
            <w:rPr>
              <w:rFonts w:ascii="Times New Roman" w:hAnsi="Times New Roman" w:cs="Times New Roman"/>
              <w:sz w:val="24"/>
              <w:szCs w:val="24"/>
            </w:rPr>
          </w:pPr>
          <w:r w:rsidRPr="00C56F0E">
            <w:rPr>
              <w:rFonts w:ascii="Times New Roman" w:hAnsi="Times New Roman" w:cs="Times New Roman"/>
              <w:b/>
              <w:bCs/>
              <w:noProof/>
              <w:sz w:val="24"/>
              <w:szCs w:val="24"/>
            </w:rPr>
            <w:fldChar w:fldCharType="end"/>
          </w:r>
        </w:p>
      </w:sdtContent>
    </w:sdt>
    <w:p xmlns:wp14="http://schemas.microsoft.com/office/word/2010/wordml" w:rsidRPr="00C56F0E" w:rsidR="00C56F0E" w:rsidP="00C56F0E" w:rsidRDefault="00C56F0E" w14:paraId="6A05A809" wp14:textId="77777777">
      <w:pPr>
        <w:spacing w:after="200" w:line="360" w:lineRule="auto"/>
        <w:jc w:val="both"/>
        <w:rPr>
          <w:rFonts w:ascii="Times New Roman" w:hAnsi="Times New Roman" w:cs="Times New Roman" w:eastAsiaTheme="majorEastAsia"/>
          <w:color w:val="2F5496" w:themeColor="accent1" w:themeShade="BF"/>
          <w:sz w:val="24"/>
          <w:szCs w:val="24"/>
        </w:rPr>
      </w:pPr>
      <w:r w:rsidRPr="00C56F0E">
        <w:rPr>
          <w:rFonts w:ascii="Times New Roman" w:hAnsi="Times New Roman" w:cs="Times New Roman"/>
          <w:sz w:val="24"/>
          <w:szCs w:val="24"/>
        </w:rPr>
        <w:br w:type="page"/>
      </w:r>
    </w:p>
    <w:p xmlns:wp14="http://schemas.microsoft.com/office/word/2010/wordml" w:rsidRPr="00C56F0E" w:rsidR="00D916F0" w:rsidP="00C56F0E" w:rsidRDefault="00D916F0" w14:paraId="77E99887" wp14:textId="77777777">
      <w:pPr>
        <w:pStyle w:val="Heading1"/>
        <w:spacing w:after="200" w:line="360" w:lineRule="auto"/>
        <w:jc w:val="both"/>
        <w:rPr>
          <w:rFonts w:ascii="Times New Roman" w:hAnsi="Times New Roman" w:cs="Times New Roman"/>
          <w:sz w:val="24"/>
          <w:szCs w:val="24"/>
        </w:rPr>
      </w:pPr>
      <w:bookmarkStart w:name="_Toc134122111" w:id="0"/>
      <w:r w:rsidRPr="00C56F0E">
        <w:rPr>
          <w:rFonts w:ascii="Times New Roman" w:hAnsi="Times New Roman" w:cs="Times New Roman"/>
          <w:sz w:val="24"/>
          <w:szCs w:val="24"/>
        </w:rPr>
        <w:lastRenderedPageBreak/>
        <w:t>D</w:t>
      </w:r>
      <w:r w:rsidRPr="00C56F0E">
        <w:rPr>
          <w:rFonts w:ascii="Times New Roman" w:hAnsi="Times New Roman" w:cs="Times New Roman"/>
          <w:sz w:val="24"/>
          <w:szCs w:val="24"/>
        </w:rPr>
        <w:t xml:space="preserve">ividend </w:t>
      </w:r>
      <w:r w:rsidRPr="00C56F0E">
        <w:rPr>
          <w:rFonts w:ascii="Times New Roman" w:hAnsi="Times New Roman" w:cs="Times New Roman"/>
          <w:sz w:val="24"/>
          <w:szCs w:val="24"/>
        </w:rPr>
        <w:t>D</w:t>
      </w:r>
      <w:r w:rsidRPr="00C56F0E">
        <w:rPr>
          <w:rFonts w:ascii="Times New Roman" w:hAnsi="Times New Roman" w:cs="Times New Roman"/>
          <w:sz w:val="24"/>
          <w:szCs w:val="24"/>
        </w:rPr>
        <w:t>istribution</w:t>
      </w:r>
      <w:r w:rsidRPr="00C56F0E">
        <w:rPr>
          <w:rFonts w:ascii="Times New Roman" w:hAnsi="Times New Roman" w:cs="Times New Roman"/>
          <w:sz w:val="24"/>
          <w:szCs w:val="24"/>
        </w:rPr>
        <w:t xml:space="preserve"> P</w:t>
      </w:r>
      <w:r w:rsidRPr="00C56F0E">
        <w:rPr>
          <w:rFonts w:ascii="Times New Roman" w:hAnsi="Times New Roman" w:cs="Times New Roman"/>
          <w:sz w:val="24"/>
          <w:szCs w:val="24"/>
        </w:rPr>
        <w:t>olicy</w:t>
      </w:r>
      <w:r w:rsidRPr="00C56F0E">
        <w:rPr>
          <w:rFonts w:ascii="Times New Roman" w:hAnsi="Times New Roman" w:cs="Times New Roman"/>
          <w:sz w:val="24"/>
          <w:szCs w:val="24"/>
        </w:rPr>
        <w:t xml:space="preserve"> of </w:t>
      </w:r>
      <w:r w:rsidRPr="00C56F0E">
        <w:rPr>
          <w:rFonts w:ascii="Times New Roman" w:hAnsi="Times New Roman" w:cs="Times New Roman"/>
          <w:sz w:val="24"/>
          <w:szCs w:val="24"/>
        </w:rPr>
        <w:t>BT Group</w:t>
      </w:r>
      <w:bookmarkEnd w:id="0"/>
    </w:p>
    <w:p xmlns:wp14="http://schemas.microsoft.com/office/word/2010/wordml" w:rsidRPr="00C56F0E" w:rsidR="00D916F0" w:rsidP="00C56F0E" w:rsidRDefault="00D916F0" w14:paraId="74091EB0" wp14:textId="77777777">
      <w:pPr>
        <w:spacing w:after="200" w:line="360" w:lineRule="auto"/>
        <w:jc w:val="both"/>
        <w:rPr>
          <w:rFonts w:ascii="Times New Roman" w:hAnsi="Times New Roman" w:cs="Times New Roman"/>
          <w:sz w:val="24"/>
          <w:szCs w:val="24"/>
          <w:lang w:val="en-AU"/>
        </w:rPr>
      </w:pPr>
      <w:r w:rsidRPr="00D916F0">
        <w:rPr>
          <w:rFonts w:ascii="Times New Roman" w:hAnsi="Times New Roman" w:cs="Times New Roman"/>
          <w:sz w:val="24"/>
          <w:szCs w:val="24"/>
          <w:lang w:val="en-AU"/>
        </w:rPr>
        <w:t xml:space="preserve">BT Group aims to provide stable and sustainable dividends to its shareholders over time. It targets a total dividend payout of </w:t>
      </w:r>
      <w:r w:rsidRPr="00C56F0E" w:rsidR="00C56F0E">
        <w:rPr>
          <w:rFonts w:ascii="Times New Roman" w:hAnsi="Times New Roman" w:cs="Times New Roman"/>
          <w:sz w:val="24"/>
          <w:szCs w:val="24"/>
          <w:lang w:val="en-AU"/>
        </w:rPr>
        <w:t>around 70</w:t>
      </w:r>
      <w:r w:rsidRPr="00D916F0">
        <w:rPr>
          <w:rFonts w:ascii="Times New Roman" w:hAnsi="Times New Roman" w:cs="Times New Roman"/>
          <w:sz w:val="24"/>
          <w:szCs w:val="24"/>
          <w:lang w:val="en-AU"/>
        </w:rPr>
        <w:t>% of underlying earnings per share over the medium term</w:t>
      </w:r>
      <w:r w:rsidRPr="00C56F0E" w:rsidR="00C56F0E">
        <w:rPr>
          <w:rFonts w:ascii="Times New Roman" w:hAnsi="Times New Roman" w:cs="Times New Roman"/>
          <w:sz w:val="24"/>
          <w:szCs w:val="24"/>
          <w:lang w:val="en-AU"/>
        </w:rPr>
        <w:t xml:space="preserve"> </w:t>
      </w:r>
      <w:r w:rsidRPr="00C56F0E" w:rsidR="00C56F0E">
        <w:rPr>
          <w:rFonts w:ascii="Times New Roman" w:hAnsi="Times New Roman" w:cs="Times New Roman"/>
          <w:sz w:val="24"/>
          <w:szCs w:val="24"/>
          <w:lang w:val="en-AU"/>
        </w:rPr>
        <w:t>(</w:t>
      </w:r>
      <w:r w:rsidRPr="00C56F0E" w:rsidR="00C56F0E">
        <w:rPr>
          <w:rFonts w:ascii="Times New Roman" w:hAnsi="Times New Roman" w:cs="Times New Roman"/>
          <w:sz w:val="24"/>
          <w:szCs w:val="24"/>
        </w:rPr>
        <w:t>BT Group, 2022</w:t>
      </w:r>
      <w:r w:rsidRPr="00C56F0E" w:rsidR="00C56F0E">
        <w:rPr>
          <w:rFonts w:ascii="Times New Roman" w:hAnsi="Times New Roman" w:cs="Times New Roman"/>
          <w:sz w:val="24"/>
          <w:szCs w:val="24"/>
          <w:lang w:val="en-AU"/>
        </w:rPr>
        <w:t>)</w:t>
      </w:r>
      <w:r w:rsidRPr="00D916F0">
        <w:rPr>
          <w:rFonts w:ascii="Times New Roman" w:hAnsi="Times New Roman" w:cs="Times New Roman"/>
          <w:sz w:val="24"/>
          <w:szCs w:val="24"/>
          <w:lang w:val="en-AU"/>
        </w:rPr>
        <w:t>.</w:t>
      </w:r>
      <w:r w:rsidRPr="00C56F0E">
        <w:rPr>
          <w:rFonts w:ascii="Times New Roman" w:hAnsi="Times New Roman" w:cs="Times New Roman"/>
          <w:sz w:val="24"/>
          <w:szCs w:val="24"/>
          <w:lang w:val="en-AU"/>
        </w:rPr>
        <w:t xml:space="preserve"> </w:t>
      </w:r>
      <w:r w:rsidRPr="00D916F0">
        <w:rPr>
          <w:rFonts w:ascii="Times New Roman" w:hAnsi="Times New Roman" w:cs="Times New Roman"/>
          <w:sz w:val="24"/>
          <w:szCs w:val="24"/>
          <w:lang w:val="en-AU"/>
        </w:rPr>
        <w:t xml:space="preserve">BT Group reviews its dividend twice a year and determines the appropriate level based on its financial performance, business needs, and market conditions. The interim and final dividends are approved by the </w:t>
      </w:r>
      <w:r w:rsidR="00C56F0E">
        <w:rPr>
          <w:rFonts w:ascii="Times New Roman" w:hAnsi="Times New Roman" w:cs="Times New Roman"/>
          <w:sz w:val="24"/>
          <w:szCs w:val="24"/>
          <w:lang w:val="en-AU"/>
        </w:rPr>
        <w:t>b</w:t>
      </w:r>
      <w:r w:rsidRPr="00D916F0">
        <w:rPr>
          <w:rFonts w:ascii="Times New Roman" w:hAnsi="Times New Roman" w:cs="Times New Roman"/>
          <w:sz w:val="24"/>
          <w:szCs w:val="24"/>
          <w:lang w:val="en-AU"/>
        </w:rPr>
        <w:t xml:space="preserve">oard of </w:t>
      </w:r>
      <w:r w:rsidR="00C56F0E">
        <w:rPr>
          <w:rFonts w:ascii="Times New Roman" w:hAnsi="Times New Roman" w:cs="Times New Roman"/>
          <w:sz w:val="24"/>
          <w:szCs w:val="24"/>
          <w:lang w:val="en-AU"/>
        </w:rPr>
        <w:t>d</w:t>
      </w:r>
      <w:r w:rsidRPr="00D916F0">
        <w:rPr>
          <w:rFonts w:ascii="Times New Roman" w:hAnsi="Times New Roman" w:cs="Times New Roman"/>
          <w:sz w:val="24"/>
          <w:szCs w:val="24"/>
          <w:lang w:val="en-AU"/>
        </w:rPr>
        <w:t xml:space="preserve">irectors. </w:t>
      </w:r>
    </w:p>
    <w:p xmlns:wp14="http://schemas.microsoft.com/office/word/2010/wordml" w:rsidRPr="00D916F0" w:rsidR="00D916F0" w:rsidP="00C56F0E" w:rsidRDefault="00D916F0" w14:paraId="2965141E" wp14:textId="77777777">
      <w:pPr>
        <w:spacing w:after="200" w:line="360" w:lineRule="auto"/>
        <w:jc w:val="both"/>
        <w:rPr>
          <w:rFonts w:ascii="Times New Roman" w:hAnsi="Times New Roman" w:cs="Times New Roman"/>
          <w:sz w:val="24"/>
          <w:szCs w:val="24"/>
          <w:lang w:val="en-AU"/>
        </w:rPr>
      </w:pPr>
      <w:r w:rsidRPr="00D916F0">
        <w:rPr>
          <w:rFonts w:ascii="Times New Roman" w:hAnsi="Times New Roman" w:cs="Times New Roman"/>
          <w:sz w:val="24"/>
          <w:szCs w:val="24"/>
          <w:lang w:val="en-AU"/>
        </w:rPr>
        <w:t>The company pays dividends twice yearly - an interim dividend in February and a final dividend in July.</w:t>
      </w:r>
      <w:r w:rsidRPr="00C56F0E">
        <w:rPr>
          <w:rFonts w:ascii="Times New Roman" w:hAnsi="Times New Roman" w:cs="Times New Roman"/>
          <w:sz w:val="24"/>
          <w:szCs w:val="24"/>
          <w:lang w:val="en-AU"/>
        </w:rPr>
        <w:t xml:space="preserve"> </w:t>
      </w:r>
      <w:r w:rsidRPr="00D916F0">
        <w:rPr>
          <w:rFonts w:ascii="Times New Roman" w:hAnsi="Times New Roman" w:cs="Times New Roman"/>
          <w:sz w:val="24"/>
          <w:szCs w:val="24"/>
          <w:lang w:val="en-AU"/>
        </w:rPr>
        <w:t>BT Group's dividend payments have grown over the years, reflecting the strength and stability of its business. The company raised its dividend by 5% in 2019, the 35th consecutive year of dividend increase</w:t>
      </w:r>
      <w:r w:rsidRPr="00C56F0E" w:rsidR="00C56F0E">
        <w:rPr>
          <w:rFonts w:ascii="Times New Roman" w:hAnsi="Times New Roman" w:cs="Times New Roman"/>
          <w:sz w:val="24"/>
          <w:szCs w:val="24"/>
          <w:lang w:val="en-AU"/>
        </w:rPr>
        <w:t xml:space="preserve"> (</w:t>
      </w:r>
      <w:r w:rsidRPr="00C56F0E" w:rsidR="00C56F0E">
        <w:rPr>
          <w:rFonts w:ascii="Times New Roman" w:hAnsi="Times New Roman" w:cs="Times New Roman"/>
          <w:sz w:val="24"/>
          <w:szCs w:val="24"/>
        </w:rPr>
        <w:t>BT Group</w:t>
      </w:r>
      <w:r w:rsidRPr="00C56F0E" w:rsidR="00C56F0E">
        <w:rPr>
          <w:rFonts w:ascii="Times New Roman" w:hAnsi="Times New Roman" w:cs="Times New Roman"/>
          <w:sz w:val="24"/>
          <w:szCs w:val="24"/>
        </w:rPr>
        <w:t>, 2022</w:t>
      </w:r>
      <w:r w:rsidRPr="00C56F0E" w:rsidR="00C56F0E">
        <w:rPr>
          <w:rFonts w:ascii="Times New Roman" w:hAnsi="Times New Roman" w:cs="Times New Roman"/>
          <w:sz w:val="24"/>
          <w:szCs w:val="24"/>
          <w:lang w:val="en-AU"/>
        </w:rPr>
        <w:t>)</w:t>
      </w:r>
      <w:r w:rsidRPr="00D916F0">
        <w:rPr>
          <w:rFonts w:ascii="Times New Roman" w:hAnsi="Times New Roman" w:cs="Times New Roman"/>
          <w:sz w:val="24"/>
          <w:szCs w:val="24"/>
          <w:lang w:val="en-AU"/>
        </w:rPr>
        <w:t>. BT aims to continue increasing dividends in line with earnings growth over the medium term while also investing in its business transformation.</w:t>
      </w:r>
    </w:p>
    <w:p xmlns:wp14="http://schemas.microsoft.com/office/word/2010/wordml" w:rsidRPr="00D916F0" w:rsidR="00D916F0" w:rsidP="00C56F0E" w:rsidRDefault="00D916F0" w14:paraId="296EBAD1" wp14:textId="77777777">
      <w:pPr>
        <w:spacing w:after="200" w:line="360" w:lineRule="auto"/>
        <w:jc w:val="both"/>
        <w:rPr>
          <w:rFonts w:ascii="Times New Roman" w:hAnsi="Times New Roman" w:cs="Times New Roman"/>
          <w:sz w:val="24"/>
          <w:szCs w:val="24"/>
          <w:lang w:val="en-AU"/>
        </w:rPr>
      </w:pPr>
      <w:r w:rsidRPr="00D916F0">
        <w:rPr>
          <w:rFonts w:ascii="Times New Roman" w:hAnsi="Times New Roman" w:cs="Times New Roman"/>
          <w:sz w:val="24"/>
          <w:szCs w:val="24"/>
          <w:lang w:val="en-AU"/>
        </w:rPr>
        <w:t>BT Group generates most of its revenue from subscription services like broadband, mobile, and TV which provide predictable and stable cash flows. This enables the company to maintain a strong balance sheet with reasonable levels of debt and continue returning value to shareholders through dividends.</w:t>
      </w:r>
      <w:r w:rsidRPr="00C56F0E">
        <w:rPr>
          <w:rFonts w:ascii="Times New Roman" w:hAnsi="Times New Roman" w:cs="Times New Roman"/>
          <w:sz w:val="24"/>
          <w:szCs w:val="24"/>
          <w:lang w:val="en-AU"/>
        </w:rPr>
        <w:t xml:space="preserve"> </w:t>
      </w:r>
      <w:r w:rsidRPr="00D916F0">
        <w:rPr>
          <w:rFonts w:ascii="Times New Roman" w:hAnsi="Times New Roman" w:cs="Times New Roman"/>
          <w:sz w:val="24"/>
          <w:szCs w:val="24"/>
          <w:lang w:val="en-AU"/>
        </w:rPr>
        <w:t xml:space="preserve">Though economic uncertainty exists, BT Group is </w:t>
      </w:r>
      <w:r w:rsidR="00C56F0E">
        <w:rPr>
          <w:rFonts w:ascii="Times New Roman" w:hAnsi="Times New Roman" w:cs="Times New Roman"/>
          <w:sz w:val="24"/>
          <w:szCs w:val="24"/>
          <w:lang w:val="en-AU"/>
        </w:rPr>
        <w:t>well-positioned</w:t>
      </w:r>
      <w:r w:rsidRPr="00D916F0">
        <w:rPr>
          <w:rFonts w:ascii="Times New Roman" w:hAnsi="Times New Roman" w:cs="Times New Roman"/>
          <w:sz w:val="24"/>
          <w:szCs w:val="24"/>
          <w:lang w:val="en-AU"/>
        </w:rPr>
        <w:t xml:space="preserve"> to navigate challenges and deliver on its strategic goals. With a diversified business, long-term customer relationships, and a secure financial position, BT is committed to paying sustainable dividends and creating value for its owners. The company will balance dividend payments, </w:t>
      </w:r>
      <w:r w:rsidR="00C56F0E">
        <w:rPr>
          <w:rFonts w:ascii="Times New Roman" w:hAnsi="Times New Roman" w:cs="Times New Roman"/>
          <w:sz w:val="24"/>
          <w:szCs w:val="24"/>
          <w:lang w:val="en-AU"/>
        </w:rPr>
        <w:t xml:space="preserve">and </w:t>
      </w:r>
      <w:r w:rsidRPr="00D916F0">
        <w:rPr>
          <w:rFonts w:ascii="Times New Roman" w:hAnsi="Times New Roman" w:cs="Times New Roman"/>
          <w:sz w:val="24"/>
          <w:szCs w:val="24"/>
          <w:lang w:val="en-AU"/>
        </w:rPr>
        <w:t xml:space="preserve">investments, and </w:t>
      </w:r>
      <w:r w:rsidR="00C56F0E">
        <w:rPr>
          <w:rFonts w:ascii="Times New Roman" w:hAnsi="Times New Roman" w:cs="Times New Roman"/>
          <w:sz w:val="24"/>
          <w:szCs w:val="24"/>
          <w:lang w:val="en-AU"/>
        </w:rPr>
        <w:t>manage</w:t>
      </w:r>
      <w:r w:rsidRPr="00D916F0">
        <w:rPr>
          <w:rFonts w:ascii="Times New Roman" w:hAnsi="Times New Roman" w:cs="Times New Roman"/>
          <w:sz w:val="24"/>
          <w:szCs w:val="24"/>
          <w:lang w:val="en-AU"/>
        </w:rPr>
        <w:t xml:space="preserve"> its debt levels to strengthen the business for future growth.</w:t>
      </w:r>
    </w:p>
    <w:p xmlns:wp14="http://schemas.microsoft.com/office/word/2010/wordml" w:rsidRPr="00C56F0E" w:rsidR="00D916F0" w:rsidP="00C56F0E" w:rsidRDefault="00D916F0" w14:paraId="405F5773" wp14:textId="77777777">
      <w:pPr>
        <w:pStyle w:val="Heading1"/>
        <w:spacing w:after="200" w:line="360" w:lineRule="auto"/>
        <w:jc w:val="both"/>
        <w:rPr>
          <w:rFonts w:ascii="Times New Roman" w:hAnsi="Times New Roman" w:cs="Times New Roman"/>
          <w:sz w:val="24"/>
          <w:szCs w:val="24"/>
        </w:rPr>
      </w:pPr>
      <w:bookmarkStart w:name="_Toc134122112" w:id="1"/>
      <w:r w:rsidRPr="00C56F0E">
        <w:rPr>
          <w:rFonts w:ascii="Times New Roman" w:hAnsi="Times New Roman" w:cs="Times New Roman"/>
          <w:sz w:val="24"/>
          <w:szCs w:val="24"/>
        </w:rPr>
        <w:t>E</w:t>
      </w:r>
      <w:r w:rsidRPr="00C56F0E">
        <w:rPr>
          <w:rFonts w:ascii="Times New Roman" w:hAnsi="Times New Roman" w:cs="Times New Roman"/>
          <w:sz w:val="24"/>
          <w:szCs w:val="24"/>
        </w:rPr>
        <w:t>fficient market hypothesis theory in the context of</w:t>
      </w:r>
      <w:r w:rsidRPr="00C56F0E">
        <w:rPr>
          <w:rFonts w:ascii="Times New Roman" w:hAnsi="Times New Roman" w:cs="Times New Roman"/>
          <w:sz w:val="24"/>
          <w:szCs w:val="24"/>
        </w:rPr>
        <w:t xml:space="preserve"> </w:t>
      </w:r>
      <w:r w:rsidRPr="00C56F0E">
        <w:rPr>
          <w:rFonts w:ascii="Times New Roman" w:hAnsi="Times New Roman" w:cs="Times New Roman"/>
          <w:sz w:val="24"/>
          <w:szCs w:val="24"/>
        </w:rPr>
        <w:t>BT Group</w:t>
      </w:r>
      <w:bookmarkEnd w:id="1"/>
    </w:p>
    <w:p xmlns:wp14="http://schemas.microsoft.com/office/word/2010/wordml" w:rsidRPr="00D916F0" w:rsidR="00D916F0" w:rsidP="00C56F0E" w:rsidRDefault="00D916F0" w14:paraId="3F6A22CD" wp14:textId="77777777">
      <w:pPr>
        <w:spacing w:after="200" w:line="360" w:lineRule="auto"/>
        <w:jc w:val="both"/>
        <w:rPr>
          <w:rFonts w:ascii="Times New Roman" w:hAnsi="Times New Roman" w:cs="Times New Roman"/>
          <w:sz w:val="24"/>
          <w:szCs w:val="24"/>
          <w:lang w:val="en-AU"/>
        </w:rPr>
      </w:pPr>
      <w:r w:rsidRPr="00D916F0">
        <w:rPr>
          <w:rFonts w:ascii="Times New Roman" w:hAnsi="Times New Roman" w:cs="Times New Roman"/>
          <w:sz w:val="24"/>
          <w:szCs w:val="24"/>
          <w:lang w:val="en-AU"/>
        </w:rPr>
        <w:t>The Efficient Market Hypothesis suggests that financial markets incorporate all available information into security prices instantly and accurately. This implies that BT Group's share price always reflects the fair value of the company based on all known details. New information about BT's performance, strategy, or industry trends would be promptly reflected in the stock price.</w:t>
      </w:r>
      <w:r w:rsidRPr="00C56F0E">
        <w:rPr>
          <w:rFonts w:ascii="Times New Roman" w:hAnsi="Times New Roman" w:cs="Times New Roman"/>
          <w:sz w:val="24"/>
          <w:szCs w:val="24"/>
          <w:lang w:val="en-AU"/>
        </w:rPr>
        <w:t xml:space="preserve"> </w:t>
      </w:r>
      <w:r w:rsidRPr="00D916F0">
        <w:rPr>
          <w:rFonts w:ascii="Times New Roman" w:hAnsi="Times New Roman" w:cs="Times New Roman"/>
          <w:sz w:val="24"/>
          <w:szCs w:val="24"/>
          <w:lang w:val="en-AU"/>
        </w:rPr>
        <w:t>Proponents argue this leads to optimal allocation of resources and benefits investors. Critics counter that markets can be inefficient and irrational at times. In the case of BT Group, the theory implies the stock price efficiently captures the value of the company's stable cash flows, strong balance sheet, dividend policy, business risks, and growth opportunities.</w:t>
      </w:r>
    </w:p>
    <w:p xmlns:wp14="http://schemas.microsoft.com/office/word/2010/wordml" w:rsidRPr="00D916F0" w:rsidR="00D916F0" w:rsidP="00C56F0E" w:rsidRDefault="00D916F0" w14:paraId="17A1ECA3" wp14:textId="77777777">
      <w:pPr>
        <w:spacing w:after="200" w:line="360" w:lineRule="auto"/>
        <w:jc w:val="both"/>
        <w:rPr>
          <w:rFonts w:ascii="Times New Roman" w:hAnsi="Times New Roman" w:cs="Times New Roman"/>
          <w:sz w:val="24"/>
          <w:szCs w:val="24"/>
          <w:lang w:val="en-AU"/>
        </w:rPr>
      </w:pPr>
      <w:r w:rsidRPr="00D916F0">
        <w:rPr>
          <w:rFonts w:ascii="Times New Roman" w:hAnsi="Times New Roman" w:cs="Times New Roman"/>
          <w:sz w:val="24"/>
          <w:szCs w:val="24"/>
          <w:lang w:val="en-AU"/>
        </w:rPr>
        <w:lastRenderedPageBreak/>
        <w:t xml:space="preserve">However, BT's share price could also be over or undervalued at certain points due to market sentiments, speculation, or herd </w:t>
      </w:r>
      <w:r w:rsidRPr="00D916F0" w:rsidR="00C56F0E">
        <w:rPr>
          <w:rFonts w:ascii="Times New Roman" w:hAnsi="Times New Roman" w:cs="Times New Roman"/>
          <w:sz w:val="24"/>
          <w:szCs w:val="24"/>
          <w:lang w:val="en-AU"/>
        </w:rPr>
        <w:t>behaviour</w:t>
      </w:r>
      <w:r w:rsidRPr="00D916F0">
        <w:rPr>
          <w:rFonts w:ascii="Times New Roman" w:hAnsi="Times New Roman" w:cs="Times New Roman"/>
          <w:sz w:val="24"/>
          <w:szCs w:val="24"/>
          <w:lang w:val="en-AU"/>
        </w:rPr>
        <w:t xml:space="preserve"> among investors. Short-term price swings may not adequately represent the fundamentals of BT's business. The theory also suggests BT managers cannot influence the stock price through share buybacks, strategic decisions, or communication - the price will move based only on new information in the market.</w:t>
      </w:r>
      <w:r w:rsidRPr="00C56F0E">
        <w:rPr>
          <w:rFonts w:ascii="Times New Roman" w:hAnsi="Times New Roman" w:cs="Times New Roman"/>
          <w:sz w:val="24"/>
          <w:szCs w:val="24"/>
          <w:lang w:val="en-AU"/>
        </w:rPr>
        <w:t xml:space="preserve"> </w:t>
      </w:r>
      <w:r w:rsidRPr="00D916F0">
        <w:rPr>
          <w:rFonts w:ascii="Times New Roman" w:hAnsi="Times New Roman" w:cs="Times New Roman"/>
          <w:sz w:val="24"/>
          <w:szCs w:val="24"/>
          <w:lang w:val="en-AU"/>
        </w:rPr>
        <w:t>In reality, BT Group actively manages capital allocation and engages in shareholder communication to positively impact investor perceptions, even if they cannot fully control the stock price</w:t>
      </w:r>
      <w:r w:rsidRPr="00C56F0E" w:rsidR="00C56F0E">
        <w:rPr>
          <w:rFonts w:ascii="Times New Roman" w:hAnsi="Times New Roman" w:cs="Times New Roman"/>
          <w:sz w:val="24"/>
          <w:szCs w:val="24"/>
          <w:lang w:val="en-AU"/>
        </w:rPr>
        <w:t xml:space="preserve"> (</w:t>
      </w:r>
      <w:r w:rsidRPr="00C56F0E" w:rsidR="00C56F0E">
        <w:rPr>
          <w:rFonts w:ascii="Times New Roman" w:hAnsi="Times New Roman" w:cs="Times New Roman"/>
          <w:sz w:val="24"/>
          <w:szCs w:val="24"/>
        </w:rPr>
        <w:t>Griffin</w:t>
      </w:r>
      <w:r w:rsidRPr="00C56F0E" w:rsidR="00C56F0E">
        <w:rPr>
          <w:rFonts w:ascii="Times New Roman" w:hAnsi="Times New Roman" w:cs="Times New Roman"/>
          <w:sz w:val="24"/>
          <w:szCs w:val="24"/>
        </w:rPr>
        <w:t xml:space="preserve"> </w:t>
      </w:r>
      <w:r w:rsidRPr="00C56F0E" w:rsidR="00C56F0E">
        <w:rPr>
          <w:rFonts w:ascii="Times New Roman" w:hAnsi="Times New Roman" w:cs="Times New Roman"/>
          <w:sz w:val="24"/>
          <w:szCs w:val="24"/>
        </w:rPr>
        <w:t>and Pustay,</w:t>
      </w:r>
      <w:r w:rsidRPr="00C56F0E" w:rsidR="00C56F0E">
        <w:rPr>
          <w:rFonts w:ascii="Times New Roman" w:hAnsi="Times New Roman" w:cs="Times New Roman"/>
          <w:sz w:val="24"/>
          <w:szCs w:val="24"/>
        </w:rPr>
        <w:t xml:space="preserve"> 2015</w:t>
      </w:r>
      <w:r w:rsidRPr="00C56F0E" w:rsidR="00C56F0E">
        <w:rPr>
          <w:rFonts w:ascii="Times New Roman" w:hAnsi="Times New Roman" w:cs="Times New Roman"/>
          <w:sz w:val="24"/>
          <w:szCs w:val="24"/>
          <w:lang w:val="en-AU"/>
        </w:rPr>
        <w:t>)</w:t>
      </w:r>
      <w:r w:rsidRPr="00D916F0">
        <w:rPr>
          <w:rFonts w:ascii="Times New Roman" w:hAnsi="Times New Roman" w:cs="Times New Roman"/>
          <w:sz w:val="24"/>
          <w:szCs w:val="24"/>
          <w:lang w:val="en-AU"/>
        </w:rPr>
        <w:t>. The company buys back shares when they are undervalued and issues shares when needed to raise capital for investments. BT also highlights growth opportunities and key milestones in earnings reports, investor presentations, and media announcements to communicate its potential.</w:t>
      </w:r>
    </w:p>
    <w:p xmlns:wp14="http://schemas.microsoft.com/office/word/2010/wordml" w:rsidRPr="00D916F0" w:rsidR="00D916F0" w:rsidP="00C56F0E" w:rsidRDefault="00D916F0" w14:paraId="2F730502" wp14:textId="77777777">
      <w:pPr>
        <w:spacing w:after="200" w:line="360" w:lineRule="auto"/>
        <w:jc w:val="both"/>
        <w:rPr>
          <w:rFonts w:ascii="Times New Roman" w:hAnsi="Times New Roman" w:cs="Times New Roman"/>
          <w:sz w:val="24"/>
          <w:szCs w:val="24"/>
          <w:lang w:val="en-AU"/>
        </w:rPr>
      </w:pPr>
      <w:r w:rsidRPr="00D916F0">
        <w:rPr>
          <w:rFonts w:ascii="Times New Roman" w:hAnsi="Times New Roman" w:cs="Times New Roman"/>
          <w:sz w:val="24"/>
          <w:szCs w:val="24"/>
          <w:lang w:val="en-AU"/>
        </w:rPr>
        <w:t>While the Efficient Market Hypothesis provides a useful theoretical framework, BT Group's practices suggest the market for its shares may not always be perfectly efficient. The company works to understand market dynamics, communicate strategically, and adjust capital structure to maximize value over the long-term, not just passively accept whatever price the market sets in the moment. Shareholder returns depend on the company's ability to positively influence investor assessments, not just new information in the market.</w:t>
      </w:r>
    </w:p>
    <w:p xmlns:wp14="http://schemas.microsoft.com/office/word/2010/wordml" w:rsidRPr="00C56F0E" w:rsidR="00D916F0" w:rsidP="00C56F0E" w:rsidRDefault="00D916F0" w14:paraId="48E6C184" wp14:textId="77777777">
      <w:pPr>
        <w:pStyle w:val="Heading1"/>
        <w:spacing w:after="200" w:line="360" w:lineRule="auto"/>
        <w:jc w:val="both"/>
        <w:rPr>
          <w:rFonts w:ascii="Times New Roman" w:hAnsi="Times New Roman" w:cs="Times New Roman"/>
          <w:sz w:val="24"/>
          <w:szCs w:val="24"/>
        </w:rPr>
      </w:pPr>
      <w:bookmarkStart w:name="_Toc134122113" w:id="2"/>
      <w:r w:rsidRPr="00C56F0E">
        <w:rPr>
          <w:rFonts w:ascii="Times New Roman" w:hAnsi="Times New Roman" w:cs="Times New Roman"/>
          <w:sz w:val="24"/>
          <w:szCs w:val="24"/>
        </w:rPr>
        <w:t>M</w:t>
      </w:r>
      <w:r w:rsidRPr="00C56F0E">
        <w:rPr>
          <w:rFonts w:ascii="Times New Roman" w:hAnsi="Times New Roman" w:cs="Times New Roman"/>
          <w:sz w:val="24"/>
          <w:szCs w:val="24"/>
        </w:rPr>
        <w:t>ethods of appraising</w:t>
      </w:r>
      <w:r w:rsidRPr="00C56F0E">
        <w:rPr>
          <w:rFonts w:ascii="Times New Roman" w:hAnsi="Times New Roman" w:cs="Times New Roman"/>
          <w:sz w:val="24"/>
          <w:szCs w:val="24"/>
        </w:rPr>
        <w:t xml:space="preserve"> </w:t>
      </w:r>
      <w:r w:rsidRPr="00C56F0E">
        <w:rPr>
          <w:rFonts w:ascii="Times New Roman" w:hAnsi="Times New Roman" w:cs="Times New Roman"/>
          <w:sz w:val="24"/>
          <w:szCs w:val="24"/>
        </w:rPr>
        <w:t>projects</w:t>
      </w:r>
      <w:r w:rsidRPr="00C56F0E">
        <w:rPr>
          <w:rFonts w:ascii="Times New Roman" w:hAnsi="Times New Roman" w:cs="Times New Roman"/>
          <w:sz w:val="24"/>
          <w:szCs w:val="24"/>
        </w:rPr>
        <w:t xml:space="preserve"> used by </w:t>
      </w:r>
      <w:r w:rsidRPr="00C56F0E">
        <w:rPr>
          <w:rFonts w:ascii="Times New Roman" w:hAnsi="Times New Roman" w:cs="Times New Roman"/>
          <w:sz w:val="24"/>
          <w:szCs w:val="24"/>
        </w:rPr>
        <w:t>BT Group</w:t>
      </w:r>
      <w:bookmarkEnd w:id="2"/>
    </w:p>
    <w:p xmlns:wp14="http://schemas.microsoft.com/office/word/2010/wordml" w:rsidRPr="00C23A99" w:rsidR="00C23A99" w:rsidP="00C56F0E" w:rsidRDefault="00C23A99" w14:paraId="68945696"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BT Group rigorously evaluates all investment opportunities to ensure they will generate sufficient returns to justify funding. The company uses multiple methods to appraise projects, including discounted cash flow analysis, payback period, internal rate of return, and net present value.</w:t>
      </w:r>
    </w:p>
    <w:p xmlns:wp14="http://schemas.microsoft.com/office/word/2010/wordml" w:rsidRPr="00C56F0E" w:rsidR="00C23A99" w:rsidP="00C56F0E" w:rsidRDefault="00C23A99" w14:paraId="357D395E" wp14:textId="77777777">
      <w:pPr>
        <w:spacing w:after="200" w:line="360" w:lineRule="auto"/>
        <w:jc w:val="both"/>
        <w:rPr>
          <w:rFonts w:ascii="Times New Roman" w:hAnsi="Times New Roman" w:cs="Times New Roman"/>
          <w:b/>
          <w:bCs/>
          <w:sz w:val="24"/>
          <w:szCs w:val="24"/>
          <w:lang w:val="en-AU"/>
        </w:rPr>
      </w:pPr>
      <w:r w:rsidRPr="00C23A99">
        <w:rPr>
          <w:rFonts w:ascii="Times New Roman" w:hAnsi="Times New Roman" w:cs="Times New Roman"/>
          <w:b/>
          <w:bCs/>
          <w:sz w:val="24"/>
          <w:szCs w:val="24"/>
          <w:lang w:val="en-AU"/>
        </w:rPr>
        <w:t>Discounted Cash Flow</w:t>
      </w:r>
    </w:p>
    <w:p xmlns:wp14="http://schemas.microsoft.com/office/word/2010/wordml" w:rsidRPr="00C23A99" w:rsidR="00C23A99" w:rsidP="00C56F0E" w:rsidRDefault="00C23A99" w14:paraId="13368AF6"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Discounted Cash Flow (DCF) analysis projects the annual cash flows of an investment over several years and discounts them at the weighted average cost of capital to determine net present value. Projects with a positive NPV are typically accepted. DCF considers the time value of money and risk, providing a comprehensive view of long-term benefits. However, DCF requires estimating many variables which can introduce uncertainty</w:t>
      </w:r>
      <w:r w:rsidRPr="00C56F0E" w:rsidR="00C56F0E">
        <w:rPr>
          <w:rFonts w:ascii="Times New Roman" w:hAnsi="Times New Roman" w:cs="Times New Roman"/>
          <w:sz w:val="24"/>
          <w:szCs w:val="24"/>
          <w:lang w:val="en-AU"/>
        </w:rPr>
        <w:t xml:space="preserve"> (</w:t>
      </w:r>
      <w:r w:rsidRPr="00C56F0E" w:rsidR="00C56F0E">
        <w:rPr>
          <w:rFonts w:ascii="Times New Roman" w:hAnsi="Times New Roman" w:cs="Times New Roman"/>
          <w:color w:val="222222"/>
          <w:sz w:val="24"/>
          <w:szCs w:val="24"/>
          <w:shd w:val="clear" w:color="auto" w:fill="FFFFFF"/>
        </w:rPr>
        <w:t>Schneider</w:t>
      </w:r>
      <w:r w:rsidRPr="00C56F0E" w:rsidR="00C56F0E">
        <w:rPr>
          <w:rFonts w:ascii="Times New Roman" w:hAnsi="Times New Roman" w:cs="Times New Roman"/>
          <w:color w:val="222222"/>
          <w:sz w:val="24"/>
          <w:szCs w:val="24"/>
          <w:shd w:val="clear" w:color="auto" w:fill="FFFFFF"/>
        </w:rPr>
        <w:t xml:space="preserve"> et.al, 2016</w:t>
      </w:r>
      <w:r w:rsidRPr="00C56F0E" w:rsidR="00C56F0E">
        <w:rPr>
          <w:rFonts w:ascii="Times New Roman" w:hAnsi="Times New Roman" w:cs="Times New Roman"/>
          <w:sz w:val="24"/>
          <w:szCs w:val="24"/>
          <w:lang w:val="en-AU"/>
        </w:rPr>
        <w:t>)</w:t>
      </w:r>
      <w:r w:rsidRPr="00C23A99">
        <w:rPr>
          <w:rFonts w:ascii="Times New Roman" w:hAnsi="Times New Roman" w:cs="Times New Roman"/>
          <w:sz w:val="24"/>
          <w:szCs w:val="24"/>
          <w:lang w:val="en-AU"/>
        </w:rPr>
        <w:t>.</w:t>
      </w:r>
    </w:p>
    <w:p xmlns:wp14="http://schemas.microsoft.com/office/word/2010/wordml" w:rsidRPr="00C56F0E" w:rsidR="00C23A99" w:rsidP="00C56F0E" w:rsidRDefault="00C23A99" w14:paraId="30F15A1A" wp14:textId="77777777">
      <w:pPr>
        <w:spacing w:after="200" w:line="360" w:lineRule="auto"/>
        <w:jc w:val="both"/>
        <w:rPr>
          <w:rFonts w:ascii="Times New Roman" w:hAnsi="Times New Roman" w:cs="Times New Roman"/>
          <w:b/>
          <w:bCs/>
          <w:sz w:val="24"/>
          <w:szCs w:val="24"/>
          <w:lang w:val="en-AU"/>
        </w:rPr>
      </w:pPr>
      <w:r w:rsidRPr="00C56F0E">
        <w:rPr>
          <w:rFonts w:ascii="Times New Roman" w:hAnsi="Times New Roman" w:cs="Times New Roman"/>
          <w:b/>
          <w:bCs/>
          <w:sz w:val="24"/>
          <w:szCs w:val="24"/>
          <w:lang w:val="en-AU"/>
        </w:rPr>
        <w:t>P</w:t>
      </w:r>
      <w:r w:rsidRPr="00C23A99">
        <w:rPr>
          <w:rFonts w:ascii="Times New Roman" w:hAnsi="Times New Roman" w:cs="Times New Roman"/>
          <w:b/>
          <w:bCs/>
          <w:sz w:val="24"/>
          <w:szCs w:val="24"/>
          <w:lang w:val="en-AU"/>
        </w:rPr>
        <w:t xml:space="preserve">ayback </w:t>
      </w:r>
      <w:r w:rsidRPr="00C56F0E">
        <w:rPr>
          <w:rFonts w:ascii="Times New Roman" w:hAnsi="Times New Roman" w:cs="Times New Roman"/>
          <w:b/>
          <w:bCs/>
          <w:sz w:val="24"/>
          <w:szCs w:val="24"/>
          <w:lang w:val="en-AU"/>
        </w:rPr>
        <w:t>P</w:t>
      </w:r>
      <w:r w:rsidRPr="00C23A99">
        <w:rPr>
          <w:rFonts w:ascii="Times New Roman" w:hAnsi="Times New Roman" w:cs="Times New Roman"/>
          <w:b/>
          <w:bCs/>
          <w:sz w:val="24"/>
          <w:szCs w:val="24"/>
          <w:lang w:val="en-AU"/>
        </w:rPr>
        <w:t>eriod</w:t>
      </w:r>
    </w:p>
    <w:p xmlns:wp14="http://schemas.microsoft.com/office/word/2010/wordml" w:rsidRPr="00C23A99" w:rsidR="00C23A99" w:rsidP="00C56F0E" w:rsidRDefault="00C23A99" w14:paraId="162AAFA3"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lastRenderedPageBreak/>
        <w:t>The payback period measures the time needed to recover the initial cost of an investment through cash flows. Projects with faster paybacks are preferred as they entail less risk. However, payback ignores cash flows beyond the payback period and does not consider the intensity or length of cash inflows, limiting its usefulness.</w:t>
      </w:r>
    </w:p>
    <w:p xmlns:wp14="http://schemas.microsoft.com/office/word/2010/wordml" w:rsidRPr="00C56F0E" w:rsidR="00C23A99" w:rsidP="00C56F0E" w:rsidRDefault="00C23A99" w14:paraId="1450B5A3" wp14:textId="77777777">
      <w:pPr>
        <w:spacing w:after="200" w:line="360" w:lineRule="auto"/>
        <w:jc w:val="both"/>
        <w:rPr>
          <w:rFonts w:ascii="Times New Roman" w:hAnsi="Times New Roman" w:cs="Times New Roman"/>
          <w:b/>
          <w:bCs/>
          <w:sz w:val="24"/>
          <w:szCs w:val="24"/>
          <w:lang w:val="en-AU"/>
        </w:rPr>
      </w:pPr>
      <w:r w:rsidRPr="00C23A99">
        <w:rPr>
          <w:rFonts w:ascii="Times New Roman" w:hAnsi="Times New Roman" w:cs="Times New Roman"/>
          <w:b/>
          <w:bCs/>
          <w:sz w:val="24"/>
          <w:szCs w:val="24"/>
          <w:lang w:val="en-AU"/>
        </w:rPr>
        <w:t xml:space="preserve">Internal Rate of Return (IRR) </w:t>
      </w:r>
    </w:p>
    <w:p xmlns:wp14="http://schemas.microsoft.com/office/word/2010/wordml" w:rsidRPr="00C23A99" w:rsidR="00C23A99" w:rsidP="00C56F0E" w:rsidRDefault="00C23A99" w14:paraId="75942DE5"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Internal Rate of Return (IRR) calculates the interest rate that makes the net present value of all cash flows equal to zero</w:t>
      </w:r>
      <w:r w:rsidRPr="00C56F0E" w:rsidR="00C56F0E">
        <w:rPr>
          <w:rFonts w:ascii="Times New Roman" w:hAnsi="Times New Roman" w:cs="Times New Roman"/>
          <w:sz w:val="24"/>
          <w:szCs w:val="24"/>
          <w:lang w:val="en-AU"/>
        </w:rPr>
        <w:t xml:space="preserve"> (</w:t>
      </w:r>
      <w:r w:rsidRPr="00C56F0E" w:rsidR="00C56F0E">
        <w:rPr>
          <w:rFonts w:ascii="Times New Roman" w:hAnsi="Times New Roman" w:cs="Times New Roman"/>
          <w:sz w:val="24"/>
          <w:szCs w:val="24"/>
        </w:rPr>
        <w:t>Kerzner,</w:t>
      </w:r>
      <w:r w:rsidRPr="00C56F0E" w:rsidR="00C56F0E">
        <w:rPr>
          <w:rFonts w:ascii="Times New Roman" w:hAnsi="Times New Roman" w:cs="Times New Roman"/>
          <w:sz w:val="24"/>
          <w:szCs w:val="24"/>
        </w:rPr>
        <w:t xml:space="preserve"> 2018</w:t>
      </w:r>
      <w:r w:rsidRPr="00C56F0E" w:rsidR="00C56F0E">
        <w:rPr>
          <w:rFonts w:ascii="Times New Roman" w:hAnsi="Times New Roman" w:cs="Times New Roman"/>
          <w:sz w:val="24"/>
          <w:szCs w:val="24"/>
          <w:lang w:val="en-AU"/>
        </w:rPr>
        <w:t>)</w:t>
      </w:r>
      <w:r w:rsidRPr="00C23A99">
        <w:rPr>
          <w:rFonts w:ascii="Times New Roman" w:hAnsi="Times New Roman" w:cs="Times New Roman"/>
          <w:sz w:val="24"/>
          <w:szCs w:val="24"/>
          <w:lang w:val="en-AU"/>
        </w:rPr>
        <w:t>. Projects with an IRR above the cost of capital are acceptable. IRR provides a simple metric to evaluate mutually exclusive projects, but it cannot determine if an IRR meets requirements. It also does not consider investment size or timeframe.</w:t>
      </w:r>
    </w:p>
    <w:p xmlns:wp14="http://schemas.microsoft.com/office/word/2010/wordml" w:rsidRPr="00C56F0E" w:rsidR="00C23A99" w:rsidP="00C56F0E" w:rsidRDefault="00C23A99" w14:paraId="74C736F4" wp14:textId="77777777">
      <w:pPr>
        <w:spacing w:after="200" w:line="360" w:lineRule="auto"/>
        <w:jc w:val="both"/>
        <w:rPr>
          <w:rFonts w:ascii="Times New Roman" w:hAnsi="Times New Roman" w:cs="Times New Roman"/>
          <w:b/>
          <w:bCs/>
          <w:sz w:val="24"/>
          <w:szCs w:val="24"/>
          <w:lang w:val="en-AU"/>
        </w:rPr>
      </w:pPr>
      <w:r w:rsidRPr="00C23A99">
        <w:rPr>
          <w:rFonts w:ascii="Times New Roman" w:hAnsi="Times New Roman" w:cs="Times New Roman"/>
          <w:b/>
          <w:bCs/>
          <w:sz w:val="24"/>
          <w:szCs w:val="24"/>
          <w:lang w:val="en-AU"/>
        </w:rPr>
        <w:t xml:space="preserve">Net Present Value (NPV) </w:t>
      </w:r>
    </w:p>
    <w:p xmlns:wp14="http://schemas.microsoft.com/office/word/2010/wordml" w:rsidRPr="00C23A99" w:rsidR="00C23A99" w:rsidP="00C56F0E" w:rsidRDefault="00C23A99" w14:paraId="2AE37146"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Net Present Value (NPV) is the difference between the present value of cash inflows and outflows of an investment. Projects with a positive NPV increase value and are accepted. NPV weighs both benefits and costs of timing cash flows appropriately. However, it relies on estimating variables like discount rates, growth rates, and project life which can introduce error.</w:t>
      </w:r>
    </w:p>
    <w:p xmlns:wp14="http://schemas.microsoft.com/office/word/2010/wordml" w:rsidRPr="00C56F0E" w:rsidR="00D916F0" w:rsidP="00C56F0E" w:rsidRDefault="00D916F0" w14:paraId="07F9C808" wp14:textId="77777777">
      <w:pPr>
        <w:pStyle w:val="Heading1"/>
        <w:spacing w:after="200" w:line="360" w:lineRule="auto"/>
        <w:jc w:val="both"/>
        <w:rPr>
          <w:rFonts w:ascii="Times New Roman" w:hAnsi="Times New Roman" w:cs="Times New Roman"/>
          <w:sz w:val="24"/>
          <w:szCs w:val="24"/>
        </w:rPr>
      </w:pPr>
      <w:bookmarkStart w:name="_Toc134122114" w:id="3"/>
      <w:r w:rsidRPr="00C56F0E">
        <w:rPr>
          <w:rFonts w:ascii="Times New Roman" w:hAnsi="Times New Roman" w:cs="Times New Roman"/>
          <w:sz w:val="24"/>
          <w:szCs w:val="24"/>
        </w:rPr>
        <w:t>C</w:t>
      </w:r>
      <w:r w:rsidRPr="00C56F0E">
        <w:rPr>
          <w:rFonts w:ascii="Times New Roman" w:hAnsi="Times New Roman" w:cs="Times New Roman"/>
          <w:sz w:val="24"/>
          <w:szCs w:val="24"/>
        </w:rPr>
        <w:t xml:space="preserve">hallenges </w:t>
      </w:r>
      <w:r w:rsidRPr="00C56F0E">
        <w:rPr>
          <w:rFonts w:ascii="Times New Roman" w:hAnsi="Times New Roman" w:cs="Times New Roman"/>
          <w:sz w:val="24"/>
          <w:szCs w:val="24"/>
        </w:rPr>
        <w:t xml:space="preserve">that BT Group </w:t>
      </w:r>
      <w:r w:rsidRPr="00C56F0E">
        <w:rPr>
          <w:rFonts w:ascii="Times New Roman" w:hAnsi="Times New Roman" w:cs="Times New Roman"/>
          <w:sz w:val="24"/>
          <w:szCs w:val="24"/>
        </w:rPr>
        <w:t>may experienc</w:t>
      </w:r>
      <w:r w:rsidRPr="00C56F0E">
        <w:rPr>
          <w:rFonts w:ascii="Times New Roman" w:hAnsi="Times New Roman" w:cs="Times New Roman"/>
          <w:sz w:val="24"/>
          <w:szCs w:val="24"/>
        </w:rPr>
        <w:t xml:space="preserve">e </w:t>
      </w:r>
      <w:r w:rsidRPr="00C56F0E">
        <w:rPr>
          <w:rFonts w:ascii="Times New Roman" w:hAnsi="Times New Roman" w:cs="Times New Roman"/>
          <w:sz w:val="24"/>
          <w:szCs w:val="24"/>
        </w:rPr>
        <w:t>in different international financial markets</w:t>
      </w:r>
      <w:bookmarkEnd w:id="3"/>
    </w:p>
    <w:p xmlns:wp14="http://schemas.microsoft.com/office/word/2010/wordml" w:rsidRPr="00C23A99" w:rsidR="00C23A99" w:rsidP="00C56F0E" w:rsidRDefault="00C23A99" w14:paraId="0F8A2074"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As BT Group expands into new global markets, it encounters various challenges related to differences in economic, legal, and cultural environments. Operating in diverse international markets introduces additional risks that BT must consider and manage carefully.</w:t>
      </w:r>
    </w:p>
    <w:p xmlns:wp14="http://schemas.microsoft.com/office/word/2010/wordml" w:rsidRPr="00C23A99" w:rsidR="00C23A99" w:rsidP="00C56F0E" w:rsidRDefault="00C23A99" w14:paraId="5594F9FD"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Economic challenges include fluctuations in currency values impacting costs, revenues, assets, and liabilities. BT hedge currencies whenever possible but exposure still exists. Interest rate changes can also impact funding costs and investment returns in different markets. Inflation and GDP growth may affect the affordability and demand for BT's products differently across countries.</w:t>
      </w:r>
    </w:p>
    <w:p xmlns:wp14="http://schemas.microsoft.com/office/word/2010/wordml" w:rsidRPr="00C23A99" w:rsidR="00C23A99" w:rsidP="00C56F0E" w:rsidRDefault="00C23A99" w14:paraId="03C3C3A4"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Legal and regulatory issues like taxation, intellectual property protection, employment regulations, and corruption risks become more complex with international business. BT must ensure compliance while also minimizing costs, which can require resources and time to navigate in multiple jurisdictions</w:t>
      </w:r>
      <w:r w:rsidRPr="00C56F0E" w:rsidR="00C56F0E">
        <w:rPr>
          <w:rFonts w:ascii="Times New Roman" w:hAnsi="Times New Roman" w:cs="Times New Roman"/>
          <w:sz w:val="24"/>
          <w:szCs w:val="24"/>
          <w:lang w:val="en-AU"/>
        </w:rPr>
        <w:t xml:space="preserve"> (</w:t>
      </w:r>
      <w:r w:rsidRPr="00C56F0E" w:rsidR="00C56F0E">
        <w:rPr>
          <w:rFonts w:ascii="Times New Roman" w:hAnsi="Times New Roman" w:cs="Times New Roman"/>
          <w:sz w:val="24"/>
          <w:szCs w:val="24"/>
        </w:rPr>
        <w:t>International Finance Corporation</w:t>
      </w:r>
      <w:r w:rsidRPr="00C56F0E" w:rsidR="00C56F0E">
        <w:rPr>
          <w:rFonts w:ascii="Times New Roman" w:hAnsi="Times New Roman" w:cs="Times New Roman"/>
          <w:sz w:val="24"/>
          <w:szCs w:val="24"/>
        </w:rPr>
        <w:t>, 2017</w:t>
      </w:r>
      <w:r w:rsidRPr="00C56F0E" w:rsidR="00C56F0E">
        <w:rPr>
          <w:rFonts w:ascii="Times New Roman" w:hAnsi="Times New Roman" w:cs="Times New Roman"/>
          <w:sz w:val="24"/>
          <w:szCs w:val="24"/>
          <w:lang w:val="en-AU"/>
        </w:rPr>
        <w:t>)</w:t>
      </w:r>
      <w:r w:rsidRPr="00C23A99">
        <w:rPr>
          <w:rFonts w:ascii="Times New Roman" w:hAnsi="Times New Roman" w:cs="Times New Roman"/>
          <w:sz w:val="24"/>
          <w:szCs w:val="24"/>
          <w:lang w:val="en-AU"/>
        </w:rPr>
        <w:t>.</w:t>
      </w:r>
    </w:p>
    <w:p xmlns:wp14="http://schemas.microsoft.com/office/word/2010/wordml" w:rsidRPr="00C23A99" w:rsidR="00C23A99" w:rsidP="00C56F0E" w:rsidRDefault="00C23A99" w14:paraId="5598BB76"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lastRenderedPageBreak/>
        <w:t>Cultural differences present risks of misunderstandings, lack of local knowledge, and failure to adapt strategies and communications to local preferences. What succeeds in one market may not translate to another, requiring careful market research and potentially staffing locally. Religious, ethnic, and social complexities also emerge as BT serves more diverse customer bases globally.</w:t>
      </w:r>
    </w:p>
    <w:p xmlns:wp14="http://schemas.microsoft.com/office/word/2010/wordml" w:rsidRPr="00C23A99" w:rsidR="00C23A99" w:rsidP="00C56F0E" w:rsidRDefault="00C23A99" w14:paraId="0091D2E9"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 xml:space="preserve">Operational challenges relating to logistics, infrastructure, and workforce management increase with a wider geographic spread. Moving people, goods, money, data, and </w:t>
      </w:r>
      <w:r w:rsidRPr="00C56F0E">
        <w:rPr>
          <w:rFonts w:ascii="Times New Roman" w:hAnsi="Times New Roman" w:cs="Times New Roman"/>
          <w:sz w:val="24"/>
          <w:szCs w:val="24"/>
          <w:lang w:val="en-AU"/>
        </w:rPr>
        <w:t>intellectual</w:t>
      </w:r>
      <w:r w:rsidRPr="00C23A99">
        <w:rPr>
          <w:rFonts w:ascii="Times New Roman" w:hAnsi="Times New Roman" w:cs="Times New Roman"/>
          <w:sz w:val="24"/>
          <w:szCs w:val="24"/>
          <w:lang w:val="en-AU"/>
        </w:rPr>
        <w:t xml:space="preserve"> property across borders introduces additional costs, coordination needs, and regulatory requirements that BT must manage efficiently.</w:t>
      </w:r>
    </w:p>
    <w:p xmlns:wp14="http://schemas.microsoft.com/office/word/2010/wordml" w:rsidRPr="00C23A99" w:rsidR="00C23A99" w:rsidP="00C56F0E" w:rsidRDefault="00C23A99" w14:paraId="553108AD"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 xml:space="preserve">Reputation risks are amplified internationally, as issues or mistakes in one market could potentially damage the BT brand globally. Consistently </w:t>
      </w:r>
      <w:r w:rsidRPr="00C56F0E">
        <w:rPr>
          <w:rFonts w:ascii="Times New Roman" w:hAnsi="Times New Roman" w:cs="Times New Roman"/>
          <w:sz w:val="24"/>
          <w:szCs w:val="24"/>
          <w:lang w:val="en-AU"/>
        </w:rPr>
        <w:t>high-quality</w:t>
      </w:r>
      <w:r w:rsidRPr="00C23A99">
        <w:rPr>
          <w:rFonts w:ascii="Times New Roman" w:hAnsi="Times New Roman" w:cs="Times New Roman"/>
          <w:sz w:val="24"/>
          <w:szCs w:val="24"/>
          <w:lang w:val="en-AU"/>
        </w:rPr>
        <w:t xml:space="preserve"> service, ethical practices, and positive customer experiences become even more crucial to BT's brand image across countries</w:t>
      </w:r>
      <w:r w:rsidRPr="00C56F0E" w:rsidR="00C56F0E">
        <w:rPr>
          <w:rFonts w:ascii="Times New Roman" w:hAnsi="Times New Roman" w:cs="Times New Roman"/>
          <w:sz w:val="24"/>
          <w:szCs w:val="24"/>
          <w:lang w:val="en-AU"/>
        </w:rPr>
        <w:t xml:space="preserve"> </w:t>
      </w:r>
      <w:r w:rsidRPr="00C56F0E" w:rsidR="00C56F0E">
        <w:rPr>
          <w:rFonts w:ascii="Times New Roman" w:hAnsi="Times New Roman" w:cs="Times New Roman"/>
          <w:sz w:val="24"/>
          <w:szCs w:val="24"/>
          <w:lang w:val="en-AU"/>
        </w:rPr>
        <w:t>(</w:t>
      </w:r>
      <w:r w:rsidRPr="00C56F0E" w:rsidR="00C56F0E">
        <w:rPr>
          <w:rFonts w:ascii="Times New Roman" w:hAnsi="Times New Roman" w:cs="Times New Roman"/>
          <w:sz w:val="24"/>
          <w:szCs w:val="24"/>
        </w:rPr>
        <w:t>International Finance Corporation, 2017</w:t>
      </w:r>
      <w:r w:rsidRPr="00C56F0E" w:rsidR="00C56F0E">
        <w:rPr>
          <w:rFonts w:ascii="Times New Roman" w:hAnsi="Times New Roman" w:cs="Times New Roman"/>
          <w:sz w:val="24"/>
          <w:szCs w:val="24"/>
          <w:lang w:val="en-AU"/>
        </w:rPr>
        <w:t>)</w:t>
      </w:r>
      <w:r w:rsidRPr="00C23A99">
        <w:rPr>
          <w:rFonts w:ascii="Times New Roman" w:hAnsi="Times New Roman" w:cs="Times New Roman"/>
          <w:sz w:val="24"/>
          <w:szCs w:val="24"/>
          <w:lang w:val="en-AU"/>
        </w:rPr>
        <w:t>.</w:t>
      </w:r>
    </w:p>
    <w:p xmlns:wp14="http://schemas.microsoft.com/office/word/2010/wordml" w:rsidRPr="00C23A99" w:rsidR="00C23A99" w:rsidP="00C56F0E" w:rsidRDefault="00C23A99" w14:paraId="2F7F7775"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Financial risks like liquidity, leverage, counterparty, and credit risks also emerge or become more complex in international business. New sources of volatility may impact BT's balance sheet strength, access to capital, ability to collect payments, and risk of loss; requiring close management of finances and allocation of buffers.</w:t>
      </w:r>
    </w:p>
    <w:p xmlns:wp14="http://schemas.microsoft.com/office/word/2010/wordml" w:rsidRPr="00C56F0E" w:rsidR="00D916F0" w:rsidP="00C56F0E" w:rsidRDefault="00D916F0" w14:paraId="5F7A53E3" wp14:textId="77777777">
      <w:pPr>
        <w:pStyle w:val="Heading1"/>
        <w:spacing w:after="200" w:line="360" w:lineRule="auto"/>
        <w:jc w:val="both"/>
        <w:rPr>
          <w:rFonts w:ascii="Times New Roman" w:hAnsi="Times New Roman" w:cs="Times New Roman"/>
          <w:sz w:val="24"/>
          <w:szCs w:val="24"/>
        </w:rPr>
      </w:pPr>
      <w:bookmarkStart w:name="_Toc134122115" w:id="4"/>
      <w:r w:rsidRPr="00C56F0E">
        <w:rPr>
          <w:rFonts w:ascii="Times New Roman" w:hAnsi="Times New Roman" w:cs="Times New Roman"/>
          <w:sz w:val="24"/>
          <w:szCs w:val="24"/>
        </w:rPr>
        <w:t>M</w:t>
      </w:r>
      <w:r w:rsidRPr="00C56F0E">
        <w:rPr>
          <w:rFonts w:ascii="Times New Roman" w:hAnsi="Times New Roman" w:cs="Times New Roman"/>
          <w:sz w:val="24"/>
          <w:szCs w:val="24"/>
        </w:rPr>
        <w:t>ethods and techniques relating to</w:t>
      </w:r>
      <w:r w:rsidRPr="00C56F0E">
        <w:rPr>
          <w:rFonts w:ascii="Times New Roman" w:hAnsi="Times New Roman" w:cs="Times New Roman"/>
          <w:sz w:val="24"/>
          <w:szCs w:val="24"/>
        </w:rPr>
        <w:t xml:space="preserve"> </w:t>
      </w:r>
      <w:r w:rsidRPr="00C56F0E">
        <w:rPr>
          <w:rFonts w:ascii="Times New Roman" w:hAnsi="Times New Roman" w:cs="Times New Roman"/>
          <w:sz w:val="24"/>
          <w:szCs w:val="24"/>
        </w:rPr>
        <w:t>the financing of</w:t>
      </w:r>
      <w:r w:rsidRPr="00C56F0E">
        <w:rPr>
          <w:rFonts w:ascii="Times New Roman" w:hAnsi="Times New Roman" w:cs="Times New Roman"/>
          <w:sz w:val="24"/>
          <w:szCs w:val="24"/>
        </w:rPr>
        <w:t xml:space="preserve"> </w:t>
      </w:r>
      <w:r w:rsidRPr="00C56F0E">
        <w:rPr>
          <w:rFonts w:ascii="Times New Roman" w:hAnsi="Times New Roman" w:cs="Times New Roman"/>
          <w:sz w:val="24"/>
          <w:szCs w:val="24"/>
        </w:rPr>
        <w:t>an international business</w:t>
      </w:r>
      <w:bookmarkEnd w:id="4"/>
    </w:p>
    <w:p xmlns:wp14="http://schemas.microsoft.com/office/word/2010/wordml" w:rsidRPr="00C23A99" w:rsidR="00C23A99" w:rsidP="00C56F0E" w:rsidRDefault="00C23A99" w14:paraId="11D1BE88"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Financing international operations presents unique challenges and opportunities. As BT Group expands globally, it must secure adequate funding to invest in new markets while managing risks like currency fluctuations, regulatory issues, and geographic dispersion of cash flows. Several financing methods and techniques are useful for international business.</w:t>
      </w:r>
    </w:p>
    <w:p xmlns:wp14="http://schemas.microsoft.com/office/word/2010/wordml" w:rsidRPr="00C56F0E" w:rsidR="00C23A99" w:rsidP="00C56F0E" w:rsidRDefault="00C23A99" w14:paraId="4F985074" wp14:textId="77777777">
      <w:pPr>
        <w:spacing w:after="200" w:line="360" w:lineRule="auto"/>
        <w:jc w:val="both"/>
        <w:rPr>
          <w:rFonts w:ascii="Times New Roman" w:hAnsi="Times New Roman" w:cs="Times New Roman"/>
          <w:b/>
          <w:bCs/>
          <w:sz w:val="24"/>
          <w:szCs w:val="24"/>
          <w:lang w:val="en-AU"/>
        </w:rPr>
      </w:pPr>
      <w:r w:rsidRPr="00C23A99">
        <w:rPr>
          <w:rFonts w:ascii="Times New Roman" w:hAnsi="Times New Roman" w:cs="Times New Roman"/>
          <w:b/>
          <w:bCs/>
          <w:sz w:val="24"/>
          <w:szCs w:val="24"/>
          <w:lang w:val="en-AU"/>
        </w:rPr>
        <w:t xml:space="preserve">Debt </w:t>
      </w:r>
      <w:r w:rsidRPr="00C56F0E">
        <w:rPr>
          <w:rFonts w:ascii="Times New Roman" w:hAnsi="Times New Roman" w:cs="Times New Roman"/>
          <w:b/>
          <w:bCs/>
          <w:sz w:val="24"/>
          <w:szCs w:val="24"/>
          <w:lang w:val="en-AU"/>
        </w:rPr>
        <w:t>F</w:t>
      </w:r>
      <w:r w:rsidRPr="00C23A99">
        <w:rPr>
          <w:rFonts w:ascii="Times New Roman" w:hAnsi="Times New Roman" w:cs="Times New Roman"/>
          <w:b/>
          <w:bCs/>
          <w:sz w:val="24"/>
          <w:szCs w:val="24"/>
          <w:lang w:val="en-AU"/>
        </w:rPr>
        <w:t>inancing</w:t>
      </w:r>
    </w:p>
    <w:p xmlns:wp14="http://schemas.microsoft.com/office/word/2010/wordml" w:rsidRPr="00C23A99" w:rsidR="00C23A99" w:rsidP="00C56F0E" w:rsidRDefault="00C23A99" w14:paraId="797024A0"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Debt financing, including loans, lines of credit, bonds, and private placements allows BT to raise large amounts of capital to fund international expansion without diluting ownership. However, debt payments must be made regardless of performance and cross-border loans introduce currency risks. Debt financing also requires significant collateral and bonding capacity which may be more difficult internationally</w:t>
      </w:r>
      <w:r w:rsidRPr="00C56F0E" w:rsidR="00C56F0E">
        <w:rPr>
          <w:rFonts w:ascii="Times New Roman" w:hAnsi="Times New Roman" w:cs="Times New Roman"/>
          <w:sz w:val="24"/>
          <w:szCs w:val="24"/>
          <w:lang w:val="en-AU"/>
        </w:rPr>
        <w:t xml:space="preserve"> (</w:t>
      </w:r>
      <w:r w:rsidRPr="00C56F0E" w:rsidR="00C56F0E">
        <w:rPr>
          <w:rFonts w:ascii="Times New Roman" w:hAnsi="Times New Roman" w:cs="Times New Roman"/>
          <w:color w:val="222222"/>
          <w:sz w:val="24"/>
          <w:szCs w:val="24"/>
          <w:shd w:val="clear" w:color="auto" w:fill="FFFFFF"/>
        </w:rPr>
        <w:t>Wille, Hoffer</w:t>
      </w:r>
      <w:r w:rsidRPr="00C56F0E" w:rsidR="00C56F0E">
        <w:rPr>
          <w:rFonts w:ascii="Times New Roman" w:hAnsi="Times New Roman" w:cs="Times New Roman"/>
          <w:color w:val="222222"/>
          <w:sz w:val="24"/>
          <w:szCs w:val="24"/>
          <w:shd w:val="clear" w:color="auto" w:fill="FFFFFF"/>
        </w:rPr>
        <w:t xml:space="preserve"> </w:t>
      </w:r>
      <w:r w:rsidRPr="00C56F0E" w:rsidR="00C56F0E">
        <w:rPr>
          <w:rFonts w:ascii="Times New Roman" w:hAnsi="Times New Roman" w:cs="Times New Roman"/>
          <w:color w:val="222222"/>
          <w:sz w:val="24"/>
          <w:szCs w:val="24"/>
          <w:shd w:val="clear" w:color="auto" w:fill="FFFFFF"/>
        </w:rPr>
        <w:t>and Miller,</w:t>
      </w:r>
      <w:r w:rsidRPr="00C56F0E" w:rsidR="00C56F0E">
        <w:rPr>
          <w:rFonts w:ascii="Times New Roman" w:hAnsi="Times New Roman" w:cs="Times New Roman"/>
          <w:color w:val="222222"/>
          <w:sz w:val="24"/>
          <w:szCs w:val="24"/>
          <w:shd w:val="clear" w:color="auto" w:fill="FFFFFF"/>
        </w:rPr>
        <w:t xml:space="preserve"> 2017</w:t>
      </w:r>
      <w:r w:rsidRPr="00C56F0E" w:rsidR="00C56F0E">
        <w:rPr>
          <w:rFonts w:ascii="Times New Roman" w:hAnsi="Times New Roman" w:cs="Times New Roman"/>
          <w:sz w:val="24"/>
          <w:szCs w:val="24"/>
          <w:lang w:val="en-AU"/>
        </w:rPr>
        <w:t>)</w:t>
      </w:r>
      <w:r w:rsidRPr="00C23A99">
        <w:rPr>
          <w:rFonts w:ascii="Times New Roman" w:hAnsi="Times New Roman" w:cs="Times New Roman"/>
          <w:sz w:val="24"/>
          <w:szCs w:val="24"/>
          <w:lang w:val="en-AU"/>
        </w:rPr>
        <w:t>.</w:t>
      </w:r>
    </w:p>
    <w:p xmlns:wp14="http://schemas.microsoft.com/office/word/2010/wordml" w:rsidRPr="00C56F0E" w:rsidR="00C23A99" w:rsidP="00C56F0E" w:rsidRDefault="00C23A99" w14:paraId="6A85E010" wp14:textId="77777777">
      <w:pPr>
        <w:spacing w:after="200" w:line="360" w:lineRule="auto"/>
        <w:jc w:val="both"/>
        <w:rPr>
          <w:rFonts w:ascii="Times New Roman" w:hAnsi="Times New Roman" w:cs="Times New Roman"/>
          <w:b/>
          <w:bCs/>
          <w:sz w:val="24"/>
          <w:szCs w:val="24"/>
          <w:lang w:val="en-AU"/>
        </w:rPr>
      </w:pPr>
      <w:r w:rsidRPr="00C23A99">
        <w:rPr>
          <w:rFonts w:ascii="Times New Roman" w:hAnsi="Times New Roman" w:cs="Times New Roman"/>
          <w:b/>
          <w:bCs/>
          <w:sz w:val="24"/>
          <w:szCs w:val="24"/>
          <w:lang w:val="en-AU"/>
        </w:rPr>
        <w:lastRenderedPageBreak/>
        <w:t xml:space="preserve">Equity </w:t>
      </w:r>
      <w:r w:rsidRPr="00C56F0E">
        <w:rPr>
          <w:rFonts w:ascii="Times New Roman" w:hAnsi="Times New Roman" w:cs="Times New Roman"/>
          <w:b/>
          <w:bCs/>
          <w:sz w:val="24"/>
          <w:szCs w:val="24"/>
          <w:lang w:val="en-AU"/>
        </w:rPr>
        <w:t>F</w:t>
      </w:r>
      <w:r w:rsidRPr="00C23A99">
        <w:rPr>
          <w:rFonts w:ascii="Times New Roman" w:hAnsi="Times New Roman" w:cs="Times New Roman"/>
          <w:b/>
          <w:bCs/>
          <w:sz w:val="24"/>
          <w:szCs w:val="24"/>
          <w:lang w:val="en-AU"/>
        </w:rPr>
        <w:t>inancing</w:t>
      </w:r>
    </w:p>
    <w:p xmlns:wp14="http://schemas.microsoft.com/office/word/2010/wordml" w:rsidRPr="00C23A99" w:rsidR="00C23A99" w:rsidP="00C56F0E" w:rsidRDefault="00C23A99" w14:paraId="5C079910"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Equity financing, such as issuing shares or securing investments from global partners, provides capital without the obligation of debt repayment. However, it means giving up some ownership and control rights. Partnerships or joint ventures can also provide local market knowledge and partnerships to facilitate international progress.</w:t>
      </w:r>
    </w:p>
    <w:p xmlns:wp14="http://schemas.microsoft.com/office/word/2010/wordml" w:rsidRPr="00C56F0E" w:rsidR="00C23A99" w:rsidP="00C56F0E" w:rsidRDefault="00C23A99" w14:paraId="0152AFA8" wp14:textId="77777777">
      <w:pPr>
        <w:spacing w:after="200" w:line="360" w:lineRule="auto"/>
        <w:jc w:val="both"/>
        <w:rPr>
          <w:rFonts w:ascii="Times New Roman" w:hAnsi="Times New Roman" w:cs="Times New Roman"/>
          <w:b/>
          <w:bCs/>
          <w:sz w:val="24"/>
          <w:szCs w:val="24"/>
          <w:lang w:val="en-AU"/>
        </w:rPr>
      </w:pPr>
      <w:r w:rsidRPr="00C23A99">
        <w:rPr>
          <w:rFonts w:ascii="Times New Roman" w:hAnsi="Times New Roman" w:cs="Times New Roman"/>
          <w:b/>
          <w:bCs/>
          <w:sz w:val="24"/>
          <w:szCs w:val="24"/>
          <w:lang w:val="en-AU"/>
        </w:rPr>
        <w:t xml:space="preserve">Internal </w:t>
      </w:r>
      <w:r w:rsidRPr="00C56F0E">
        <w:rPr>
          <w:rFonts w:ascii="Times New Roman" w:hAnsi="Times New Roman" w:cs="Times New Roman"/>
          <w:b/>
          <w:bCs/>
          <w:sz w:val="24"/>
          <w:szCs w:val="24"/>
          <w:lang w:val="en-AU"/>
        </w:rPr>
        <w:t>F</w:t>
      </w:r>
      <w:r w:rsidRPr="00C23A99">
        <w:rPr>
          <w:rFonts w:ascii="Times New Roman" w:hAnsi="Times New Roman" w:cs="Times New Roman"/>
          <w:b/>
          <w:bCs/>
          <w:sz w:val="24"/>
          <w:szCs w:val="24"/>
          <w:lang w:val="en-AU"/>
        </w:rPr>
        <w:t xml:space="preserve">inancing </w:t>
      </w:r>
      <w:r w:rsidRPr="00C56F0E">
        <w:rPr>
          <w:rFonts w:ascii="Times New Roman" w:hAnsi="Times New Roman" w:cs="Times New Roman"/>
          <w:b/>
          <w:bCs/>
          <w:sz w:val="24"/>
          <w:szCs w:val="24"/>
          <w:lang w:val="en-AU"/>
        </w:rPr>
        <w:t>M</w:t>
      </w:r>
      <w:r w:rsidRPr="00C23A99">
        <w:rPr>
          <w:rFonts w:ascii="Times New Roman" w:hAnsi="Times New Roman" w:cs="Times New Roman"/>
          <w:b/>
          <w:bCs/>
          <w:sz w:val="24"/>
          <w:szCs w:val="24"/>
          <w:lang w:val="en-AU"/>
        </w:rPr>
        <w:t>ethods </w:t>
      </w:r>
      <w:r w:rsidRPr="00C56F0E">
        <w:rPr>
          <w:rFonts w:ascii="Times New Roman" w:hAnsi="Times New Roman" w:cs="Times New Roman"/>
          <w:b/>
          <w:bCs/>
          <w:sz w:val="24"/>
          <w:szCs w:val="24"/>
          <w:lang w:val="en-AU"/>
        </w:rPr>
        <w:t xml:space="preserve"> </w:t>
      </w:r>
    </w:p>
    <w:p xmlns:wp14="http://schemas.microsoft.com/office/word/2010/wordml" w:rsidRPr="00C23A99" w:rsidR="00C23A99" w:rsidP="00C56F0E" w:rsidRDefault="00C23A99" w14:paraId="1427D61A"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Internal financing methods include ploughing back profits, asset sales, and restructuring existing debt. These move money from other parts of the business rather than bringing in outside capital. They avoid dilution but limit the amount of funding available for large international investments.</w:t>
      </w:r>
    </w:p>
    <w:p xmlns:wp14="http://schemas.microsoft.com/office/word/2010/wordml" w:rsidRPr="00C56F0E" w:rsidR="00C23A99" w:rsidP="00C56F0E" w:rsidRDefault="00C23A99" w14:paraId="7109401D" wp14:textId="77777777">
      <w:pPr>
        <w:spacing w:after="200" w:line="360" w:lineRule="auto"/>
        <w:jc w:val="both"/>
        <w:rPr>
          <w:rFonts w:ascii="Times New Roman" w:hAnsi="Times New Roman" w:cs="Times New Roman"/>
          <w:b/>
          <w:bCs/>
          <w:sz w:val="24"/>
          <w:szCs w:val="24"/>
          <w:lang w:val="en-AU"/>
        </w:rPr>
      </w:pPr>
      <w:r w:rsidRPr="00C23A99">
        <w:rPr>
          <w:rFonts w:ascii="Times New Roman" w:hAnsi="Times New Roman" w:cs="Times New Roman"/>
          <w:b/>
          <w:bCs/>
          <w:sz w:val="24"/>
          <w:szCs w:val="24"/>
          <w:lang w:val="en-AU"/>
        </w:rPr>
        <w:t xml:space="preserve">Cash </w:t>
      </w:r>
      <w:r w:rsidRPr="00C56F0E">
        <w:rPr>
          <w:rFonts w:ascii="Times New Roman" w:hAnsi="Times New Roman" w:cs="Times New Roman"/>
          <w:b/>
          <w:bCs/>
          <w:sz w:val="24"/>
          <w:szCs w:val="24"/>
          <w:lang w:val="en-AU"/>
        </w:rPr>
        <w:t>P</w:t>
      </w:r>
      <w:r w:rsidRPr="00C23A99">
        <w:rPr>
          <w:rFonts w:ascii="Times New Roman" w:hAnsi="Times New Roman" w:cs="Times New Roman"/>
          <w:b/>
          <w:bCs/>
          <w:sz w:val="24"/>
          <w:szCs w:val="24"/>
          <w:lang w:val="en-AU"/>
        </w:rPr>
        <w:t>ooling</w:t>
      </w:r>
    </w:p>
    <w:p xmlns:wp14="http://schemas.microsoft.com/office/word/2010/wordml" w:rsidRPr="00C23A99" w:rsidR="00C23A99" w:rsidP="00C56F0E" w:rsidRDefault="00C23A99" w14:paraId="4BAE5940"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Cash pooling techniques, including global Lockboxes, centralized treasury management, cross-border cash sweeps and zero-balance accounts help optimize cash positions across locations</w:t>
      </w:r>
      <w:r w:rsidRPr="00C56F0E" w:rsidR="00C56F0E">
        <w:rPr>
          <w:rFonts w:ascii="Times New Roman" w:hAnsi="Times New Roman" w:cs="Times New Roman"/>
          <w:sz w:val="24"/>
          <w:szCs w:val="24"/>
          <w:lang w:val="en-AU"/>
        </w:rPr>
        <w:t xml:space="preserve"> (</w:t>
      </w:r>
      <w:r w:rsidRPr="00C56F0E" w:rsidR="00C56F0E">
        <w:rPr>
          <w:rFonts w:ascii="Times New Roman" w:hAnsi="Times New Roman" w:cs="Times New Roman"/>
          <w:color w:val="222222"/>
          <w:sz w:val="24"/>
          <w:szCs w:val="24"/>
          <w:shd w:val="clear" w:color="auto" w:fill="FFFFFF"/>
        </w:rPr>
        <w:t>Connolly</w:t>
      </w:r>
      <w:r w:rsidRPr="00C56F0E" w:rsidR="00C56F0E">
        <w:rPr>
          <w:rFonts w:ascii="Times New Roman" w:hAnsi="Times New Roman" w:cs="Times New Roman"/>
          <w:color w:val="222222"/>
          <w:sz w:val="24"/>
          <w:szCs w:val="24"/>
          <w:shd w:val="clear" w:color="auto" w:fill="FFFFFF"/>
        </w:rPr>
        <w:t xml:space="preserve"> </w:t>
      </w:r>
      <w:r w:rsidRPr="00C56F0E" w:rsidR="00C56F0E">
        <w:rPr>
          <w:rFonts w:ascii="Times New Roman" w:hAnsi="Times New Roman" w:cs="Times New Roman"/>
          <w:color w:val="222222"/>
          <w:sz w:val="24"/>
          <w:szCs w:val="24"/>
          <w:shd w:val="clear" w:color="auto" w:fill="FFFFFF"/>
        </w:rPr>
        <w:t xml:space="preserve">and Jackman, </w:t>
      </w:r>
      <w:r w:rsidRPr="00C56F0E" w:rsidR="00C56F0E">
        <w:rPr>
          <w:rFonts w:ascii="Times New Roman" w:hAnsi="Times New Roman" w:cs="Times New Roman"/>
          <w:color w:val="222222"/>
          <w:sz w:val="24"/>
          <w:szCs w:val="24"/>
          <w:shd w:val="clear" w:color="auto" w:fill="FFFFFF"/>
        </w:rPr>
        <w:t>2017</w:t>
      </w:r>
      <w:r w:rsidRPr="00C56F0E" w:rsidR="00C56F0E">
        <w:rPr>
          <w:rFonts w:ascii="Times New Roman" w:hAnsi="Times New Roman" w:cs="Times New Roman"/>
          <w:sz w:val="24"/>
          <w:szCs w:val="24"/>
          <w:lang w:val="en-AU"/>
        </w:rPr>
        <w:t>)</w:t>
      </w:r>
      <w:r w:rsidRPr="00C23A99">
        <w:rPr>
          <w:rFonts w:ascii="Times New Roman" w:hAnsi="Times New Roman" w:cs="Times New Roman"/>
          <w:sz w:val="24"/>
          <w:szCs w:val="24"/>
          <w:lang w:val="en-AU"/>
        </w:rPr>
        <w:t>. This improves liquidity, reduces costs, simplifies management and enables better control of currency risks.</w:t>
      </w:r>
    </w:p>
    <w:p xmlns:wp14="http://schemas.microsoft.com/office/word/2010/wordml" w:rsidRPr="00C56F0E" w:rsidR="00C23A99" w:rsidP="00C56F0E" w:rsidRDefault="00C23A99" w14:paraId="6902B64F" wp14:textId="77777777">
      <w:pPr>
        <w:spacing w:after="200" w:line="360" w:lineRule="auto"/>
        <w:jc w:val="both"/>
        <w:rPr>
          <w:rFonts w:ascii="Times New Roman" w:hAnsi="Times New Roman" w:cs="Times New Roman"/>
          <w:b/>
          <w:bCs/>
          <w:sz w:val="24"/>
          <w:szCs w:val="24"/>
          <w:lang w:val="en-AU"/>
        </w:rPr>
      </w:pPr>
      <w:r w:rsidRPr="00C23A99">
        <w:rPr>
          <w:rFonts w:ascii="Times New Roman" w:hAnsi="Times New Roman" w:cs="Times New Roman"/>
          <w:b/>
          <w:bCs/>
          <w:sz w:val="24"/>
          <w:szCs w:val="24"/>
          <w:lang w:val="en-AU"/>
        </w:rPr>
        <w:t xml:space="preserve">Currency </w:t>
      </w:r>
      <w:r w:rsidRPr="00C56F0E">
        <w:rPr>
          <w:rFonts w:ascii="Times New Roman" w:hAnsi="Times New Roman" w:cs="Times New Roman"/>
          <w:b/>
          <w:bCs/>
          <w:sz w:val="24"/>
          <w:szCs w:val="24"/>
          <w:lang w:val="en-AU"/>
        </w:rPr>
        <w:t>H</w:t>
      </w:r>
      <w:r w:rsidRPr="00C23A99">
        <w:rPr>
          <w:rFonts w:ascii="Times New Roman" w:hAnsi="Times New Roman" w:cs="Times New Roman"/>
          <w:b/>
          <w:bCs/>
          <w:sz w:val="24"/>
          <w:szCs w:val="24"/>
          <w:lang w:val="en-AU"/>
        </w:rPr>
        <w:t>edging </w:t>
      </w:r>
    </w:p>
    <w:p xmlns:wp14="http://schemas.microsoft.com/office/word/2010/wordml" w:rsidRPr="00C23A99" w:rsidR="00C23A99" w:rsidP="00C56F0E" w:rsidRDefault="00C23A99" w14:paraId="55FDD5EE" wp14:textId="77777777">
      <w:pPr>
        <w:spacing w:after="200" w:line="360" w:lineRule="auto"/>
        <w:jc w:val="both"/>
        <w:rPr>
          <w:rFonts w:ascii="Times New Roman" w:hAnsi="Times New Roman" w:cs="Times New Roman"/>
          <w:sz w:val="24"/>
          <w:szCs w:val="24"/>
          <w:lang w:val="en-AU"/>
        </w:rPr>
      </w:pPr>
      <w:r w:rsidRPr="00C23A99">
        <w:rPr>
          <w:rFonts w:ascii="Times New Roman" w:hAnsi="Times New Roman" w:cs="Times New Roman"/>
          <w:sz w:val="24"/>
          <w:szCs w:val="24"/>
          <w:lang w:val="en-AU"/>
        </w:rPr>
        <w:t>Currency hedging using forwards, futures, options and swaps helps create more stability and predictability regarding the value of cash flows and balance sheet positions across borders. By hedging exposure, BT can reduce volatility, lower costs, and stabilize financial ratios important for debt covenants and valuations.</w:t>
      </w:r>
    </w:p>
    <w:p xmlns:wp14="http://schemas.microsoft.com/office/word/2010/wordml" w:rsidRPr="00C56F0E" w:rsidR="00C23A99" w:rsidP="00C56F0E" w:rsidRDefault="00C23A99" w14:paraId="5A39BBE3" wp14:textId="77777777">
      <w:pPr>
        <w:spacing w:after="200" w:line="360" w:lineRule="auto"/>
        <w:jc w:val="both"/>
        <w:rPr>
          <w:rFonts w:ascii="Times New Roman" w:hAnsi="Times New Roman" w:cs="Times New Roman"/>
          <w:sz w:val="24"/>
          <w:szCs w:val="24"/>
        </w:rPr>
      </w:pPr>
      <w:r w:rsidRPr="00C56F0E">
        <w:rPr>
          <w:rFonts w:ascii="Times New Roman" w:hAnsi="Times New Roman" w:cs="Times New Roman"/>
          <w:sz w:val="24"/>
          <w:szCs w:val="24"/>
        </w:rPr>
        <w:br w:type="page"/>
      </w:r>
    </w:p>
    <w:p xmlns:wp14="http://schemas.microsoft.com/office/word/2010/wordml" w:rsidRPr="00C56F0E" w:rsidR="00C23A99" w:rsidP="00C56F0E" w:rsidRDefault="00C23A99" w14:paraId="459C7026" wp14:textId="77777777">
      <w:pPr>
        <w:pStyle w:val="Heading1"/>
        <w:spacing w:after="200" w:line="360" w:lineRule="auto"/>
        <w:jc w:val="both"/>
        <w:rPr>
          <w:rFonts w:ascii="Times New Roman" w:hAnsi="Times New Roman" w:cs="Times New Roman"/>
          <w:sz w:val="24"/>
          <w:szCs w:val="24"/>
        </w:rPr>
      </w:pPr>
      <w:bookmarkStart w:name="_Toc134122116" w:id="5"/>
      <w:r w:rsidRPr="00C56F0E">
        <w:rPr>
          <w:rFonts w:ascii="Times New Roman" w:hAnsi="Times New Roman" w:cs="Times New Roman"/>
          <w:sz w:val="24"/>
          <w:szCs w:val="24"/>
        </w:rPr>
        <w:lastRenderedPageBreak/>
        <w:t>References</w:t>
      </w:r>
      <w:bookmarkEnd w:id="5"/>
      <w:r w:rsidRPr="00C56F0E">
        <w:rPr>
          <w:rFonts w:ascii="Times New Roman" w:hAnsi="Times New Roman" w:cs="Times New Roman"/>
          <w:sz w:val="24"/>
          <w:szCs w:val="24"/>
        </w:rPr>
        <w:t xml:space="preserve"> </w:t>
      </w:r>
    </w:p>
    <w:p xmlns:wp14="http://schemas.microsoft.com/office/word/2010/wordml" w:rsidRPr="00C56F0E" w:rsidR="00C56F0E" w:rsidP="00C56F0E" w:rsidRDefault="00C56F0E" w14:paraId="6AD1F411" wp14:textId="77777777">
      <w:pPr>
        <w:spacing w:after="200" w:line="360" w:lineRule="auto"/>
        <w:jc w:val="both"/>
        <w:rPr>
          <w:rFonts w:ascii="Times New Roman" w:hAnsi="Times New Roman" w:cs="Times New Roman"/>
          <w:sz w:val="24"/>
          <w:szCs w:val="24"/>
        </w:rPr>
      </w:pPr>
      <w:r w:rsidRPr="00C56F0E">
        <w:rPr>
          <w:rFonts w:ascii="Times New Roman" w:hAnsi="Times New Roman" w:cs="Times New Roman"/>
          <w:sz w:val="24"/>
          <w:szCs w:val="24"/>
        </w:rPr>
        <w:t xml:space="preserve">BT Group. 2022. Dividends. Retrievable at: </w:t>
      </w:r>
      <w:hyperlink w:history="1" r:id="rId7">
        <w:r w:rsidRPr="00C56F0E">
          <w:rPr>
            <w:rStyle w:val="Hyperlink"/>
            <w:rFonts w:ascii="Times New Roman" w:hAnsi="Times New Roman" w:cs="Times New Roman"/>
            <w:sz w:val="24"/>
            <w:szCs w:val="24"/>
          </w:rPr>
          <w:t>https://www.bt.com/about/investors/individual-shareholders/dividends</w:t>
        </w:r>
      </w:hyperlink>
      <w:r w:rsidRPr="00C56F0E">
        <w:rPr>
          <w:rFonts w:ascii="Times New Roman" w:hAnsi="Times New Roman" w:cs="Times New Roman"/>
          <w:sz w:val="24"/>
          <w:szCs w:val="24"/>
        </w:rPr>
        <w:t xml:space="preserve"> </w:t>
      </w:r>
    </w:p>
    <w:p xmlns:wp14="http://schemas.microsoft.com/office/word/2010/wordml" w:rsidRPr="00C56F0E" w:rsidR="00C56F0E" w:rsidP="00C56F0E" w:rsidRDefault="00C56F0E" w14:paraId="16693A13" wp14:textId="77777777">
      <w:pPr>
        <w:spacing w:after="200" w:line="360" w:lineRule="auto"/>
        <w:jc w:val="both"/>
        <w:rPr>
          <w:rFonts w:ascii="Times New Roman" w:hAnsi="Times New Roman" w:cs="Times New Roman"/>
          <w:sz w:val="24"/>
          <w:szCs w:val="24"/>
        </w:rPr>
      </w:pPr>
      <w:r w:rsidRPr="00C56F0E">
        <w:rPr>
          <w:rFonts w:ascii="Times New Roman" w:hAnsi="Times New Roman" w:cs="Times New Roman"/>
          <w:color w:val="222222"/>
          <w:sz w:val="24"/>
          <w:szCs w:val="24"/>
          <w:shd w:val="clear" w:color="auto" w:fill="FFFFFF"/>
        </w:rPr>
        <w:t>Connolly, E. and Jackman, B., 2017. The availability of business finance. </w:t>
      </w:r>
      <w:r w:rsidRPr="00C56F0E">
        <w:rPr>
          <w:rFonts w:ascii="Times New Roman" w:hAnsi="Times New Roman" w:cs="Times New Roman"/>
          <w:i/>
          <w:iCs/>
          <w:color w:val="222222"/>
          <w:sz w:val="24"/>
          <w:szCs w:val="24"/>
          <w:shd w:val="clear" w:color="auto" w:fill="FFFFFF"/>
        </w:rPr>
        <w:t>RBA Bulletin, December</w:t>
      </w:r>
      <w:r w:rsidRPr="00C56F0E">
        <w:rPr>
          <w:rFonts w:ascii="Times New Roman" w:hAnsi="Times New Roman" w:cs="Times New Roman"/>
          <w:color w:val="222222"/>
          <w:sz w:val="24"/>
          <w:szCs w:val="24"/>
          <w:shd w:val="clear" w:color="auto" w:fill="FFFFFF"/>
        </w:rPr>
        <w:t>, pp.55-66.</w:t>
      </w:r>
    </w:p>
    <w:p xmlns:wp14="http://schemas.microsoft.com/office/word/2010/wordml" w:rsidRPr="00C56F0E" w:rsidR="00C56F0E" w:rsidP="00C56F0E" w:rsidRDefault="00C56F0E" w14:paraId="7652C406" wp14:textId="77777777">
      <w:pPr>
        <w:spacing w:after="200" w:line="360" w:lineRule="auto"/>
        <w:jc w:val="both"/>
        <w:rPr>
          <w:rFonts w:ascii="Times New Roman" w:hAnsi="Times New Roman" w:cs="Times New Roman"/>
          <w:sz w:val="24"/>
          <w:szCs w:val="24"/>
        </w:rPr>
      </w:pPr>
      <w:r w:rsidRPr="00C56F0E">
        <w:rPr>
          <w:rFonts w:ascii="Times New Roman" w:hAnsi="Times New Roman" w:cs="Times New Roman"/>
          <w:sz w:val="24"/>
          <w:szCs w:val="24"/>
        </w:rPr>
        <w:t xml:space="preserve">Griffin, R.W. and Pustay, M.W., 2015. International Business: A Managerial Perspective. Pearson Education. </w:t>
      </w:r>
    </w:p>
    <w:p xmlns:wp14="http://schemas.microsoft.com/office/word/2010/wordml" w:rsidRPr="00C56F0E" w:rsidR="00C56F0E" w:rsidP="00C56F0E" w:rsidRDefault="00C56F0E" w14:paraId="27DA1D03" wp14:textId="77777777">
      <w:pPr>
        <w:spacing w:after="200" w:line="360" w:lineRule="auto"/>
        <w:jc w:val="both"/>
        <w:rPr>
          <w:rFonts w:ascii="Times New Roman" w:hAnsi="Times New Roman" w:cs="Times New Roman"/>
          <w:sz w:val="24"/>
          <w:szCs w:val="24"/>
        </w:rPr>
      </w:pPr>
      <w:r w:rsidRPr="00C56F0E">
        <w:rPr>
          <w:rFonts w:ascii="Times New Roman" w:hAnsi="Times New Roman" w:cs="Times New Roman"/>
          <w:sz w:val="24"/>
          <w:szCs w:val="24"/>
        </w:rPr>
        <w:t xml:space="preserve">International Finance Corporation. 2017. Digital Financial Services: Challenges and Opportunities for Emerging Market Banks. Retrievable at: </w:t>
      </w:r>
      <w:hyperlink w:history="1" r:id="rId8">
        <w:r w:rsidRPr="00C56F0E">
          <w:rPr>
            <w:rStyle w:val="Hyperlink"/>
            <w:rFonts w:ascii="Times New Roman" w:hAnsi="Times New Roman" w:cs="Times New Roman"/>
            <w:sz w:val="24"/>
            <w:szCs w:val="24"/>
          </w:rPr>
          <w:t>https://www.ifc.org/wps/wcm/connect/067d6a0c-f1b5-4457-97aa-2982a7dfda69/EMCompass+Note+42+DFS+Challenges+updated.pdf?MOD=AJPERES&amp;CVID=lTM-26u</w:t>
        </w:r>
      </w:hyperlink>
      <w:r w:rsidRPr="00C56F0E">
        <w:rPr>
          <w:rFonts w:ascii="Times New Roman" w:hAnsi="Times New Roman" w:cs="Times New Roman"/>
          <w:sz w:val="24"/>
          <w:szCs w:val="24"/>
        </w:rPr>
        <w:t xml:space="preserve"> </w:t>
      </w:r>
    </w:p>
    <w:p xmlns:wp14="http://schemas.microsoft.com/office/word/2010/wordml" w:rsidRPr="00C56F0E" w:rsidR="00C56F0E" w:rsidP="00C56F0E" w:rsidRDefault="00C56F0E" w14:paraId="1136C7A2" wp14:textId="77777777">
      <w:pPr>
        <w:spacing w:after="200" w:line="360" w:lineRule="auto"/>
        <w:jc w:val="both"/>
        <w:rPr>
          <w:rFonts w:ascii="Times New Roman" w:hAnsi="Times New Roman" w:cs="Times New Roman"/>
          <w:sz w:val="24"/>
          <w:szCs w:val="24"/>
        </w:rPr>
      </w:pPr>
      <w:r w:rsidRPr="00C56F0E">
        <w:rPr>
          <w:rFonts w:ascii="Times New Roman" w:hAnsi="Times New Roman" w:cs="Times New Roman"/>
          <w:sz w:val="24"/>
          <w:szCs w:val="24"/>
        </w:rPr>
        <w:t>Kerzner, H., 2018. </w:t>
      </w:r>
      <w:r w:rsidRPr="00C56F0E">
        <w:rPr>
          <w:rFonts w:ascii="Times New Roman" w:hAnsi="Times New Roman" w:cs="Times New Roman"/>
          <w:i/>
          <w:iCs/>
          <w:sz w:val="24"/>
          <w:szCs w:val="24"/>
        </w:rPr>
        <w:t>Project management best practices: Achieving global excellence</w:t>
      </w:r>
      <w:r w:rsidRPr="00C56F0E">
        <w:rPr>
          <w:rFonts w:ascii="Times New Roman" w:hAnsi="Times New Roman" w:cs="Times New Roman"/>
          <w:sz w:val="24"/>
          <w:szCs w:val="24"/>
        </w:rPr>
        <w:t xml:space="preserve">. John Wiley &amp; Sons.  </w:t>
      </w:r>
    </w:p>
    <w:p xmlns:wp14="http://schemas.microsoft.com/office/word/2010/wordml" w:rsidRPr="00C56F0E" w:rsidR="00C56F0E" w:rsidP="00C56F0E" w:rsidRDefault="00C56F0E" w14:paraId="1E17E97E" wp14:textId="77777777">
      <w:pPr>
        <w:spacing w:after="200" w:line="360" w:lineRule="auto"/>
        <w:jc w:val="both"/>
        <w:rPr>
          <w:rFonts w:ascii="Times New Roman" w:hAnsi="Times New Roman" w:cs="Times New Roman"/>
          <w:color w:val="222222"/>
          <w:sz w:val="24"/>
          <w:szCs w:val="24"/>
          <w:shd w:val="clear" w:color="auto" w:fill="FFFFFF"/>
        </w:rPr>
      </w:pPr>
      <w:r w:rsidRPr="00C56F0E">
        <w:rPr>
          <w:rFonts w:ascii="Times New Roman" w:hAnsi="Times New Roman" w:cs="Times New Roman"/>
          <w:color w:val="222222"/>
          <w:sz w:val="24"/>
          <w:szCs w:val="24"/>
          <w:shd w:val="clear" w:color="auto" w:fill="FFFFFF"/>
        </w:rPr>
        <w:t>Schneider, Z., Whitehead, D., LoBiondo-Wood, G., Faan, P.R., Haber, J. and Faan, P.R., 2016. </w:t>
      </w:r>
      <w:r w:rsidRPr="00C56F0E">
        <w:rPr>
          <w:rFonts w:ascii="Times New Roman" w:hAnsi="Times New Roman" w:cs="Times New Roman"/>
          <w:i/>
          <w:iCs/>
          <w:color w:val="222222"/>
          <w:sz w:val="24"/>
          <w:szCs w:val="24"/>
          <w:shd w:val="clear" w:color="auto" w:fill="FFFFFF"/>
        </w:rPr>
        <w:t>Nursing and midwifery research: Methods and appraisal for evidence based practice</w:t>
      </w:r>
      <w:r w:rsidRPr="00C56F0E">
        <w:rPr>
          <w:rFonts w:ascii="Times New Roman" w:hAnsi="Times New Roman" w:cs="Times New Roman"/>
          <w:color w:val="222222"/>
          <w:sz w:val="24"/>
          <w:szCs w:val="24"/>
          <w:shd w:val="clear" w:color="auto" w:fill="FFFFFF"/>
        </w:rPr>
        <w:t>. Elsevier.</w:t>
      </w:r>
    </w:p>
    <w:p xmlns:wp14="http://schemas.microsoft.com/office/word/2010/wordml" w:rsidRPr="00C56F0E" w:rsidR="00C56F0E" w:rsidP="00C56F0E" w:rsidRDefault="00C56F0E" w14:paraId="4953DD47" wp14:textId="77777777">
      <w:pPr>
        <w:spacing w:after="200" w:line="360" w:lineRule="auto"/>
        <w:jc w:val="both"/>
        <w:rPr>
          <w:rFonts w:ascii="Times New Roman" w:hAnsi="Times New Roman" w:cs="Times New Roman"/>
          <w:color w:val="222222"/>
          <w:sz w:val="24"/>
          <w:szCs w:val="24"/>
          <w:shd w:val="clear" w:color="auto" w:fill="FFFFFF"/>
        </w:rPr>
      </w:pPr>
      <w:r w:rsidRPr="00C56F0E">
        <w:rPr>
          <w:rFonts w:ascii="Times New Roman" w:hAnsi="Times New Roman" w:cs="Times New Roman"/>
          <w:color w:val="222222"/>
          <w:sz w:val="24"/>
          <w:szCs w:val="24"/>
          <w:shd w:val="clear" w:color="auto" w:fill="FFFFFF"/>
        </w:rPr>
        <w:t>Wille, D., Hoffer, A. and Miller, S.M., 2017. Small-business financing after the financial crisis–lessons from the literature. </w:t>
      </w:r>
      <w:r w:rsidRPr="00C56F0E">
        <w:rPr>
          <w:rFonts w:ascii="Times New Roman" w:hAnsi="Times New Roman" w:cs="Times New Roman"/>
          <w:i/>
          <w:iCs/>
          <w:color w:val="222222"/>
          <w:sz w:val="24"/>
          <w:szCs w:val="24"/>
          <w:shd w:val="clear" w:color="auto" w:fill="FFFFFF"/>
        </w:rPr>
        <w:t>Journal of Entrepreneurship and Public Policy</w:t>
      </w:r>
      <w:r w:rsidRPr="00C56F0E">
        <w:rPr>
          <w:rFonts w:ascii="Times New Roman" w:hAnsi="Times New Roman" w:cs="Times New Roman"/>
          <w:color w:val="222222"/>
          <w:sz w:val="24"/>
          <w:szCs w:val="24"/>
          <w:shd w:val="clear" w:color="auto" w:fill="FFFFFF"/>
        </w:rPr>
        <w:t>, </w:t>
      </w:r>
      <w:r w:rsidRPr="00C56F0E">
        <w:rPr>
          <w:rFonts w:ascii="Times New Roman" w:hAnsi="Times New Roman" w:cs="Times New Roman"/>
          <w:i/>
          <w:iCs/>
          <w:color w:val="222222"/>
          <w:sz w:val="24"/>
          <w:szCs w:val="24"/>
          <w:shd w:val="clear" w:color="auto" w:fill="FFFFFF"/>
        </w:rPr>
        <w:t>6</w:t>
      </w:r>
      <w:r w:rsidRPr="00C56F0E">
        <w:rPr>
          <w:rFonts w:ascii="Times New Roman" w:hAnsi="Times New Roman" w:cs="Times New Roman"/>
          <w:color w:val="222222"/>
          <w:sz w:val="24"/>
          <w:szCs w:val="24"/>
          <w:shd w:val="clear" w:color="auto" w:fill="FFFFFF"/>
        </w:rPr>
        <w:t>(3), pp.315-339.</w:t>
      </w:r>
    </w:p>
    <w:p xmlns:wp14="http://schemas.microsoft.com/office/word/2010/wordml" w:rsidRPr="00C56F0E" w:rsidR="00C23A99" w:rsidP="00C56F0E" w:rsidRDefault="00C23A99" w14:paraId="41C8F396" wp14:textId="77777777">
      <w:pPr>
        <w:spacing w:after="200" w:line="360" w:lineRule="auto"/>
        <w:jc w:val="both"/>
        <w:rPr>
          <w:rFonts w:ascii="Times New Roman" w:hAnsi="Times New Roman" w:cs="Times New Roman"/>
          <w:sz w:val="24"/>
          <w:szCs w:val="24"/>
        </w:rPr>
      </w:pPr>
    </w:p>
    <w:sectPr w:rsidRPr="00C56F0E" w:rsidR="00C23A99" w:rsidSect="008E1117">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2E0E79" w:rsidP="00C56F0E" w:rsidRDefault="002E0E79" w14:paraId="72A3D3EC" wp14:textId="77777777">
      <w:pPr>
        <w:spacing w:after="0" w:line="240" w:lineRule="auto"/>
      </w:pPr>
      <w:r>
        <w:separator/>
      </w:r>
    </w:p>
  </w:endnote>
  <w:endnote w:type="continuationSeparator" w:id="0">
    <w:p xmlns:wp14="http://schemas.microsoft.com/office/word/2010/wordml" w:rsidR="002E0E79" w:rsidP="00C56F0E" w:rsidRDefault="002E0E79" w14:paraId="0D0B940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979330"/>
      <w:docPartObj>
        <w:docPartGallery w:val="Page Numbers (Bottom of Page)"/>
        <w:docPartUnique/>
      </w:docPartObj>
    </w:sdtPr>
    <w:sdtEndPr>
      <w:rPr>
        <w:noProof/>
      </w:rPr>
    </w:sdtEndPr>
    <w:sdtContent>
      <w:p xmlns:wp14="http://schemas.microsoft.com/office/word/2010/wordml" w:rsidR="00C56F0E" w:rsidRDefault="00C56F0E" w14:paraId="2903CBC8" wp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xmlns:wp14="http://schemas.microsoft.com/office/word/2010/wordml" w:rsidR="00C56F0E" w:rsidRDefault="00C56F0E" w14:paraId="44EAFD9C"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2E0E79" w:rsidP="00C56F0E" w:rsidRDefault="002E0E79" w14:paraId="0E27B00A" wp14:textId="77777777">
      <w:pPr>
        <w:spacing w:after="0" w:line="240" w:lineRule="auto"/>
      </w:pPr>
      <w:r>
        <w:separator/>
      </w:r>
    </w:p>
  </w:footnote>
  <w:footnote w:type="continuationSeparator" w:id="0">
    <w:p xmlns:wp14="http://schemas.microsoft.com/office/word/2010/wordml" w:rsidR="002E0E79" w:rsidP="00C56F0E" w:rsidRDefault="002E0E79" w14:paraId="60061E4C"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zMDSzMDUyN7Q0MDVR0lEKTi0uzszPAykwrAUA6xcb4ywAAAA="/>
  </w:docVars>
  <w:rsids>
    <w:rsidRoot w:val="00D916F0"/>
    <w:rsid w:val="002E0E79"/>
    <w:rsid w:val="008E1117"/>
    <w:rsid w:val="009831DF"/>
    <w:rsid w:val="00A91463"/>
    <w:rsid w:val="00B33BB0"/>
    <w:rsid w:val="00C23A99"/>
    <w:rsid w:val="00C56F0E"/>
    <w:rsid w:val="00D53435"/>
    <w:rsid w:val="00D916F0"/>
    <w:rsid w:val="00F64E4F"/>
    <w:rsid w:val="0636A7C7"/>
    <w:rsid w:val="136B79EB"/>
    <w:rsid w:val="16A31AAD"/>
    <w:rsid w:val="17408E84"/>
    <w:rsid w:val="3AB88FF4"/>
    <w:rsid w:val="3DF2F7B3"/>
    <w:rsid w:val="411F2658"/>
    <w:rsid w:val="4188ACD0"/>
    <w:rsid w:val="42F49D04"/>
    <w:rsid w:val="4AE686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97433"/>
  <w15:chartTrackingRefBased/>
  <w15:docId w15:val="{6F605136-B247-4010-86D2-05A6143C43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C23A99"/>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1463"/>
    <w:pPr>
      <w:keepNext/>
      <w:keepLines/>
      <w:spacing w:before="160" w:after="120"/>
      <w:outlineLvl w:val="1"/>
    </w:pPr>
    <w:rPr>
      <w:rFonts w:asciiTheme="majorHAnsi" w:hAnsiTheme="majorHAnsi"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A91463"/>
    <w:pPr>
      <w:keepNext/>
      <w:keepLines/>
      <w:spacing w:before="160" w:after="12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A91463"/>
    <w:rPr>
      <w:rFonts w:asciiTheme="majorHAnsi" w:hAnsiTheme="majorHAnsi" w:eastAsiaTheme="majorEastAsia" w:cstheme="majorBidi"/>
      <w:color w:val="2F5496" w:themeColor="accent1" w:themeShade="BF"/>
      <w:sz w:val="28"/>
      <w:szCs w:val="26"/>
      <w:lang w:val="en-GB"/>
    </w:rPr>
  </w:style>
  <w:style w:type="character" w:styleId="Heading3Char" w:customStyle="1">
    <w:name w:val="Heading 3 Char"/>
    <w:basedOn w:val="DefaultParagraphFont"/>
    <w:link w:val="Heading3"/>
    <w:uiPriority w:val="9"/>
    <w:rsid w:val="00A91463"/>
    <w:rPr>
      <w:rFonts w:asciiTheme="majorHAnsi" w:hAnsiTheme="majorHAnsi" w:eastAsiaTheme="majorEastAsia" w:cstheme="majorBidi"/>
      <w:color w:val="1F3763" w:themeColor="accent1" w:themeShade="7F"/>
      <w:sz w:val="24"/>
      <w:szCs w:val="24"/>
      <w:lang w:val="en-GB"/>
    </w:rPr>
  </w:style>
  <w:style w:type="character" w:styleId="Heading1Char" w:customStyle="1">
    <w:name w:val="Heading 1 Char"/>
    <w:basedOn w:val="DefaultParagraphFont"/>
    <w:link w:val="Heading1"/>
    <w:uiPriority w:val="9"/>
    <w:rsid w:val="00C23A99"/>
    <w:rPr>
      <w:rFonts w:asciiTheme="majorHAnsi" w:hAnsiTheme="majorHAnsi" w:eastAsiaTheme="majorEastAsia" w:cstheme="majorBidi"/>
      <w:color w:val="2F5496" w:themeColor="accent1" w:themeShade="BF"/>
      <w:sz w:val="32"/>
      <w:szCs w:val="32"/>
      <w:lang w:val="en-GB"/>
    </w:rPr>
  </w:style>
  <w:style w:type="character" w:styleId="Hyperlink">
    <w:name w:val="Hyperlink"/>
    <w:basedOn w:val="DefaultParagraphFont"/>
    <w:uiPriority w:val="99"/>
    <w:unhideWhenUsed/>
    <w:rsid w:val="00C56F0E"/>
    <w:rPr>
      <w:color w:val="0563C1" w:themeColor="hyperlink"/>
      <w:u w:val="single"/>
    </w:rPr>
  </w:style>
  <w:style w:type="paragraph" w:styleId="Header">
    <w:name w:val="header"/>
    <w:basedOn w:val="Normal"/>
    <w:link w:val="HeaderChar"/>
    <w:uiPriority w:val="99"/>
    <w:unhideWhenUsed/>
    <w:rsid w:val="00C56F0E"/>
    <w:pPr>
      <w:tabs>
        <w:tab w:val="center" w:pos="4513"/>
        <w:tab w:val="right" w:pos="9026"/>
      </w:tabs>
      <w:spacing w:after="0" w:line="240" w:lineRule="auto"/>
    </w:pPr>
  </w:style>
  <w:style w:type="character" w:styleId="HeaderChar" w:customStyle="1">
    <w:name w:val="Header Char"/>
    <w:basedOn w:val="DefaultParagraphFont"/>
    <w:link w:val="Header"/>
    <w:uiPriority w:val="99"/>
    <w:rsid w:val="00C56F0E"/>
    <w:rPr>
      <w:lang w:val="en-GB"/>
    </w:rPr>
  </w:style>
  <w:style w:type="paragraph" w:styleId="Footer">
    <w:name w:val="footer"/>
    <w:basedOn w:val="Normal"/>
    <w:link w:val="FooterChar"/>
    <w:uiPriority w:val="99"/>
    <w:unhideWhenUsed/>
    <w:rsid w:val="00C56F0E"/>
    <w:pPr>
      <w:tabs>
        <w:tab w:val="center" w:pos="4513"/>
        <w:tab w:val="right" w:pos="9026"/>
      </w:tabs>
      <w:spacing w:after="0" w:line="240" w:lineRule="auto"/>
    </w:pPr>
  </w:style>
  <w:style w:type="character" w:styleId="FooterChar" w:customStyle="1">
    <w:name w:val="Footer Char"/>
    <w:basedOn w:val="DefaultParagraphFont"/>
    <w:link w:val="Footer"/>
    <w:uiPriority w:val="99"/>
    <w:rsid w:val="00C56F0E"/>
    <w:rPr>
      <w:lang w:val="en-GB"/>
    </w:rPr>
  </w:style>
  <w:style w:type="paragraph" w:styleId="TOCHeading">
    <w:name w:val="TOC Heading"/>
    <w:basedOn w:val="Heading1"/>
    <w:next w:val="Normal"/>
    <w:uiPriority w:val="39"/>
    <w:unhideWhenUsed/>
    <w:qFormat/>
    <w:rsid w:val="00C56F0E"/>
    <w:pPr>
      <w:outlineLvl w:val="9"/>
    </w:pPr>
    <w:rPr>
      <w:kern w:val="0"/>
      <w:lang w:val="en-US"/>
      <w14:ligatures w14:val="none"/>
    </w:rPr>
  </w:style>
  <w:style w:type="paragraph" w:styleId="TOC1">
    <w:name w:val="toc 1"/>
    <w:basedOn w:val="Normal"/>
    <w:next w:val="Normal"/>
    <w:autoRedefine/>
    <w:uiPriority w:val="39"/>
    <w:unhideWhenUsed/>
    <w:rsid w:val="00C56F0E"/>
    <w:pPr>
      <w:spacing w:after="100"/>
    </w:pPr>
  </w:style>
  <w:style w:type="paragraph" w:styleId="TOC2">
    <w:name w:val="toc 2"/>
    <w:basedOn w:val="Normal"/>
    <w:next w:val="Normal"/>
    <w:autoRedefine/>
    <w:uiPriority w:val="39"/>
    <w:unhideWhenUsed/>
    <w:rsid w:val="00C56F0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16693">
      <w:bodyDiv w:val="1"/>
      <w:marLeft w:val="0"/>
      <w:marRight w:val="0"/>
      <w:marTop w:val="0"/>
      <w:marBottom w:val="0"/>
      <w:divBdr>
        <w:top w:val="none" w:sz="0" w:space="0" w:color="auto"/>
        <w:left w:val="none" w:sz="0" w:space="0" w:color="auto"/>
        <w:bottom w:val="none" w:sz="0" w:space="0" w:color="auto"/>
        <w:right w:val="none" w:sz="0" w:space="0" w:color="auto"/>
      </w:divBdr>
    </w:div>
    <w:div w:id="504632814">
      <w:bodyDiv w:val="1"/>
      <w:marLeft w:val="0"/>
      <w:marRight w:val="0"/>
      <w:marTop w:val="0"/>
      <w:marBottom w:val="0"/>
      <w:divBdr>
        <w:top w:val="none" w:sz="0" w:space="0" w:color="auto"/>
        <w:left w:val="none" w:sz="0" w:space="0" w:color="auto"/>
        <w:bottom w:val="none" w:sz="0" w:space="0" w:color="auto"/>
        <w:right w:val="none" w:sz="0" w:space="0" w:color="auto"/>
      </w:divBdr>
    </w:div>
    <w:div w:id="917321417">
      <w:bodyDiv w:val="1"/>
      <w:marLeft w:val="0"/>
      <w:marRight w:val="0"/>
      <w:marTop w:val="0"/>
      <w:marBottom w:val="0"/>
      <w:divBdr>
        <w:top w:val="none" w:sz="0" w:space="0" w:color="auto"/>
        <w:left w:val="none" w:sz="0" w:space="0" w:color="auto"/>
        <w:bottom w:val="none" w:sz="0" w:space="0" w:color="auto"/>
        <w:right w:val="none" w:sz="0" w:space="0" w:color="auto"/>
      </w:divBdr>
    </w:div>
    <w:div w:id="1136218702">
      <w:bodyDiv w:val="1"/>
      <w:marLeft w:val="0"/>
      <w:marRight w:val="0"/>
      <w:marTop w:val="0"/>
      <w:marBottom w:val="0"/>
      <w:divBdr>
        <w:top w:val="none" w:sz="0" w:space="0" w:color="auto"/>
        <w:left w:val="none" w:sz="0" w:space="0" w:color="auto"/>
        <w:bottom w:val="none" w:sz="0" w:space="0" w:color="auto"/>
        <w:right w:val="none" w:sz="0" w:space="0" w:color="auto"/>
      </w:divBdr>
    </w:div>
    <w:div w:id="1177580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ifc.org/wps/wcm/connect/067d6a0c-f1b5-4457-97aa-2982a7dfda69/EMCompass+Note+42+DFS+Challenges+updated.pdf?MOD=AJPERES&amp;CVID=lTM-26u" TargetMode="External" Id="rId8" /><Relationship Type="http://schemas.openxmlformats.org/officeDocument/2006/relationships/settings" Target="settings.xml" Id="rId3" /><Relationship Type="http://schemas.openxmlformats.org/officeDocument/2006/relationships/hyperlink" Target="https://www.bt.com/about/investors/individual-shareholders/dividends" TargetMode="Externa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glossaryDocument" Target="glossary/document.xml" Id="Ra742b059f776469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08eb768-d399-4557-b6eb-d33508c57899}"/>
      </w:docPartPr>
      <w:docPartBody>
        <w:p w14:paraId="6F60DC9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4232-273A-452F-80D2-1B9BFCD0452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lenovo</dc:creator>
  <keywords/>
  <dc:description/>
  <lastModifiedBy>Corina Cirstea (2007930)</lastModifiedBy>
  <revision>4</revision>
  <dcterms:created xsi:type="dcterms:W3CDTF">2023-05-04T13:47:00.0000000Z</dcterms:created>
  <dcterms:modified xsi:type="dcterms:W3CDTF">2023-05-05T19:57:31.3457340Z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2a5e193e-a471-4d04-843c-fa29f75cdc99</vt:lpwstr>
  </property>
</Properties>
</file>