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0D85AC" w14:textId="77777777" w:rsidR="009D3ED7" w:rsidRDefault="009D3ED7" w:rsidP="002C5996">
      <w:pPr>
        <w:rPr>
          <w:rFonts w:ascii="Arial" w:hAnsi="Arial" w:cs="Arial"/>
          <w:b/>
          <w:bCs/>
          <w:sz w:val="22"/>
          <w:szCs w:val="22"/>
        </w:rPr>
      </w:pPr>
    </w:p>
    <w:p w14:paraId="22B07CDE" w14:textId="77777777" w:rsidR="009D3ED7" w:rsidRPr="009D3ED7" w:rsidRDefault="009D3ED7" w:rsidP="002C5996">
      <w:pPr>
        <w:rPr>
          <w:rFonts w:ascii="Arial" w:hAnsi="Arial" w:cs="Arial"/>
          <w:b/>
          <w:bCs/>
          <w:sz w:val="28"/>
          <w:szCs w:val="28"/>
        </w:rPr>
      </w:pPr>
    </w:p>
    <w:p w14:paraId="24A28C51" w14:textId="77777777" w:rsidR="009D3ED7" w:rsidRPr="009D3ED7" w:rsidRDefault="009D3ED7" w:rsidP="009D3ED7">
      <w:pPr>
        <w:jc w:val="center"/>
        <w:rPr>
          <w:rFonts w:ascii="Arial" w:hAnsi="Arial" w:cs="Arial"/>
          <w:b/>
          <w:bCs/>
          <w:sz w:val="28"/>
          <w:szCs w:val="28"/>
        </w:rPr>
      </w:pPr>
      <w:r w:rsidRPr="009D3ED7">
        <w:rPr>
          <w:rFonts w:ascii="Arial" w:hAnsi="Arial" w:cs="Arial"/>
          <w:b/>
          <w:bCs/>
          <w:sz w:val="28"/>
          <w:szCs w:val="28"/>
        </w:rPr>
        <w:t xml:space="preserve">Name: </w:t>
      </w:r>
      <w:proofErr w:type="spellStart"/>
      <w:r w:rsidRPr="009D3ED7">
        <w:rPr>
          <w:rFonts w:ascii="Arial" w:hAnsi="Arial" w:cs="Arial"/>
          <w:b/>
          <w:bCs/>
          <w:sz w:val="28"/>
          <w:szCs w:val="28"/>
        </w:rPr>
        <w:t>Shabila</w:t>
      </w:r>
      <w:proofErr w:type="spellEnd"/>
      <w:r w:rsidRPr="009D3ED7">
        <w:rPr>
          <w:rFonts w:ascii="Arial" w:hAnsi="Arial" w:cs="Arial"/>
          <w:b/>
          <w:bCs/>
          <w:sz w:val="28"/>
          <w:szCs w:val="28"/>
        </w:rPr>
        <w:t xml:space="preserve"> Hussain</w:t>
      </w:r>
    </w:p>
    <w:p w14:paraId="0AEDB8C0" w14:textId="77777777" w:rsidR="009D3ED7" w:rsidRPr="009D3ED7" w:rsidRDefault="009D3ED7" w:rsidP="009D3ED7">
      <w:pPr>
        <w:jc w:val="center"/>
        <w:rPr>
          <w:rFonts w:ascii="Arial" w:hAnsi="Arial" w:cs="Arial"/>
          <w:b/>
          <w:bCs/>
          <w:sz w:val="28"/>
          <w:szCs w:val="28"/>
        </w:rPr>
      </w:pPr>
      <w:r w:rsidRPr="009D3ED7">
        <w:rPr>
          <w:rFonts w:ascii="Arial" w:hAnsi="Arial" w:cs="Arial"/>
          <w:b/>
          <w:bCs/>
          <w:sz w:val="28"/>
          <w:szCs w:val="28"/>
        </w:rPr>
        <w:t>Student Number: 2410302</w:t>
      </w:r>
    </w:p>
    <w:p w14:paraId="5CD54F80" w14:textId="1AD51F1C" w:rsidR="009D3ED7" w:rsidRPr="009D3ED7" w:rsidRDefault="009D3ED7" w:rsidP="009D3ED7">
      <w:pPr>
        <w:jc w:val="center"/>
        <w:rPr>
          <w:rFonts w:ascii="Arial" w:hAnsi="Arial" w:cs="Arial"/>
          <w:b/>
          <w:bCs/>
          <w:sz w:val="28"/>
          <w:szCs w:val="28"/>
        </w:rPr>
      </w:pPr>
      <w:r w:rsidRPr="009D3ED7">
        <w:rPr>
          <w:rFonts w:ascii="Arial" w:hAnsi="Arial" w:cs="Arial"/>
          <w:b/>
          <w:bCs/>
          <w:sz w:val="28"/>
          <w:szCs w:val="28"/>
        </w:rPr>
        <w:t>Module Code: LCHS4010</w:t>
      </w:r>
    </w:p>
    <w:p w14:paraId="7E57D2B7" w14:textId="649E828A" w:rsidR="009D3ED7" w:rsidRPr="009D3ED7" w:rsidRDefault="009D3ED7" w:rsidP="009D3ED7">
      <w:pPr>
        <w:jc w:val="center"/>
        <w:rPr>
          <w:rFonts w:ascii="Arial" w:hAnsi="Arial" w:cs="Arial"/>
          <w:b/>
          <w:bCs/>
          <w:sz w:val="28"/>
          <w:szCs w:val="28"/>
        </w:rPr>
      </w:pPr>
      <w:r w:rsidRPr="009D3ED7">
        <w:rPr>
          <w:rFonts w:ascii="Arial" w:hAnsi="Arial" w:cs="Arial"/>
          <w:b/>
          <w:bCs/>
          <w:sz w:val="28"/>
          <w:szCs w:val="28"/>
        </w:rPr>
        <w:t>Module Title: Psychology in Health and Social Care</w:t>
      </w:r>
    </w:p>
    <w:p w14:paraId="0A3BA1EE" w14:textId="325BEA39" w:rsidR="009D3ED7" w:rsidRPr="009D3ED7" w:rsidRDefault="009D3ED7" w:rsidP="009D3ED7">
      <w:pPr>
        <w:jc w:val="center"/>
        <w:rPr>
          <w:rFonts w:ascii="Arial" w:hAnsi="Arial" w:cs="Arial"/>
          <w:b/>
          <w:bCs/>
          <w:sz w:val="28"/>
          <w:szCs w:val="28"/>
        </w:rPr>
      </w:pPr>
      <w:r w:rsidRPr="009D3ED7">
        <w:rPr>
          <w:rFonts w:ascii="Arial" w:hAnsi="Arial" w:cs="Arial"/>
          <w:b/>
          <w:bCs/>
          <w:sz w:val="28"/>
          <w:szCs w:val="28"/>
        </w:rPr>
        <w:t>Lecturer Name: Samuel Assan</w:t>
      </w:r>
    </w:p>
    <w:p w14:paraId="5B0B01C7" w14:textId="2CBFED38" w:rsidR="009D3ED7" w:rsidRPr="009D3ED7" w:rsidRDefault="009D3ED7" w:rsidP="009D3ED7">
      <w:pPr>
        <w:jc w:val="center"/>
        <w:rPr>
          <w:rFonts w:ascii="Arial" w:hAnsi="Arial" w:cs="Arial"/>
          <w:b/>
          <w:bCs/>
          <w:sz w:val="28"/>
          <w:szCs w:val="28"/>
        </w:rPr>
      </w:pPr>
      <w:r w:rsidRPr="009D3ED7">
        <w:rPr>
          <w:rFonts w:ascii="Arial" w:hAnsi="Arial" w:cs="Arial"/>
          <w:b/>
          <w:bCs/>
          <w:sz w:val="28"/>
          <w:szCs w:val="28"/>
        </w:rPr>
        <w:t>Assignment Title: Written assignment</w:t>
      </w:r>
    </w:p>
    <w:p w14:paraId="2A0AE88F" w14:textId="77777777" w:rsidR="009D3ED7" w:rsidRDefault="009D3ED7" w:rsidP="002C5996">
      <w:pPr>
        <w:rPr>
          <w:rFonts w:ascii="Arial" w:hAnsi="Arial" w:cs="Arial"/>
          <w:b/>
          <w:bCs/>
          <w:sz w:val="22"/>
          <w:szCs w:val="22"/>
        </w:rPr>
      </w:pPr>
    </w:p>
    <w:p w14:paraId="32CDA367" w14:textId="77777777" w:rsidR="009D3ED7" w:rsidRDefault="009D3ED7" w:rsidP="002C5996">
      <w:pPr>
        <w:rPr>
          <w:rFonts w:ascii="Arial" w:hAnsi="Arial" w:cs="Arial"/>
          <w:b/>
          <w:bCs/>
          <w:sz w:val="22"/>
          <w:szCs w:val="22"/>
        </w:rPr>
      </w:pPr>
    </w:p>
    <w:p w14:paraId="7944328B" w14:textId="77777777" w:rsidR="009D3ED7" w:rsidRDefault="009D3ED7" w:rsidP="002C5996">
      <w:pPr>
        <w:rPr>
          <w:rFonts w:ascii="Arial" w:hAnsi="Arial" w:cs="Arial"/>
          <w:b/>
          <w:bCs/>
          <w:sz w:val="22"/>
          <w:szCs w:val="22"/>
        </w:rPr>
      </w:pPr>
    </w:p>
    <w:p w14:paraId="55FAD1D4" w14:textId="77777777" w:rsidR="009D3ED7" w:rsidRDefault="009D3ED7" w:rsidP="002C5996">
      <w:pPr>
        <w:rPr>
          <w:rFonts w:ascii="Arial" w:hAnsi="Arial" w:cs="Arial"/>
          <w:b/>
          <w:bCs/>
          <w:sz w:val="22"/>
          <w:szCs w:val="22"/>
        </w:rPr>
      </w:pPr>
    </w:p>
    <w:p w14:paraId="3A95D9C1" w14:textId="77777777" w:rsidR="009D3ED7" w:rsidRDefault="009D3ED7" w:rsidP="002C5996">
      <w:pPr>
        <w:rPr>
          <w:rFonts w:ascii="Arial" w:hAnsi="Arial" w:cs="Arial"/>
          <w:b/>
          <w:bCs/>
          <w:sz w:val="22"/>
          <w:szCs w:val="22"/>
        </w:rPr>
      </w:pPr>
    </w:p>
    <w:p w14:paraId="30D21E58" w14:textId="77777777" w:rsidR="009D3ED7" w:rsidRDefault="009D3ED7" w:rsidP="002C5996">
      <w:pPr>
        <w:rPr>
          <w:rFonts w:ascii="Arial" w:hAnsi="Arial" w:cs="Arial"/>
          <w:b/>
          <w:bCs/>
          <w:sz w:val="22"/>
          <w:szCs w:val="22"/>
        </w:rPr>
      </w:pPr>
    </w:p>
    <w:p w14:paraId="27841078" w14:textId="77777777" w:rsidR="009D3ED7" w:rsidRDefault="009D3ED7" w:rsidP="002C5996">
      <w:pPr>
        <w:rPr>
          <w:rFonts w:ascii="Arial" w:hAnsi="Arial" w:cs="Arial"/>
          <w:b/>
          <w:bCs/>
          <w:sz w:val="22"/>
          <w:szCs w:val="22"/>
        </w:rPr>
      </w:pPr>
    </w:p>
    <w:p w14:paraId="7C5EA84C" w14:textId="77777777" w:rsidR="009D3ED7" w:rsidRDefault="009D3ED7" w:rsidP="002C5996">
      <w:pPr>
        <w:rPr>
          <w:rFonts w:ascii="Arial" w:hAnsi="Arial" w:cs="Arial"/>
          <w:b/>
          <w:bCs/>
          <w:sz w:val="22"/>
          <w:szCs w:val="22"/>
        </w:rPr>
      </w:pPr>
    </w:p>
    <w:p w14:paraId="73E2A769" w14:textId="77777777" w:rsidR="009D3ED7" w:rsidRDefault="009D3ED7" w:rsidP="002C5996">
      <w:pPr>
        <w:rPr>
          <w:rFonts w:ascii="Arial" w:hAnsi="Arial" w:cs="Arial"/>
          <w:b/>
          <w:bCs/>
          <w:sz w:val="22"/>
          <w:szCs w:val="22"/>
        </w:rPr>
      </w:pPr>
    </w:p>
    <w:p w14:paraId="21EF4776" w14:textId="77777777" w:rsidR="009D3ED7" w:rsidRDefault="009D3ED7" w:rsidP="002C5996">
      <w:pPr>
        <w:rPr>
          <w:rFonts w:ascii="Arial" w:hAnsi="Arial" w:cs="Arial"/>
          <w:b/>
          <w:bCs/>
          <w:sz w:val="22"/>
          <w:szCs w:val="22"/>
        </w:rPr>
      </w:pPr>
    </w:p>
    <w:p w14:paraId="3E386C49" w14:textId="77777777" w:rsidR="009D3ED7" w:rsidRDefault="009D3ED7" w:rsidP="002C5996">
      <w:pPr>
        <w:rPr>
          <w:rFonts w:ascii="Arial" w:hAnsi="Arial" w:cs="Arial"/>
          <w:b/>
          <w:bCs/>
          <w:sz w:val="22"/>
          <w:szCs w:val="22"/>
        </w:rPr>
      </w:pPr>
    </w:p>
    <w:p w14:paraId="112584B3" w14:textId="77777777" w:rsidR="009D3ED7" w:rsidRDefault="009D3ED7" w:rsidP="002C5996">
      <w:pPr>
        <w:rPr>
          <w:rFonts w:ascii="Arial" w:hAnsi="Arial" w:cs="Arial"/>
          <w:b/>
          <w:bCs/>
          <w:sz w:val="22"/>
          <w:szCs w:val="22"/>
        </w:rPr>
      </w:pPr>
    </w:p>
    <w:p w14:paraId="7D36E24A" w14:textId="77777777" w:rsidR="009D3ED7" w:rsidRDefault="009D3ED7" w:rsidP="002C5996">
      <w:pPr>
        <w:rPr>
          <w:rFonts w:ascii="Arial" w:hAnsi="Arial" w:cs="Arial"/>
          <w:b/>
          <w:bCs/>
          <w:sz w:val="22"/>
          <w:szCs w:val="22"/>
        </w:rPr>
      </w:pPr>
    </w:p>
    <w:p w14:paraId="765D4B11" w14:textId="77777777" w:rsidR="009D3ED7" w:rsidRDefault="009D3ED7" w:rsidP="002C5996">
      <w:pPr>
        <w:rPr>
          <w:rFonts w:ascii="Arial" w:hAnsi="Arial" w:cs="Arial"/>
          <w:b/>
          <w:bCs/>
          <w:sz w:val="22"/>
          <w:szCs w:val="22"/>
        </w:rPr>
      </w:pPr>
    </w:p>
    <w:p w14:paraId="034D783C" w14:textId="77777777" w:rsidR="009D3ED7" w:rsidRDefault="009D3ED7" w:rsidP="002C5996">
      <w:pPr>
        <w:rPr>
          <w:rFonts w:ascii="Arial" w:hAnsi="Arial" w:cs="Arial"/>
          <w:b/>
          <w:bCs/>
          <w:sz w:val="22"/>
          <w:szCs w:val="22"/>
        </w:rPr>
      </w:pPr>
    </w:p>
    <w:p w14:paraId="7953EF00" w14:textId="77777777" w:rsidR="009D3ED7" w:rsidRDefault="009D3ED7" w:rsidP="002C5996">
      <w:pPr>
        <w:rPr>
          <w:rFonts w:ascii="Arial" w:hAnsi="Arial" w:cs="Arial"/>
          <w:b/>
          <w:bCs/>
          <w:sz w:val="22"/>
          <w:szCs w:val="22"/>
        </w:rPr>
      </w:pPr>
    </w:p>
    <w:p w14:paraId="67C2A816" w14:textId="77777777" w:rsidR="009D3ED7" w:rsidRDefault="009D3ED7" w:rsidP="002C5996">
      <w:pPr>
        <w:rPr>
          <w:rFonts w:ascii="Arial" w:hAnsi="Arial" w:cs="Arial"/>
          <w:b/>
          <w:bCs/>
          <w:sz w:val="22"/>
          <w:szCs w:val="22"/>
        </w:rPr>
      </w:pPr>
    </w:p>
    <w:p w14:paraId="5FB30484" w14:textId="77777777" w:rsidR="009D3ED7" w:rsidRDefault="009D3ED7" w:rsidP="002C5996">
      <w:pPr>
        <w:rPr>
          <w:rFonts w:ascii="Arial" w:hAnsi="Arial" w:cs="Arial"/>
          <w:b/>
          <w:bCs/>
          <w:sz w:val="22"/>
          <w:szCs w:val="22"/>
        </w:rPr>
      </w:pPr>
    </w:p>
    <w:p w14:paraId="1C4A866C" w14:textId="77777777" w:rsidR="009D3ED7" w:rsidRDefault="009D3ED7" w:rsidP="002C5996">
      <w:pPr>
        <w:rPr>
          <w:rFonts w:ascii="Arial" w:hAnsi="Arial" w:cs="Arial"/>
          <w:b/>
          <w:bCs/>
          <w:sz w:val="22"/>
          <w:szCs w:val="22"/>
        </w:rPr>
      </w:pPr>
    </w:p>
    <w:p w14:paraId="7660C83B" w14:textId="77777777" w:rsidR="009D3ED7" w:rsidRDefault="009D3ED7" w:rsidP="002C5996">
      <w:pPr>
        <w:rPr>
          <w:rFonts w:ascii="Arial" w:hAnsi="Arial" w:cs="Arial"/>
          <w:b/>
          <w:bCs/>
          <w:sz w:val="22"/>
          <w:szCs w:val="22"/>
        </w:rPr>
      </w:pPr>
    </w:p>
    <w:p w14:paraId="4C617072" w14:textId="77777777" w:rsidR="009D3ED7" w:rsidRDefault="009D3ED7" w:rsidP="002C5996">
      <w:pPr>
        <w:rPr>
          <w:rFonts w:ascii="Arial" w:hAnsi="Arial" w:cs="Arial"/>
          <w:b/>
          <w:bCs/>
          <w:sz w:val="22"/>
          <w:szCs w:val="22"/>
        </w:rPr>
      </w:pPr>
    </w:p>
    <w:p w14:paraId="5FCC44D5" w14:textId="77777777" w:rsidR="009D3ED7" w:rsidRDefault="009D3ED7" w:rsidP="002C5996">
      <w:pPr>
        <w:rPr>
          <w:rFonts w:ascii="Arial" w:hAnsi="Arial" w:cs="Arial"/>
          <w:b/>
          <w:bCs/>
          <w:sz w:val="22"/>
          <w:szCs w:val="22"/>
        </w:rPr>
      </w:pPr>
    </w:p>
    <w:p w14:paraId="457222BB" w14:textId="71173C1B" w:rsidR="002C5996" w:rsidRPr="002C5996" w:rsidRDefault="002C5996" w:rsidP="002C5996">
      <w:pPr>
        <w:rPr>
          <w:rFonts w:ascii="Arial" w:hAnsi="Arial" w:cs="Arial"/>
          <w:b/>
          <w:bCs/>
          <w:sz w:val="22"/>
          <w:szCs w:val="22"/>
        </w:rPr>
      </w:pPr>
      <w:r w:rsidRPr="002C5996">
        <w:rPr>
          <w:rFonts w:ascii="Arial" w:hAnsi="Arial" w:cs="Arial"/>
          <w:b/>
          <w:bCs/>
          <w:sz w:val="22"/>
          <w:szCs w:val="22"/>
        </w:rPr>
        <w:lastRenderedPageBreak/>
        <w:t xml:space="preserve">Introduction </w:t>
      </w:r>
    </w:p>
    <w:p w14:paraId="33F09A4A" w14:textId="77777777" w:rsidR="002C5996" w:rsidRPr="002C5996" w:rsidRDefault="002C5996" w:rsidP="002C5996">
      <w:pPr>
        <w:rPr>
          <w:rFonts w:ascii="Arial" w:hAnsi="Arial" w:cs="Arial"/>
          <w:sz w:val="22"/>
          <w:szCs w:val="22"/>
        </w:rPr>
      </w:pPr>
      <w:r w:rsidRPr="002C5996">
        <w:rPr>
          <w:rFonts w:ascii="Arial" w:hAnsi="Arial" w:cs="Arial"/>
          <w:sz w:val="22"/>
          <w:szCs w:val="22"/>
        </w:rPr>
        <w:t xml:space="preserve">The purpose of this report is to examine how psychological theories can be applied to support older adults aged 65 years and above who are living with dementia in residential care homes. Dementia tends to interfere with memory, identity and social connectedness, and causes emotional distress and dependency challenging both the patient and the caregiver. Psychological knowledge in such a situation is critical to make care practices not only address the physical needs but also develop emotional security and psychosocial wellbeing. This essay employs Attachment Theory and Psychosocial Theory of Development to </w:t>
      </w:r>
      <w:proofErr w:type="spellStart"/>
      <w:r w:rsidRPr="002C5996">
        <w:rPr>
          <w:rFonts w:ascii="Arial" w:hAnsi="Arial" w:cs="Arial"/>
          <w:sz w:val="22"/>
          <w:szCs w:val="22"/>
        </w:rPr>
        <w:t>analyze</w:t>
      </w:r>
      <w:proofErr w:type="spellEnd"/>
      <w:r w:rsidRPr="002C5996">
        <w:rPr>
          <w:rFonts w:ascii="Arial" w:hAnsi="Arial" w:cs="Arial"/>
          <w:sz w:val="22"/>
          <w:szCs w:val="22"/>
        </w:rPr>
        <w:t xml:space="preserve"> the psychological health issues among the old people.  </w:t>
      </w:r>
    </w:p>
    <w:p w14:paraId="305BDAC8" w14:textId="77777777" w:rsidR="002C5996" w:rsidRPr="002C5996" w:rsidRDefault="002C5996" w:rsidP="002C5996">
      <w:pPr>
        <w:rPr>
          <w:rFonts w:ascii="Arial" w:hAnsi="Arial" w:cs="Arial"/>
          <w:sz w:val="22"/>
          <w:szCs w:val="22"/>
        </w:rPr>
      </w:pPr>
    </w:p>
    <w:p w14:paraId="4EE4F296" w14:textId="77777777" w:rsidR="002C5996" w:rsidRPr="002C5996" w:rsidRDefault="002C5996" w:rsidP="002C5996">
      <w:pPr>
        <w:rPr>
          <w:rFonts w:ascii="Arial" w:hAnsi="Arial" w:cs="Arial"/>
          <w:b/>
          <w:bCs/>
          <w:sz w:val="22"/>
          <w:szCs w:val="22"/>
        </w:rPr>
      </w:pPr>
      <w:r w:rsidRPr="002C5996">
        <w:rPr>
          <w:rFonts w:ascii="Arial" w:hAnsi="Arial" w:cs="Arial"/>
          <w:b/>
          <w:bCs/>
          <w:sz w:val="22"/>
          <w:szCs w:val="22"/>
        </w:rPr>
        <w:t xml:space="preserve">Attachment Theory </w:t>
      </w:r>
    </w:p>
    <w:p w14:paraId="3DFAFBB8" w14:textId="77777777" w:rsidR="002C5996" w:rsidRPr="002C5996" w:rsidRDefault="002C5996" w:rsidP="002C5996">
      <w:pPr>
        <w:rPr>
          <w:rFonts w:ascii="Arial" w:hAnsi="Arial" w:cs="Arial"/>
          <w:sz w:val="22"/>
          <w:szCs w:val="22"/>
        </w:rPr>
      </w:pPr>
      <w:r w:rsidRPr="002C5996">
        <w:rPr>
          <w:rFonts w:ascii="Arial" w:hAnsi="Arial" w:cs="Arial"/>
          <w:sz w:val="22"/>
          <w:szCs w:val="22"/>
        </w:rPr>
        <w:t xml:space="preserve">Attachment Theory developed by John Bowlby (1969) is concerned with the development of behaviour and well-being throughout the lifespan with reference to the earliest emotional attachments. It forms basis of understanding the influence of the earliest emotional attachments. According to the theory, human beings have a biological tendency of developing intimate relationships that offer security, safety, and emotional control (Goodwin, 2003). These attachment bonds which are normally developed between infants and caregivers can be used as a prototype to subsequent social and emotional associations (Browne and </w:t>
      </w:r>
      <w:proofErr w:type="spellStart"/>
      <w:r w:rsidRPr="002C5996">
        <w:rPr>
          <w:rFonts w:ascii="Arial" w:hAnsi="Arial" w:cs="Arial"/>
          <w:sz w:val="22"/>
          <w:szCs w:val="22"/>
        </w:rPr>
        <w:t>Shlosberg</w:t>
      </w:r>
      <w:proofErr w:type="spellEnd"/>
      <w:r w:rsidRPr="002C5996">
        <w:rPr>
          <w:rFonts w:ascii="Arial" w:hAnsi="Arial" w:cs="Arial"/>
          <w:sz w:val="22"/>
          <w:szCs w:val="22"/>
        </w:rPr>
        <w:t xml:space="preserve">, 2006). The key elements of the theory are the ideas of the secure base and the internal working model that mean the mental images individuals form about themselves and other people depending on their early attachment experiences. These internal models affect the way people work to find comfort, react to the stress, and sustain relationships in life (Van Assche et al., 2013).  </w:t>
      </w:r>
    </w:p>
    <w:p w14:paraId="6097A99E" w14:textId="77777777" w:rsidR="002C5996" w:rsidRPr="002C5996" w:rsidRDefault="002C5996" w:rsidP="002C5996">
      <w:pPr>
        <w:rPr>
          <w:rFonts w:ascii="Arial" w:hAnsi="Arial" w:cs="Arial"/>
          <w:sz w:val="22"/>
          <w:szCs w:val="22"/>
        </w:rPr>
      </w:pPr>
    </w:p>
    <w:p w14:paraId="35530231" w14:textId="77777777" w:rsidR="002C5996" w:rsidRPr="002C5996" w:rsidRDefault="002C5996" w:rsidP="002C5996">
      <w:pPr>
        <w:rPr>
          <w:rFonts w:ascii="Arial" w:hAnsi="Arial" w:cs="Arial"/>
          <w:sz w:val="22"/>
          <w:szCs w:val="22"/>
        </w:rPr>
      </w:pPr>
      <w:r w:rsidRPr="002C5996">
        <w:rPr>
          <w:rFonts w:ascii="Arial" w:hAnsi="Arial" w:cs="Arial"/>
          <w:sz w:val="22"/>
          <w:szCs w:val="22"/>
        </w:rPr>
        <w:t xml:space="preserve">Attachment behaviours can re-surface more with age particularly after 65 years because people lose independence and are becoming more dependent on other people to assist them. Attached anxiety is common in elderly people because of the fear of being abandoned, lonely, or being institutionalised (Bradley and Cafferty, 2001). These attachments are even more intense in the case of dementia. The gradual dementia and forgetfulness of identity may trigger the desire of safe, emotional attachment, as people want to feel safe and familiar with each other to offset cognitive confusion (Browne and </w:t>
      </w:r>
      <w:proofErr w:type="spellStart"/>
      <w:r w:rsidRPr="002C5996">
        <w:rPr>
          <w:rFonts w:ascii="Arial" w:hAnsi="Arial" w:cs="Arial"/>
          <w:sz w:val="22"/>
          <w:szCs w:val="22"/>
        </w:rPr>
        <w:t>Shlosberg</w:t>
      </w:r>
      <w:proofErr w:type="spellEnd"/>
      <w:r w:rsidRPr="002C5996">
        <w:rPr>
          <w:rFonts w:ascii="Arial" w:hAnsi="Arial" w:cs="Arial"/>
          <w:sz w:val="22"/>
          <w:szCs w:val="22"/>
        </w:rPr>
        <w:t xml:space="preserve">, 2006). Studies have been able to demonstrate that the older adults who are securely attached have been found to have a higher resilience psychologically, a lesser anxiety and a higher quality of life than the insecurely attached ones (Bodner and Cohen-Fridel, 2010). This shows the applicability of the theory in the context of explaining how attachment security has the potential to cushion against emotional distress and facilitate wellbeing during late adulthood. </w:t>
      </w:r>
    </w:p>
    <w:p w14:paraId="43082FB0" w14:textId="77777777" w:rsidR="005D083C" w:rsidRDefault="005D083C" w:rsidP="002C5996">
      <w:pPr>
        <w:rPr>
          <w:rFonts w:ascii="Arial" w:hAnsi="Arial" w:cs="Arial"/>
          <w:sz w:val="22"/>
          <w:szCs w:val="22"/>
        </w:rPr>
      </w:pPr>
    </w:p>
    <w:p w14:paraId="7A4A369C" w14:textId="6AD330E8" w:rsidR="002C5996" w:rsidRPr="002C5996" w:rsidRDefault="002C5996" w:rsidP="002C5996">
      <w:pPr>
        <w:rPr>
          <w:rFonts w:ascii="Arial" w:hAnsi="Arial" w:cs="Arial"/>
          <w:sz w:val="22"/>
          <w:szCs w:val="22"/>
        </w:rPr>
      </w:pPr>
      <w:r w:rsidRPr="002C5996">
        <w:rPr>
          <w:rFonts w:ascii="Arial" w:hAnsi="Arial" w:cs="Arial"/>
          <w:sz w:val="22"/>
          <w:szCs w:val="22"/>
        </w:rPr>
        <w:t xml:space="preserve">Dementia care settings may significantly benefit person-centred practice by being aware of the attachment theory. Persons with dementia present themselves in terms of wandering, agitating or withdrawing </w:t>
      </w:r>
      <w:proofErr w:type="spellStart"/>
      <w:r w:rsidRPr="002C5996">
        <w:rPr>
          <w:rFonts w:ascii="Arial" w:hAnsi="Arial" w:cs="Arial"/>
          <w:sz w:val="22"/>
          <w:szCs w:val="22"/>
        </w:rPr>
        <w:t>behaviors</w:t>
      </w:r>
      <w:proofErr w:type="spellEnd"/>
      <w:r w:rsidRPr="002C5996">
        <w:rPr>
          <w:rFonts w:ascii="Arial" w:hAnsi="Arial" w:cs="Arial"/>
          <w:sz w:val="22"/>
          <w:szCs w:val="22"/>
        </w:rPr>
        <w:t xml:space="preserve">, which might be seen as manifestations of attachment needs and not mere symptoms of the illness (Goodwin, 2003). Therefore, noticing such behaviours as indicators of distress or fear, staff must be able to react with empathy and reliability, thus giving them the feeling of safety and predictability. Life review therapy or </w:t>
      </w:r>
      <w:r w:rsidRPr="002C5996">
        <w:rPr>
          <w:rFonts w:ascii="Arial" w:hAnsi="Arial" w:cs="Arial"/>
          <w:sz w:val="22"/>
          <w:szCs w:val="22"/>
        </w:rPr>
        <w:lastRenderedPageBreak/>
        <w:t>reminiscence sessions can be used as the interventions strengthening emotional security by making people reconnect with meaningful memories and relationships. These activities assist in continuing identity state and minimizing existential hopelessness by strengthening a sense of belonging and meaning (Pietromonaco, Uchino and Dunkel Schetter, 2013). Additionally, regular caregiving patterns between the staff and residents can also be used as a safe platform where residents can feel less anxious and reduce behavioural disturbances (</w:t>
      </w:r>
      <w:proofErr w:type="spellStart"/>
      <w:r w:rsidRPr="002C5996">
        <w:rPr>
          <w:rFonts w:ascii="Arial" w:hAnsi="Arial" w:cs="Arial"/>
          <w:sz w:val="22"/>
          <w:szCs w:val="22"/>
        </w:rPr>
        <w:t>Kafetsios</w:t>
      </w:r>
      <w:proofErr w:type="spellEnd"/>
      <w:r w:rsidRPr="002C5996">
        <w:rPr>
          <w:rFonts w:ascii="Arial" w:hAnsi="Arial" w:cs="Arial"/>
          <w:sz w:val="22"/>
          <w:szCs w:val="22"/>
        </w:rPr>
        <w:t xml:space="preserve"> and </w:t>
      </w:r>
      <w:proofErr w:type="spellStart"/>
      <w:r w:rsidRPr="002C5996">
        <w:rPr>
          <w:rFonts w:ascii="Arial" w:hAnsi="Arial" w:cs="Arial"/>
          <w:sz w:val="22"/>
          <w:szCs w:val="22"/>
        </w:rPr>
        <w:t>Sideridis</w:t>
      </w:r>
      <w:proofErr w:type="spellEnd"/>
      <w:r w:rsidRPr="002C5996">
        <w:rPr>
          <w:rFonts w:ascii="Arial" w:hAnsi="Arial" w:cs="Arial"/>
          <w:sz w:val="22"/>
          <w:szCs w:val="22"/>
        </w:rPr>
        <w:t xml:space="preserve">, 2006). </w:t>
      </w:r>
    </w:p>
    <w:p w14:paraId="0C1E0912" w14:textId="77777777" w:rsidR="002C5996" w:rsidRPr="002C5996" w:rsidRDefault="002C5996" w:rsidP="002C5996">
      <w:pPr>
        <w:rPr>
          <w:rFonts w:ascii="Arial" w:hAnsi="Arial" w:cs="Arial"/>
          <w:sz w:val="22"/>
          <w:szCs w:val="22"/>
        </w:rPr>
      </w:pPr>
    </w:p>
    <w:p w14:paraId="774EAE75" w14:textId="77777777" w:rsidR="002C5996" w:rsidRPr="002C5996" w:rsidRDefault="002C5996" w:rsidP="002C5996">
      <w:pPr>
        <w:rPr>
          <w:rFonts w:ascii="Arial" w:hAnsi="Arial" w:cs="Arial"/>
          <w:sz w:val="22"/>
          <w:szCs w:val="22"/>
        </w:rPr>
      </w:pPr>
      <w:r w:rsidRPr="002C5996">
        <w:rPr>
          <w:rFonts w:ascii="Arial" w:hAnsi="Arial" w:cs="Arial"/>
          <w:sz w:val="22"/>
          <w:szCs w:val="22"/>
        </w:rPr>
        <w:t xml:space="preserve">In addition to this, the attachment theory asks caregivers not to see dependency in late adulthood as a failure but as an inevitable rekindling of relational needs. Emotional sensitivity, reassurance, and close attachment can serve the purpose of therapy, particularly among those residents who are characterized by separation anxiety or disorientation (Browne and </w:t>
      </w:r>
      <w:proofErr w:type="spellStart"/>
      <w:r w:rsidRPr="002C5996">
        <w:rPr>
          <w:rFonts w:ascii="Arial" w:hAnsi="Arial" w:cs="Arial"/>
          <w:sz w:val="22"/>
          <w:szCs w:val="22"/>
        </w:rPr>
        <w:t>Shlosberg</w:t>
      </w:r>
      <w:proofErr w:type="spellEnd"/>
      <w:r w:rsidRPr="002C5996">
        <w:rPr>
          <w:rFonts w:ascii="Arial" w:hAnsi="Arial" w:cs="Arial"/>
          <w:sz w:val="22"/>
          <w:szCs w:val="22"/>
        </w:rPr>
        <w:t xml:space="preserve">, 2006). Through the creation of emotionally supportive settings, residential facilities can increase the levels of trust and stability among patients, which, subsequently, leads to improved behavioural management and socialization. The focus on empathy and relational continuity is well consistent with the principles of compassionate and holistic care in the practice of health and social care (Van Assche et al., 2013). </w:t>
      </w:r>
    </w:p>
    <w:p w14:paraId="2087C42E" w14:textId="77777777" w:rsidR="002C5996" w:rsidRPr="002C5996" w:rsidRDefault="002C5996" w:rsidP="002C5996">
      <w:pPr>
        <w:rPr>
          <w:rFonts w:ascii="Arial" w:hAnsi="Arial" w:cs="Arial"/>
          <w:sz w:val="22"/>
          <w:szCs w:val="22"/>
        </w:rPr>
      </w:pPr>
    </w:p>
    <w:p w14:paraId="137DCDFD" w14:textId="77777777" w:rsidR="002C5996" w:rsidRPr="002C5996" w:rsidRDefault="002C5996" w:rsidP="002C5996">
      <w:pPr>
        <w:rPr>
          <w:rFonts w:ascii="Arial" w:hAnsi="Arial" w:cs="Arial"/>
          <w:sz w:val="22"/>
          <w:szCs w:val="22"/>
        </w:rPr>
      </w:pPr>
      <w:r w:rsidRPr="002C5996">
        <w:rPr>
          <w:rFonts w:ascii="Arial" w:hAnsi="Arial" w:cs="Arial"/>
          <w:sz w:val="22"/>
          <w:szCs w:val="22"/>
        </w:rPr>
        <w:t xml:space="preserve">However, Attachment Theory has weaknesses in its application to dementia care. One of the difficulties is that it is difficult to measure- since people with severe cognitive impairment cannot express themselves verbally and remember, they are already impaired to measure their attachment (Browne and </w:t>
      </w:r>
      <w:proofErr w:type="spellStart"/>
      <w:r w:rsidRPr="002C5996">
        <w:rPr>
          <w:rFonts w:ascii="Arial" w:hAnsi="Arial" w:cs="Arial"/>
          <w:sz w:val="22"/>
          <w:szCs w:val="22"/>
        </w:rPr>
        <w:t>Shlosberg</w:t>
      </w:r>
      <w:proofErr w:type="spellEnd"/>
      <w:r w:rsidRPr="002C5996">
        <w:rPr>
          <w:rFonts w:ascii="Arial" w:hAnsi="Arial" w:cs="Arial"/>
          <w:sz w:val="22"/>
          <w:szCs w:val="22"/>
        </w:rPr>
        <w:t xml:space="preserve">, 2006). The theory has also been criticised as being biased towards the western culture, in that, emotional security mainly comes out of close dyadic relationships, yet in other cultures, interdependence and general caregiving are much more central to the theory (Bradley and Cafferty, 2001). In addition, even though the theory sheds light in emotional requirements, it does not provide much help in addressing the neurobiological dimensions of dementia, as well as designing clinical interventions and processes other than relational support (Goodwin, 2003). </w:t>
      </w:r>
    </w:p>
    <w:p w14:paraId="5C541C01" w14:textId="77777777" w:rsidR="002C5996" w:rsidRPr="002C5996" w:rsidRDefault="002C5996" w:rsidP="002C5996">
      <w:pPr>
        <w:rPr>
          <w:rFonts w:ascii="Arial" w:hAnsi="Arial" w:cs="Arial"/>
          <w:sz w:val="22"/>
          <w:szCs w:val="22"/>
        </w:rPr>
      </w:pPr>
    </w:p>
    <w:p w14:paraId="27E4FCA4" w14:textId="5E1B50BA" w:rsidR="002C5996" w:rsidRPr="002C5996" w:rsidRDefault="002C5996" w:rsidP="002C5996">
      <w:pPr>
        <w:rPr>
          <w:rFonts w:ascii="Arial" w:hAnsi="Arial" w:cs="Arial"/>
          <w:b/>
          <w:bCs/>
          <w:sz w:val="22"/>
          <w:szCs w:val="22"/>
        </w:rPr>
      </w:pPr>
      <w:r w:rsidRPr="002C5996">
        <w:rPr>
          <w:rFonts w:ascii="Arial" w:hAnsi="Arial" w:cs="Arial"/>
          <w:b/>
          <w:bCs/>
          <w:sz w:val="22"/>
          <w:szCs w:val="22"/>
        </w:rPr>
        <w:t xml:space="preserve">Theory Two Erikson Psychosocial Theory of Development </w:t>
      </w:r>
    </w:p>
    <w:p w14:paraId="32FB2486" w14:textId="77777777" w:rsidR="005D083C" w:rsidRDefault="002C5996" w:rsidP="002C5996">
      <w:pPr>
        <w:rPr>
          <w:rFonts w:ascii="Arial" w:hAnsi="Arial" w:cs="Arial"/>
          <w:sz w:val="22"/>
          <w:szCs w:val="22"/>
        </w:rPr>
      </w:pPr>
      <w:r w:rsidRPr="002C5996">
        <w:rPr>
          <w:rFonts w:ascii="Arial" w:hAnsi="Arial" w:cs="Arial"/>
          <w:sz w:val="22"/>
          <w:szCs w:val="22"/>
        </w:rPr>
        <w:t xml:space="preserve">The Psychosocial Theory of Development developed by Erikson can be considered a very effective way to comprehend the formation of personality and identity throughout the lifespan. The theory consists of eight consecutive phases, the stages of which are defined by psychosocial crisis that people need to overcome to attain psychological development and positive states (Whitbourne and Waterman, 1979). The middle stage is later in life. It focuses on Ego Integrity versus Despair when the senior citizens at old age start to reflect on what they have accomplished in their lives and face matters of meaning, achievement and death (Van Manen and Whitbourne, 1997). When solved successfully, it is ego integrity, that is, a feeling of fulfilment and acceptance of one life, but failure causes despair, remorse and guilt in the face of death (Christiansen and </w:t>
      </w:r>
      <w:proofErr w:type="spellStart"/>
      <w:r w:rsidRPr="002C5996">
        <w:rPr>
          <w:rFonts w:ascii="Arial" w:hAnsi="Arial" w:cs="Arial"/>
          <w:sz w:val="22"/>
          <w:szCs w:val="22"/>
        </w:rPr>
        <w:t>Palkovitz</w:t>
      </w:r>
      <w:proofErr w:type="spellEnd"/>
      <w:r w:rsidRPr="002C5996">
        <w:rPr>
          <w:rFonts w:ascii="Arial" w:hAnsi="Arial" w:cs="Arial"/>
          <w:sz w:val="22"/>
          <w:szCs w:val="22"/>
        </w:rPr>
        <w:t xml:space="preserve">, 1998). The model by Erikson hence points on the continuity, self-acceptance as well as psychosocial stability in late adulthood which are essential in aiding the psychological well-being of persons with a loss of cognition or chronic illnesses. </w:t>
      </w:r>
    </w:p>
    <w:p w14:paraId="7D5DF2AB" w14:textId="79E72173" w:rsidR="002C5996" w:rsidRPr="002C5996" w:rsidRDefault="002C5996" w:rsidP="002C5996">
      <w:pPr>
        <w:rPr>
          <w:rFonts w:ascii="Arial" w:hAnsi="Arial" w:cs="Arial"/>
          <w:sz w:val="22"/>
          <w:szCs w:val="22"/>
        </w:rPr>
      </w:pPr>
      <w:r w:rsidRPr="002C5996">
        <w:rPr>
          <w:rFonts w:ascii="Arial" w:hAnsi="Arial" w:cs="Arial"/>
          <w:sz w:val="22"/>
          <w:szCs w:val="22"/>
        </w:rPr>
        <w:lastRenderedPageBreak/>
        <w:t xml:space="preserve">In the case of adults aged 65 years and over, especially where the subject has dementia, the last stage developed by Erikson gives a clue on the emotional and behavioural difficulties that may come with loss of memory, dependency, and loss of identity. Dementia usually affects autobiographical memory, which complicates the ability of an individual to have a consistent sense of self and life narration (Tetsuka, 2021). Under these circumstances, it is necessary to encourage ego integrity </w:t>
      </w:r>
      <w:proofErr w:type="gramStart"/>
      <w:r w:rsidRPr="002C5996">
        <w:rPr>
          <w:rFonts w:ascii="Arial" w:hAnsi="Arial" w:cs="Arial"/>
          <w:sz w:val="22"/>
          <w:szCs w:val="22"/>
        </w:rPr>
        <w:t>in order to</w:t>
      </w:r>
      <w:proofErr w:type="gramEnd"/>
      <w:r w:rsidRPr="002C5996">
        <w:rPr>
          <w:rFonts w:ascii="Arial" w:hAnsi="Arial" w:cs="Arial"/>
          <w:sz w:val="22"/>
          <w:szCs w:val="22"/>
        </w:rPr>
        <w:t xml:space="preserve"> overcome the feelings of bewilderment and hopelessness. The therapeutic interventions that are based on the framework by Erikson, life review therapy and reminiscence-based counselling, can assist the residents in forming the disjointed memories, re-establishing their self-esteem, and maintaining the emotional continuity despite cognitive impairment (Malone et al., 2016: Reynolds et al., 2022).  </w:t>
      </w:r>
    </w:p>
    <w:p w14:paraId="183385E8" w14:textId="77777777" w:rsidR="002C5996" w:rsidRPr="002C5996" w:rsidRDefault="002C5996" w:rsidP="002C5996">
      <w:pPr>
        <w:rPr>
          <w:rFonts w:ascii="Arial" w:hAnsi="Arial" w:cs="Arial"/>
          <w:sz w:val="22"/>
          <w:szCs w:val="22"/>
        </w:rPr>
      </w:pPr>
    </w:p>
    <w:p w14:paraId="0BA4CB75" w14:textId="77777777" w:rsidR="002C5996" w:rsidRPr="002C5996" w:rsidRDefault="002C5996" w:rsidP="002C5996">
      <w:pPr>
        <w:rPr>
          <w:rFonts w:ascii="Arial" w:hAnsi="Arial" w:cs="Arial"/>
          <w:sz w:val="22"/>
          <w:szCs w:val="22"/>
        </w:rPr>
      </w:pPr>
      <w:r w:rsidRPr="002C5996">
        <w:rPr>
          <w:rFonts w:ascii="Arial" w:hAnsi="Arial" w:cs="Arial"/>
          <w:sz w:val="22"/>
          <w:szCs w:val="22"/>
        </w:rPr>
        <w:t xml:space="preserve">The psychosocial principles by Erikson are in line with the attachment and social learning processes within a dementia care home setting. Stable relationships with clients, routine, and predictable schedules can help strengthen the feeling of emotional security and resembles the secure base suggested in Attachment Theory. This layout of continuity promotes the feeling of trust and dissolve confusion among the residents who find it hard to negotiate through their environment (Browne and </w:t>
      </w:r>
      <w:proofErr w:type="spellStart"/>
      <w:r w:rsidRPr="002C5996">
        <w:rPr>
          <w:rFonts w:ascii="Arial" w:hAnsi="Arial" w:cs="Arial"/>
          <w:sz w:val="22"/>
          <w:szCs w:val="22"/>
        </w:rPr>
        <w:t>Shlosberg</w:t>
      </w:r>
      <w:proofErr w:type="spellEnd"/>
      <w:r w:rsidRPr="002C5996">
        <w:rPr>
          <w:rFonts w:ascii="Arial" w:hAnsi="Arial" w:cs="Arial"/>
          <w:sz w:val="22"/>
          <w:szCs w:val="22"/>
        </w:rPr>
        <w:t xml:space="preserve">, 2006). Similarly, the display of relaxed and understanding behaviour by staff members is an embodiment of the Social Learning theory, as residents can adopt the anger-filled intonation and the regulation of emotional expression of caregivers. The agitation can be de-escalated with such behaviour modelling and a calm conducive environment to well-being is reinforced (Pietromonaco, Uchino and Dunkel Schetter, 2013; Malone et al., 2016; Christiansen and </w:t>
      </w:r>
      <w:proofErr w:type="spellStart"/>
      <w:r w:rsidRPr="002C5996">
        <w:rPr>
          <w:rFonts w:ascii="Arial" w:hAnsi="Arial" w:cs="Arial"/>
          <w:sz w:val="22"/>
          <w:szCs w:val="22"/>
        </w:rPr>
        <w:t>Palkovitz</w:t>
      </w:r>
      <w:proofErr w:type="spellEnd"/>
      <w:r w:rsidRPr="002C5996">
        <w:rPr>
          <w:rFonts w:ascii="Arial" w:hAnsi="Arial" w:cs="Arial"/>
          <w:sz w:val="22"/>
          <w:szCs w:val="22"/>
        </w:rPr>
        <w:t xml:space="preserve">, 1998).  </w:t>
      </w:r>
    </w:p>
    <w:p w14:paraId="4C1E077E" w14:textId="77777777" w:rsidR="002C5996" w:rsidRPr="002C5996" w:rsidRDefault="002C5996" w:rsidP="002C5996">
      <w:pPr>
        <w:rPr>
          <w:rFonts w:ascii="Arial" w:hAnsi="Arial" w:cs="Arial"/>
          <w:sz w:val="22"/>
          <w:szCs w:val="22"/>
        </w:rPr>
      </w:pPr>
    </w:p>
    <w:p w14:paraId="37124B42" w14:textId="77777777" w:rsidR="002C5996" w:rsidRPr="002C5996" w:rsidRDefault="002C5996" w:rsidP="002C5996">
      <w:pPr>
        <w:rPr>
          <w:rFonts w:ascii="Arial" w:hAnsi="Arial" w:cs="Arial"/>
          <w:sz w:val="22"/>
          <w:szCs w:val="22"/>
        </w:rPr>
      </w:pPr>
      <w:r w:rsidRPr="002C5996">
        <w:rPr>
          <w:rFonts w:ascii="Arial" w:hAnsi="Arial" w:cs="Arial"/>
          <w:sz w:val="22"/>
          <w:szCs w:val="22"/>
        </w:rPr>
        <w:t xml:space="preserve">However, its drawbacks can be felt once it is used with patients whose level of dementia is moderate to severe. The theory assumes that the patient has a certain degree of mental and self-reflective capacity, which many dementia patients might not possess, which restricts their ability to reflect or self-analyse (Tetsuka, 2021). Besides, the linear and culturally defined nature of Erikson stages has been criticized as biased towards the West and as proponent of global trends in development (Marcia, 2002). Practically, the maintenance of ego integrity in the treatment of dementia frequently necessitates accommodation with sensory-related or emotionally oriented treatment as opposed to verbal reflection. </w:t>
      </w:r>
    </w:p>
    <w:p w14:paraId="53DDFEB0" w14:textId="77777777" w:rsidR="002C5996" w:rsidRPr="002C5996" w:rsidRDefault="002C5996" w:rsidP="002C5996">
      <w:pPr>
        <w:rPr>
          <w:rFonts w:ascii="Arial" w:hAnsi="Arial" w:cs="Arial"/>
          <w:b/>
          <w:bCs/>
          <w:sz w:val="22"/>
          <w:szCs w:val="22"/>
        </w:rPr>
      </w:pPr>
    </w:p>
    <w:p w14:paraId="4B1ACC45" w14:textId="77777777" w:rsidR="002C5996" w:rsidRDefault="002C5996" w:rsidP="002C5996">
      <w:pPr>
        <w:rPr>
          <w:rFonts w:ascii="Arial" w:hAnsi="Arial" w:cs="Arial"/>
          <w:sz w:val="22"/>
          <w:szCs w:val="22"/>
        </w:rPr>
      </w:pPr>
      <w:r w:rsidRPr="002C5996">
        <w:rPr>
          <w:rFonts w:ascii="Arial" w:hAnsi="Arial" w:cs="Arial"/>
          <w:b/>
          <w:bCs/>
          <w:sz w:val="22"/>
          <w:szCs w:val="22"/>
        </w:rPr>
        <w:t xml:space="preserve">Challenges and Strategies </w:t>
      </w:r>
    </w:p>
    <w:p w14:paraId="65BD48C0" w14:textId="3E868EA3" w:rsidR="002C5996" w:rsidRPr="002C5996" w:rsidRDefault="002C5996" w:rsidP="002C5996">
      <w:pPr>
        <w:rPr>
          <w:rFonts w:ascii="Arial" w:hAnsi="Arial" w:cs="Arial"/>
          <w:sz w:val="22"/>
          <w:szCs w:val="22"/>
        </w:rPr>
      </w:pPr>
      <w:r w:rsidRPr="002C5996">
        <w:rPr>
          <w:rFonts w:ascii="Arial" w:hAnsi="Arial" w:cs="Arial"/>
          <w:sz w:val="22"/>
          <w:szCs w:val="22"/>
        </w:rPr>
        <w:t xml:space="preserve">The use of psychological theories in the care of dementia patients have </w:t>
      </w:r>
      <w:proofErr w:type="gramStart"/>
      <w:r w:rsidRPr="002C5996">
        <w:rPr>
          <w:rFonts w:ascii="Arial" w:hAnsi="Arial" w:cs="Arial"/>
          <w:sz w:val="22"/>
          <w:szCs w:val="22"/>
        </w:rPr>
        <w:t>a number of</w:t>
      </w:r>
      <w:proofErr w:type="gramEnd"/>
      <w:r w:rsidRPr="002C5996">
        <w:rPr>
          <w:rFonts w:ascii="Arial" w:hAnsi="Arial" w:cs="Arial"/>
          <w:sz w:val="22"/>
          <w:szCs w:val="22"/>
        </w:rPr>
        <w:t xml:space="preserve"> practical implications to health and social care workers. One of the main challenges is associated with the deterioration of cognitive functions and communication obstacles that will restrict the capacity of residents to express needs or participate in reflective conversations that will help them attain emotional stability or ego integrity (Tetsuka, 2021). When dementia advances, patients can find it difficult to identify the caregivers or to communicate distress orally, which makes it difficult to the staff to interpret attachment-related behaviours or to lead reminiscence-based interventions. Also, the lack of staff training and time constraints tend to negatively impact the regular use of these theories in care processes (Reynolds et al., 2022). The attention given by many caregivers is on the needs of physical care leaving them </w:t>
      </w:r>
      <w:r w:rsidRPr="002C5996">
        <w:rPr>
          <w:rFonts w:ascii="Arial" w:hAnsi="Arial" w:cs="Arial"/>
          <w:sz w:val="22"/>
          <w:szCs w:val="22"/>
        </w:rPr>
        <w:lastRenderedPageBreak/>
        <w:t xml:space="preserve">with the little ability of engaging on the relational and emotional aspects that these structures have highlighted. Further complicating practice are ethical dilemmas such as the autonomy versus consent versus safety, especially when residents resist care or have behavioural disturbances (Tetsuka, 2021). </w:t>
      </w:r>
    </w:p>
    <w:p w14:paraId="299CD48E" w14:textId="77777777" w:rsidR="002C5996" w:rsidRPr="002C5996" w:rsidRDefault="002C5996" w:rsidP="002C5996">
      <w:pPr>
        <w:rPr>
          <w:rFonts w:ascii="Arial" w:hAnsi="Arial" w:cs="Arial"/>
          <w:sz w:val="22"/>
          <w:szCs w:val="22"/>
        </w:rPr>
      </w:pPr>
    </w:p>
    <w:p w14:paraId="00930728" w14:textId="77777777" w:rsidR="002C5996" w:rsidRPr="002C5996" w:rsidRDefault="002C5996" w:rsidP="002C5996">
      <w:pPr>
        <w:rPr>
          <w:rFonts w:ascii="Arial" w:hAnsi="Arial" w:cs="Arial"/>
          <w:sz w:val="22"/>
          <w:szCs w:val="22"/>
        </w:rPr>
      </w:pPr>
      <w:r w:rsidRPr="002C5996">
        <w:rPr>
          <w:rFonts w:ascii="Arial" w:hAnsi="Arial" w:cs="Arial"/>
          <w:sz w:val="22"/>
          <w:szCs w:val="22"/>
        </w:rPr>
        <w:t xml:space="preserve">To overcome these difficulties, staff education and reflective supervision are essential to consider </w:t>
      </w:r>
      <w:proofErr w:type="gramStart"/>
      <w:r w:rsidRPr="002C5996">
        <w:rPr>
          <w:rFonts w:ascii="Arial" w:hAnsi="Arial" w:cs="Arial"/>
          <w:sz w:val="22"/>
          <w:szCs w:val="22"/>
        </w:rPr>
        <w:t>to improve</w:t>
      </w:r>
      <w:proofErr w:type="gramEnd"/>
      <w:r w:rsidRPr="002C5996">
        <w:rPr>
          <w:rFonts w:ascii="Arial" w:hAnsi="Arial" w:cs="Arial"/>
          <w:sz w:val="22"/>
          <w:szCs w:val="22"/>
        </w:rPr>
        <w:t xml:space="preserve"> psychological literacy and empathy of caregivers. The application of interdisciplinary workforce including psychologists, nurses, and occupational therapists could make the practice evidence-based and holistic (Browne and </w:t>
      </w:r>
      <w:proofErr w:type="spellStart"/>
      <w:r w:rsidRPr="002C5996">
        <w:rPr>
          <w:rFonts w:ascii="Arial" w:hAnsi="Arial" w:cs="Arial"/>
          <w:sz w:val="22"/>
          <w:szCs w:val="22"/>
        </w:rPr>
        <w:t>Shlosberg</w:t>
      </w:r>
      <w:proofErr w:type="spellEnd"/>
      <w:r w:rsidRPr="002C5996">
        <w:rPr>
          <w:rFonts w:ascii="Arial" w:hAnsi="Arial" w:cs="Arial"/>
          <w:sz w:val="22"/>
          <w:szCs w:val="22"/>
        </w:rPr>
        <w:t xml:space="preserve">, 2006). Moreover, the reflective practice will enable staff to assess emotional reactions and modify their communication strategies, which will encourage more caring and responsive treatment. Through theoretical knowledge and practical flexibility, professionals </w:t>
      </w:r>
      <w:proofErr w:type="gramStart"/>
      <w:r w:rsidRPr="002C5996">
        <w:rPr>
          <w:rFonts w:ascii="Arial" w:hAnsi="Arial" w:cs="Arial"/>
          <w:sz w:val="22"/>
          <w:szCs w:val="22"/>
        </w:rPr>
        <w:t>are able to</w:t>
      </w:r>
      <w:proofErr w:type="gramEnd"/>
      <w:r w:rsidRPr="002C5996">
        <w:rPr>
          <w:rFonts w:ascii="Arial" w:hAnsi="Arial" w:cs="Arial"/>
          <w:sz w:val="22"/>
          <w:szCs w:val="22"/>
        </w:rPr>
        <w:t xml:space="preserve"> propose emotional safe and fulfilling environments that support dignity and prosperity of dementia-afflicted residents. </w:t>
      </w:r>
    </w:p>
    <w:p w14:paraId="23864C85" w14:textId="77777777" w:rsidR="002C5996" w:rsidRPr="002C5996" w:rsidRDefault="002C5996" w:rsidP="002C5996">
      <w:pPr>
        <w:rPr>
          <w:rFonts w:ascii="Arial" w:hAnsi="Arial" w:cs="Arial"/>
          <w:sz w:val="22"/>
          <w:szCs w:val="22"/>
        </w:rPr>
      </w:pPr>
    </w:p>
    <w:p w14:paraId="72324CA0" w14:textId="77777777" w:rsidR="002C5996" w:rsidRPr="002C5996" w:rsidRDefault="002C5996" w:rsidP="002C5996">
      <w:pPr>
        <w:rPr>
          <w:rFonts w:ascii="Arial" w:hAnsi="Arial" w:cs="Arial"/>
          <w:b/>
          <w:bCs/>
          <w:sz w:val="22"/>
          <w:szCs w:val="22"/>
        </w:rPr>
      </w:pPr>
      <w:r w:rsidRPr="002C5996">
        <w:rPr>
          <w:rFonts w:ascii="Arial" w:hAnsi="Arial" w:cs="Arial"/>
          <w:b/>
          <w:bCs/>
          <w:sz w:val="22"/>
          <w:szCs w:val="22"/>
        </w:rPr>
        <w:t xml:space="preserve">Conclusion </w:t>
      </w:r>
    </w:p>
    <w:p w14:paraId="748A12CB" w14:textId="77777777" w:rsidR="002C5996" w:rsidRPr="002C5996" w:rsidRDefault="002C5996" w:rsidP="002C5996">
      <w:pPr>
        <w:rPr>
          <w:rFonts w:ascii="Arial" w:hAnsi="Arial" w:cs="Arial"/>
          <w:sz w:val="22"/>
          <w:szCs w:val="22"/>
        </w:rPr>
      </w:pPr>
      <w:r w:rsidRPr="002C5996">
        <w:rPr>
          <w:rFonts w:ascii="Arial" w:hAnsi="Arial" w:cs="Arial"/>
          <w:sz w:val="22"/>
          <w:szCs w:val="22"/>
        </w:rPr>
        <w:t xml:space="preserve">To conclude, Attachment Theory and the Psychosocial Theory of Development by Erikson can be useful in the assessment of the emotional and behavioural needs of older adults with dementia. Attachment Theory places great stress on the long-term significance of safe attachments and emotional security whereas the Erikson model focuses on integrity, search of meaning, and acceptance in adulthood. When utilized in dementia care, the theories assist the professionals to transform the task-based approach of care to the relationship-based approach of care that builds trust, identity and dignity. Incorporating regular activities, compassionate care, and reminiscence interventions may greatly improve the psychological state of the residents. Finally, the art of dementia care should be based not only on theoretical knowledge but also on empathy, reflection, and evidence-based practice the qualities that provide the caregivers with the ability to perceive the human and emotional aspects of ageing and establish supportive settings. </w:t>
      </w:r>
    </w:p>
    <w:p w14:paraId="6FFFFEDD" w14:textId="77777777" w:rsidR="002C5996" w:rsidRPr="002C5996" w:rsidRDefault="002C5996" w:rsidP="002C5996">
      <w:pPr>
        <w:rPr>
          <w:rFonts w:ascii="Arial" w:hAnsi="Arial" w:cs="Arial"/>
          <w:sz w:val="22"/>
          <w:szCs w:val="22"/>
        </w:rPr>
      </w:pPr>
    </w:p>
    <w:p w14:paraId="4AE14DB5" w14:textId="77777777" w:rsidR="002C5996" w:rsidRPr="002C5996" w:rsidRDefault="002C5996" w:rsidP="002C5996">
      <w:pPr>
        <w:rPr>
          <w:rFonts w:ascii="Arial" w:hAnsi="Arial" w:cs="Arial"/>
          <w:sz w:val="22"/>
          <w:szCs w:val="22"/>
        </w:rPr>
      </w:pPr>
      <w:r w:rsidRPr="002C5996">
        <w:rPr>
          <w:rFonts w:ascii="Arial" w:hAnsi="Arial" w:cs="Arial"/>
          <w:sz w:val="22"/>
          <w:szCs w:val="22"/>
        </w:rPr>
        <w:t xml:space="preserve"> </w:t>
      </w:r>
    </w:p>
    <w:p w14:paraId="406F0879" w14:textId="77777777" w:rsidR="002C5996" w:rsidRPr="002C5996" w:rsidRDefault="002C5996" w:rsidP="002C5996">
      <w:pPr>
        <w:rPr>
          <w:rFonts w:ascii="Arial" w:hAnsi="Arial" w:cs="Arial"/>
          <w:sz w:val="22"/>
          <w:szCs w:val="22"/>
        </w:rPr>
      </w:pPr>
    </w:p>
    <w:p w14:paraId="7EA4DD20" w14:textId="77777777" w:rsidR="002C5996" w:rsidRPr="002C5996" w:rsidRDefault="002C5996" w:rsidP="002C5996">
      <w:pPr>
        <w:rPr>
          <w:rFonts w:ascii="Arial" w:hAnsi="Arial" w:cs="Arial"/>
          <w:sz w:val="22"/>
          <w:szCs w:val="22"/>
        </w:rPr>
      </w:pPr>
      <w:r w:rsidRPr="002C5996">
        <w:rPr>
          <w:rFonts w:ascii="Arial" w:hAnsi="Arial" w:cs="Arial"/>
          <w:sz w:val="22"/>
          <w:szCs w:val="22"/>
        </w:rPr>
        <w:t xml:space="preserve"> </w:t>
      </w:r>
    </w:p>
    <w:p w14:paraId="15C4064B" w14:textId="77777777" w:rsidR="002C5996" w:rsidRPr="002C5996" w:rsidRDefault="002C5996" w:rsidP="002C5996">
      <w:pPr>
        <w:rPr>
          <w:rFonts w:ascii="Arial" w:hAnsi="Arial" w:cs="Arial"/>
          <w:sz w:val="22"/>
          <w:szCs w:val="22"/>
        </w:rPr>
      </w:pPr>
    </w:p>
    <w:p w14:paraId="422A4F74" w14:textId="77777777" w:rsidR="002C5996" w:rsidRDefault="002C5996" w:rsidP="002C5996">
      <w:pPr>
        <w:rPr>
          <w:rFonts w:ascii="Arial" w:hAnsi="Arial" w:cs="Arial"/>
          <w:sz w:val="22"/>
          <w:szCs w:val="22"/>
        </w:rPr>
      </w:pPr>
    </w:p>
    <w:p w14:paraId="139A57ED" w14:textId="77777777" w:rsidR="002C5996" w:rsidRDefault="002C5996" w:rsidP="002C5996">
      <w:pPr>
        <w:rPr>
          <w:rFonts w:ascii="Arial" w:hAnsi="Arial" w:cs="Arial"/>
          <w:sz w:val="22"/>
          <w:szCs w:val="22"/>
        </w:rPr>
      </w:pPr>
    </w:p>
    <w:p w14:paraId="27596C8A" w14:textId="77777777" w:rsidR="005D083C" w:rsidRDefault="005D083C" w:rsidP="002C5996">
      <w:pPr>
        <w:rPr>
          <w:rFonts w:ascii="Arial" w:hAnsi="Arial" w:cs="Arial"/>
          <w:b/>
          <w:bCs/>
          <w:sz w:val="22"/>
          <w:szCs w:val="22"/>
        </w:rPr>
      </w:pPr>
    </w:p>
    <w:p w14:paraId="6D4DC548" w14:textId="77777777" w:rsidR="005D083C" w:rsidRDefault="005D083C" w:rsidP="002C5996">
      <w:pPr>
        <w:rPr>
          <w:rFonts w:ascii="Arial" w:hAnsi="Arial" w:cs="Arial"/>
          <w:b/>
          <w:bCs/>
          <w:sz w:val="22"/>
          <w:szCs w:val="22"/>
        </w:rPr>
      </w:pPr>
    </w:p>
    <w:p w14:paraId="32BA247B" w14:textId="77777777" w:rsidR="005D083C" w:rsidRDefault="005D083C" w:rsidP="002C5996">
      <w:pPr>
        <w:rPr>
          <w:rFonts w:ascii="Arial" w:hAnsi="Arial" w:cs="Arial"/>
          <w:b/>
          <w:bCs/>
          <w:sz w:val="22"/>
          <w:szCs w:val="22"/>
        </w:rPr>
      </w:pPr>
    </w:p>
    <w:p w14:paraId="33B51736" w14:textId="77777777" w:rsidR="005D083C" w:rsidRDefault="005D083C" w:rsidP="002C5996">
      <w:pPr>
        <w:rPr>
          <w:rFonts w:ascii="Arial" w:hAnsi="Arial" w:cs="Arial"/>
          <w:b/>
          <w:bCs/>
          <w:sz w:val="22"/>
          <w:szCs w:val="22"/>
        </w:rPr>
      </w:pPr>
    </w:p>
    <w:p w14:paraId="1C3233DB" w14:textId="2A16472B" w:rsidR="002C5996" w:rsidRPr="002C5996" w:rsidRDefault="002C5996" w:rsidP="002C5996">
      <w:pPr>
        <w:rPr>
          <w:rFonts w:ascii="Arial" w:hAnsi="Arial" w:cs="Arial"/>
          <w:b/>
          <w:bCs/>
          <w:sz w:val="22"/>
          <w:szCs w:val="22"/>
        </w:rPr>
      </w:pPr>
      <w:r w:rsidRPr="002C5996">
        <w:rPr>
          <w:rFonts w:ascii="Arial" w:hAnsi="Arial" w:cs="Arial"/>
          <w:b/>
          <w:bCs/>
          <w:sz w:val="22"/>
          <w:szCs w:val="22"/>
        </w:rPr>
        <w:lastRenderedPageBreak/>
        <w:t xml:space="preserve">References </w:t>
      </w:r>
    </w:p>
    <w:p w14:paraId="4CFC0C69" w14:textId="77777777" w:rsidR="002C5996" w:rsidRPr="002C5996" w:rsidRDefault="002C5996" w:rsidP="002C5996">
      <w:pPr>
        <w:rPr>
          <w:rFonts w:ascii="Arial" w:hAnsi="Arial" w:cs="Arial"/>
          <w:sz w:val="22"/>
          <w:szCs w:val="22"/>
        </w:rPr>
      </w:pPr>
    </w:p>
    <w:p w14:paraId="7C74E64B" w14:textId="1BD2FB5A" w:rsidR="002C5996" w:rsidRPr="00283C7B" w:rsidRDefault="002C5996" w:rsidP="00283C7B">
      <w:pPr>
        <w:rPr>
          <w:rFonts w:ascii="Arial" w:hAnsi="Arial" w:cs="Arial"/>
          <w:sz w:val="22"/>
          <w:szCs w:val="22"/>
        </w:rPr>
      </w:pPr>
      <w:r w:rsidRPr="00283C7B">
        <w:rPr>
          <w:rFonts w:ascii="Arial" w:hAnsi="Arial" w:cs="Arial"/>
          <w:sz w:val="22"/>
          <w:szCs w:val="22"/>
        </w:rPr>
        <w:t>Bodner, E. and Cohen-Fridel, S. (2010) ‘Relations between attachment styles, ageism and quality of life in late life’, International Psychogeriatrics</w:t>
      </w:r>
    </w:p>
    <w:p w14:paraId="181FB5E6" w14:textId="64417CA6" w:rsidR="00283C7B" w:rsidRPr="00283C7B" w:rsidRDefault="00283C7B" w:rsidP="002C5996">
      <w:pPr>
        <w:rPr>
          <w:rFonts w:ascii="Arial" w:hAnsi="Arial" w:cs="Arial"/>
          <w:i/>
          <w:iCs/>
          <w:sz w:val="22"/>
          <w:szCs w:val="22"/>
          <w:u w:val="single"/>
        </w:rPr>
      </w:pPr>
      <w:r w:rsidRPr="00283C7B">
        <w:rPr>
          <w:rFonts w:ascii="Arial" w:hAnsi="Arial" w:cs="Arial"/>
          <w:i/>
          <w:iCs/>
          <w:sz w:val="22"/>
          <w:szCs w:val="22"/>
          <w:u w:val="single"/>
        </w:rPr>
        <w:t>https://www.intpsychogeriatrics.org/article/S1041-6102(24)02811-4/fulltext</w:t>
      </w:r>
    </w:p>
    <w:p w14:paraId="2BB3B665" w14:textId="77777777" w:rsidR="002C5996" w:rsidRPr="002C5996" w:rsidRDefault="002C5996" w:rsidP="002C5996">
      <w:pPr>
        <w:rPr>
          <w:rFonts w:ascii="Arial" w:hAnsi="Arial" w:cs="Arial"/>
          <w:sz w:val="22"/>
          <w:szCs w:val="22"/>
        </w:rPr>
      </w:pPr>
    </w:p>
    <w:p w14:paraId="286910F1" w14:textId="7F42E9EA" w:rsidR="002C5996" w:rsidRDefault="002C5996" w:rsidP="002C5996">
      <w:pPr>
        <w:rPr>
          <w:rFonts w:ascii="Arial" w:hAnsi="Arial" w:cs="Arial"/>
          <w:sz w:val="22"/>
          <w:szCs w:val="22"/>
        </w:rPr>
      </w:pPr>
      <w:r w:rsidRPr="002C5996">
        <w:rPr>
          <w:rFonts w:ascii="Arial" w:hAnsi="Arial" w:cs="Arial"/>
          <w:sz w:val="22"/>
          <w:szCs w:val="22"/>
        </w:rPr>
        <w:t>Bradley, J. M. and Cafferty, T. P. (2001) ‘Attachment among older adults: Current issues and directions for future research’, Attachment &amp; Human Development</w:t>
      </w:r>
    </w:p>
    <w:p w14:paraId="2D1C48E4" w14:textId="7C79721F" w:rsidR="00283C7B" w:rsidRPr="00283C7B" w:rsidRDefault="00283C7B" w:rsidP="002C5996">
      <w:pPr>
        <w:rPr>
          <w:rFonts w:ascii="Arial" w:hAnsi="Arial" w:cs="Arial"/>
          <w:i/>
          <w:iCs/>
          <w:sz w:val="22"/>
          <w:szCs w:val="22"/>
          <w:u w:val="single"/>
        </w:rPr>
      </w:pPr>
      <w:r w:rsidRPr="00283C7B">
        <w:rPr>
          <w:rFonts w:ascii="Arial" w:hAnsi="Arial" w:cs="Arial"/>
          <w:i/>
          <w:iCs/>
          <w:sz w:val="22"/>
          <w:szCs w:val="22"/>
          <w:u w:val="single"/>
        </w:rPr>
        <w:t>https://www.tandfonline.com/doi/abs/10.1080/14616730126485</w:t>
      </w:r>
    </w:p>
    <w:p w14:paraId="61BBB5A1" w14:textId="77777777" w:rsidR="002C5996" w:rsidRPr="002C5996" w:rsidRDefault="002C5996" w:rsidP="002C5996">
      <w:pPr>
        <w:rPr>
          <w:rFonts w:ascii="Arial" w:hAnsi="Arial" w:cs="Arial"/>
          <w:sz w:val="22"/>
          <w:szCs w:val="22"/>
        </w:rPr>
      </w:pPr>
    </w:p>
    <w:p w14:paraId="7C7E2F2D" w14:textId="77777777" w:rsidR="00283C7B" w:rsidRDefault="002C5996" w:rsidP="002C5996">
      <w:pPr>
        <w:rPr>
          <w:rFonts w:ascii="Arial" w:hAnsi="Arial" w:cs="Arial"/>
          <w:sz w:val="22"/>
          <w:szCs w:val="22"/>
        </w:rPr>
      </w:pPr>
      <w:r w:rsidRPr="002C5996">
        <w:rPr>
          <w:rFonts w:ascii="Arial" w:hAnsi="Arial" w:cs="Arial"/>
          <w:sz w:val="22"/>
          <w:szCs w:val="22"/>
        </w:rPr>
        <w:t xml:space="preserve">Browne, C. J. and </w:t>
      </w:r>
      <w:proofErr w:type="spellStart"/>
      <w:r w:rsidRPr="002C5996">
        <w:rPr>
          <w:rFonts w:ascii="Arial" w:hAnsi="Arial" w:cs="Arial"/>
          <w:sz w:val="22"/>
          <w:szCs w:val="22"/>
        </w:rPr>
        <w:t>Shlosberg</w:t>
      </w:r>
      <w:proofErr w:type="spellEnd"/>
      <w:r w:rsidRPr="002C5996">
        <w:rPr>
          <w:rFonts w:ascii="Arial" w:hAnsi="Arial" w:cs="Arial"/>
          <w:sz w:val="22"/>
          <w:szCs w:val="22"/>
        </w:rPr>
        <w:t>, E. (2006) ‘Attachment theory, ageing and dementia: A review of the literature’, Aging &amp; Mental Health</w:t>
      </w:r>
    </w:p>
    <w:p w14:paraId="56C0F18F" w14:textId="4BFCFD2C" w:rsidR="00283C7B" w:rsidRPr="00283C7B" w:rsidRDefault="00283C7B" w:rsidP="002C5996">
      <w:pPr>
        <w:rPr>
          <w:rFonts w:ascii="Arial" w:hAnsi="Arial" w:cs="Arial"/>
          <w:i/>
          <w:iCs/>
          <w:sz w:val="22"/>
          <w:szCs w:val="22"/>
          <w:u w:val="single"/>
        </w:rPr>
      </w:pPr>
      <w:r w:rsidRPr="00283C7B">
        <w:rPr>
          <w:rFonts w:ascii="Arial" w:hAnsi="Arial" w:cs="Arial"/>
          <w:i/>
          <w:iCs/>
          <w:sz w:val="22"/>
          <w:szCs w:val="22"/>
          <w:u w:val="single"/>
        </w:rPr>
        <w:t>https://www.tandfonline.com/doi/full/10.1080/13607860500312118</w:t>
      </w:r>
    </w:p>
    <w:p w14:paraId="54E4E64D" w14:textId="77777777" w:rsidR="002C5996" w:rsidRPr="002C5996" w:rsidRDefault="002C5996" w:rsidP="002C5996">
      <w:pPr>
        <w:rPr>
          <w:rFonts w:ascii="Arial" w:hAnsi="Arial" w:cs="Arial"/>
          <w:sz w:val="22"/>
          <w:szCs w:val="22"/>
        </w:rPr>
      </w:pPr>
    </w:p>
    <w:p w14:paraId="5CF7818E" w14:textId="77777777" w:rsidR="00452136" w:rsidRDefault="002C5996" w:rsidP="002C5996">
      <w:pPr>
        <w:rPr>
          <w:rFonts w:ascii="Arial" w:hAnsi="Arial" w:cs="Arial"/>
          <w:sz w:val="22"/>
          <w:szCs w:val="22"/>
        </w:rPr>
      </w:pPr>
      <w:r w:rsidRPr="002C5996">
        <w:rPr>
          <w:rFonts w:ascii="Arial" w:hAnsi="Arial" w:cs="Arial"/>
          <w:sz w:val="22"/>
          <w:szCs w:val="22"/>
        </w:rPr>
        <w:t>Goodwin, I. (2003) ‘The relevance of attachment theory to the philosophy, organization, and practice of adult mental health care’, Clinical Psychology Review</w:t>
      </w:r>
    </w:p>
    <w:p w14:paraId="01E5CBA6" w14:textId="71251EF6" w:rsidR="00452136" w:rsidRPr="00452136" w:rsidRDefault="00452136" w:rsidP="002C5996">
      <w:pPr>
        <w:rPr>
          <w:rFonts w:ascii="Arial" w:hAnsi="Arial" w:cs="Arial"/>
          <w:i/>
          <w:iCs/>
          <w:sz w:val="22"/>
          <w:szCs w:val="22"/>
          <w:u w:val="single"/>
        </w:rPr>
      </w:pPr>
      <w:r w:rsidRPr="00452136">
        <w:rPr>
          <w:rFonts w:ascii="Arial" w:hAnsi="Arial" w:cs="Arial"/>
          <w:i/>
          <w:iCs/>
          <w:sz w:val="22"/>
          <w:szCs w:val="22"/>
          <w:u w:val="single"/>
        </w:rPr>
        <w:t>https://www.sciencedirect.com/science/article/abs/pii/S0272735802001459?via%3Dihub</w:t>
      </w:r>
    </w:p>
    <w:p w14:paraId="5373F0E3" w14:textId="77777777" w:rsidR="002C5996" w:rsidRPr="002C5996" w:rsidRDefault="002C5996" w:rsidP="002C5996">
      <w:pPr>
        <w:rPr>
          <w:rFonts w:ascii="Arial" w:hAnsi="Arial" w:cs="Arial"/>
          <w:sz w:val="22"/>
          <w:szCs w:val="22"/>
        </w:rPr>
      </w:pPr>
    </w:p>
    <w:p w14:paraId="67D16B3C" w14:textId="77777777" w:rsidR="00452136" w:rsidRDefault="002C5996" w:rsidP="002C5996">
      <w:pPr>
        <w:rPr>
          <w:rFonts w:ascii="Arial" w:hAnsi="Arial" w:cs="Arial"/>
          <w:sz w:val="22"/>
          <w:szCs w:val="22"/>
        </w:rPr>
      </w:pPr>
      <w:proofErr w:type="spellStart"/>
      <w:r w:rsidRPr="002C5996">
        <w:rPr>
          <w:rFonts w:ascii="Arial" w:hAnsi="Arial" w:cs="Arial"/>
          <w:sz w:val="22"/>
          <w:szCs w:val="22"/>
        </w:rPr>
        <w:t>Kafetsios</w:t>
      </w:r>
      <w:proofErr w:type="spellEnd"/>
      <w:r w:rsidRPr="002C5996">
        <w:rPr>
          <w:rFonts w:ascii="Arial" w:hAnsi="Arial" w:cs="Arial"/>
          <w:sz w:val="22"/>
          <w:szCs w:val="22"/>
        </w:rPr>
        <w:t xml:space="preserve">, K. and </w:t>
      </w:r>
      <w:proofErr w:type="spellStart"/>
      <w:r w:rsidRPr="002C5996">
        <w:rPr>
          <w:rFonts w:ascii="Arial" w:hAnsi="Arial" w:cs="Arial"/>
          <w:sz w:val="22"/>
          <w:szCs w:val="22"/>
        </w:rPr>
        <w:t>Sideridis</w:t>
      </w:r>
      <w:proofErr w:type="spellEnd"/>
      <w:r w:rsidRPr="002C5996">
        <w:rPr>
          <w:rFonts w:ascii="Arial" w:hAnsi="Arial" w:cs="Arial"/>
          <w:sz w:val="22"/>
          <w:szCs w:val="22"/>
        </w:rPr>
        <w:t>, G. D. (2006) ‘Attachment, social support and well-being in young and older adults’, Journal of Health Psychology</w:t>
      </w:r>
    </w:p>
    <w:p w14:paraId="21ED0BE9" w14:textId="346998A9" w:rsidR="002C5996" w:rsidRPr="00452136" w:rsidRDefault="002C5996" w:rsidP="002C5996">
      <w:pPr>
        <w:rPr>
          <w:rFonts w:ascii="Arial" w:hAnsi="Arial" w:cs="Arial"/>
          <w:i/>
          <w:iCs/>
          <w:sz w:val="22"/>
          <w:szCs w:val="22"/>
          <w:u w:val="single"/>
        </w:rPr>
      </w:pPr>
      <w:r w:rsidRPr="002C5996">
        <w:rPr>
          <w:rFonts w:ascii="Arial" w:hAnsi="Arial" w:cs="Arial"/>
          <w:sz w:val="22"/>
          <w:szCs w:val="22"/>
        </w:rPr>
        <w:t xml:space="preserve"> </w:t>
      </w:r>
      <w:r w:rsidR="00452136" w:rsidRPr="00452136">
        <w:rPr>
          <w:rFonts w:ascii="Arial" w:hAnsi="Arial" w:cs="Arial"/>
          <w:i/>
          <w:iCs/>
          <w:sz w:val="22"/>
          <w:szCs w:val="22"/>
          <w:u w:val="single"/>
        </w:rPr>
        <w:t>https://journals.sagepub.com/doi/10.1177/1359105306069084</w:t>
      </w:r>
    </w:p>
    <w:p w14:paraId="1DEE9C26" w14:textId="77777777" w:rsidR="002C5996" w:rsidRPr="002C5996" w:rsidRDefault="002C5996" w:rsidP="002C5996">
      <w:pPr>
        <w:rPr>
          <w:rFonts w:ascii="Arial" w:hAnsi="Arial" w:cs="Arial"/>
          <w:sz w:val="22"/>
          <w:szCs w:val="22"/>
        </w:rPr>
      </w:pPr>
    </w:p>
    <w:p w14:paraId="65E9219D" w14:textId="5A5F83A8" w:rsidR="002C5996" w:rsidRDefault="002C5996" w:rsidP="002C5996">
      <w:pPr>
        <w:rPr>
          <w:rFonts w:ascii="Arial" w:hAnsi="Arial" w:cs="Arial"/>
          <w:sz w:val="22"/>
          <w:szCs w:val="22"/>
        </w:rPr>
      </w:pPr>
      <w:r w:rsidRPr="002C5996">
        <w:rPr>
          <w:rFonts w:ascii="Arial" w:hAnsi="Arial" w:cs="Arial"/>
          <w:sz w:val="22"/>
          <w:szCs w:val="22"/>
        </w:rPr>
        <w:t xml:space="preserve">Pietromonaco, P. R., Uchino, B. and Dunkel Schetter, C. (2013) ‘Close relationship processes and health: Implications of attachment theory for health and disease’, Health Psychology </w:t>
      </w:r>
    </w:p>
    <w:p w14:paraId="52130BA2" w14:textId="7232471D" w:rsidR="00452136" w:rsidRPr="00452136" w:rsidRDefault="00452136" w:rsidP="002C5996">
      <w:pPr>
        <w:rPr>
          <w:rFonts w:ascii="Arial" w:hAnsi="Arial" w:cs="Arial"/>
          <w:i/>
          <w:iCs/>
          <w:sz w:val="22"/>
          <w:szCs w:val="22"/>
          <w:u w:val="single"/>
        </w:rPr>
      </w:pPr>
      <w:r w:rsidRPr="00452136">
        <w:rPr>
          <w:rFonts w:ascii="Arial" w:hAnsi="Arial" w:cs="Arial"/>
          <w:i/>
          <w:iCs/>
          <w:sz w:val="22"/>
          <w:szCs w:val="22"/>
          <w:u w:val="single"/>
        </w:rPr>
        <w:t>https://psycnet.apa.org/doiLanding?doi=10.1037%2Fa0029349</w:t>
      </w:r>
    </w:p>
    <w:p w14:paraId="3BBB6CA3" w14:textId="77777777" w:rsidR="002C5996" w:rsidRPr="002C5996" w:rsidRDefault="002C5996" w:rsidP="002C5996">
      <w:pPr>
        <w:rPr>
          <w:rFonts w:ascii="Arial" w:hAnsi="Arial" w:cs="Arial"/>
          <w:sz w:val="22"/>
          <w:szCs w:val="22"/>
        </w:rPr>
      </w:pPr>
    </w:p>
    <w:p w14:paraId="03EE1C73" w14:textId="77777777" w:rsidR="00452136" w:rsidRDefault="002C5996" w:rsidP="002C5996">
      <w:pPr>
        <w:rPr>
          <w:rFonts w:ascii="Arial" w:hAnsi="Arial" w:cs="Arial"/>
          <w:sz w:val="22"/>
          <w:szCs w:val="22"/>
        </w:rPr>
      </w:pPr>
      <w:r w:rsidRPr="002C5996">
        <w:rPr>
          <w:rFonts w:ascii="Arial" w:hAnsi="Arial" w:cs="Arial"/>
          <w:sz w:val="22"/>
          <w:szCs w:val="22"/>
        </w:rPr>
        <w:t xml:space="preserve">Van Assche, L., Luyten, P., </w:t>
      </w:r>
      <w:proofErr w:type="spellStart"/>
      <w:r w:rsidRPr="002C5996">
        <w:rPr>
          <w:rFonts w:ascii="Arial" w:hAnsi="Arial" w:cs="Arial"/>
          <w:sz w:val="22"/>
          <w:szCs w:val="22"/>
        </w:rPr>
        <w:t>Bruffaerts</w:t>
      </w:r>
      <w:proofErr w:type="spellEnd"/>
      <w:r w:rsidRPr="002C5996">
        <w:rPr>
          <w:rFonts w:ascii="Arial" w:hAnsi="Arial" w:cs="Arial"/>
          <w:sz w:val="22"/>
          <w:szCs w:val="22"/>
        </w:rPr>
        <w:t xml:space="preserve">, R., Persoons, P., Van de Ven, L. and </w:t>
      </w:r>
      <w:proofErr w:type="spellStart"/>
      <w:r w:rsidRPr="002C5996">
        <w:rPr>
          <w:rFonts w:ascii="Arial" w:hAnsi="Arial" w:cs="Arial"/>
          <w:sz w:val="22"/>
          <w:szCs w:val="22"/>
        </w:rPr>
        <w:t>Vandenbulcke</w:t>
      </w:r>
      <w:proofErr w:type="spellEnd"/>
      <w:r w:rsidRPr="002C5996">
        <w:rPr>
          <w:rFonts w:ascii="Arial" w:hAnsi="Arial" w:cs="Arial"/>
          <w:sz w:val="22"/>
          <w:szCs w:val="22"/>
        </w:rPr>
        <w:t>, M. (2013) ‘Attachment in old age: Theoretical assumptions, empirical findings and implications for clinical practice’, Clinical Psychology Review</w:t>
      </w:r>
    </w:p>
    <w:p w14:paraId="6B479DD4" w14:textId="44B83A70" w:rsidR="00452136" w:rsidRPr="00452136" w:rsidRDefault="00452136" w:rsidP="002C5996">
      <w:pPr>
        <w:rPr>
          <w:rFonts w:ascii="Arial" w:hAnsi="Arial" w:cs="Arial"/>
          <w:i/>
          <w:iCs/>
          <w:sz w:val="22"/>
          <w:szCs w:val="22"/>
          <w:u w:val="single"/>
        </w:rPr>
      </w:pPr>
      <w:r w:rsidRPr="00452136">
        <w:rPr>
          <w:rFonts w:ascii="Arial" w:hAnsi="Arial" w:cs="Arial"/>
          <w:i/>
          <w:iCs/>
          <w:sz w:val="22"/>
          <w:szCs w:val="22"/>
          <w:u w:val="single"/>
        </w:rPr>
        <w:t>https://www.sciencedirect.com/science/article/abs/pii/S0272735812001432?via%3Dihub</w:t>
      </w:r>
    </w:p>
    <w:p w14:paraId="568F1E35" w14:textId="77777777" w:rsidR="002C5996" w:rsidRDefault="002C5996" w:rsidP="002C5996">
      <w:pPr>
        <w:rPr>
          <w:rFonts w:ascii="Arial" w:hAnsi="Arial" w:cs="Arial"/>
          <w:sz w:val="22"/>
          <w:szCs w:val="22"/>
        </w:rPr>
      </w:pPr>
    </w:p>
    <w:p w14:paraId="4967684D" w14:textId="77777777" w:rsidR="00452136" w:rsidRDefault="00452136" w:rsidP="002C5996">
      <w:pPr>
        <w:rPr>
          <w:rFonts w:ascii="Arial" w:hAnsi="Arial" w:cs="Arial"/>
          <w:sz w:val="22"/>
          <w:szCs w:val="22"/>
        </w:rPr>
      </w:pPr>
    </w:p>
    <w:p w14:paraId="0CD6CE45" w14:textId="3AD99CF6" w:rsidR="002C5996" w:rsidRDefault="002C5996" w:rsidP="002C5996">
      <w:pPr>
        <w:rPr>
          <w:rFonts w:ascii="Arial" w:hAnsi="Arial" w:cs="Arial"/>
          <w:sz w:val="22"/>
          <w:szCs w:val="22"/>
        </w:rPr>
      </w:pPr>
      <w:r w:rsidRPr="002C5996">
        <w:rPr>
          <w:rFonts w:ascii="Arial" w:hAnsi="Arial" w:cs="Arial"/>
          <w:sz w:val="22"/>
          <w:szCs w:val="22"/>
        </w:rPr>
        <w:lastRenderedPageBreak/>
        <w:t xml:space="preserve">Christiansen, S. and </w:t>
      </w:r>
      <w:proofErr w:type="spellStart"/>
      <w:r w:rsidRPr="002C5996">
        <w:rPr>
          <w:rFonts w:ascii="Arial" w:hAnsi="Arial" w:cs="Arial"/>
          <w:sz w:val="22"/>
          <w:szCs w:val="22"/>
        </w:rPr>
        <w:t>Palkovitz</w:t>
      </w:r>
      <w:proofErr w:type="spellEnd"/>
      <w:r w:rsidRPr="002C5996">
        <w:rPr>
          <w:rFonts w:ascii="Arial" w:hAnsi="Arial" w:cs="Arial"/>
          <w:sz w:val="22"/>
          <w:szCs w:val="22"/>
        </w:rPr>
        <w:t>, R. (1998) ‘Exploring Erikson’s Psychosocial Theory of Development: Generativity and its relationship to paternal identity, intimacy, and involvement in childcare’, The Journal of Men’s Studies</w:t>
      </w:r>
    </w:p>
    <w:p w14:paraId="247EB30E" w14:textId="37B3BBA3" w:rsidR="00452136" w:rsidRPr="00452136" w:rsidRDefault="00452136" w:rsidP="002C5996">
      <w:pPr>
        <w:rPr>
          <w:rFonts w:ascii="Arial" w:hAnsi="Arial" w:cs="Arial"/>
          <w:i/>
          <w:iCs/>
          <w:sz w:val="22"/>
          <w:szCs w:val="22"/>
          <w:u w:val="single"/>
        </w:rPr>
      </w:pPr>
      <w:r w:rsidRPr="00452136">
        <w:rPr>
          <w:rFonts w:ascii="Arial" w:hAnsi="Arial" w:cs="Arial"/>
          <w:i/>
          <w:iCs/>
          <w:sz w:val="22"/>
          <w:szCs w:val="22"/>
          <w:u w:val="single"/>
        </w:rPr>
        <w:t>https://journals.sagepub.com/doi/10.3149/jms.0701.133</w:t>
      </w:r>
    </w:p>
    <w:p w14:paraId="4F114912" w14:textId="77777777" w:rsidR="00452136" w:rsidRDefault="00452136" w:rsidP="002C5996">
      <w:pPr>
        <w:rPr>
          <w:rFonts w:ascii="Arial" w:hAnsi="Arial" w:cs="Arial"/>
          <w:sz w:val="22"/>
          <w:szCs w:val="22"/>
        </w:rPr>
      </w:pPr>
    </w:p>
    <w:p w14:paraId="0EA714E7" w14:textId="77777777" w:rsidR="00452136" w:rsidRPr="002C5996" w:rsidRDefault="00452136" w:rsidP="002C5996">
      <w:pPr>
        <w:rPr>
          <w:rFonts w:ascii="Arial" w:hAnsi="Arial" w:cs="Arial"/>
          <w:sz w:val="22"/>
          <w:szCs w:val="22"/>
        </w:rPr>
      </w:pPr>
    </w:p>
    <w:p w14:paraId="27B3D9F3" w14:textId="064E56F6" w:rsidR="002C5996" w:rsidRDefault="002C5996" w:rsidP="002C5996">
      <w:pPr>
        <w:rPr>
          <w:rFonts w:ascii="Arial" w:hAnsi="Arial" w:cs="Arial"/>
          <w:sz w:val="22"/>
          <w:szCs w:val="22"/>
        </w:rPr>
      </w:pPr>
      <w:r w:rsidRPr="002C5996">
        <w:rPr>
          <w:rFonts w:ascii="Arial" w:hAnsi="Arial" w:cs="Arial"/>
          <w:sz w:val="22"/>
          <w:szCs w:val="22"/>
        </w:rPr>
        <w:t xml:space="preserve">Malone, J. C., Liu, S. R., Vaillant, G. E., Rentz, D. M. and Waldinger, R. J. (2016) ‘Midlife </w:t>
      </w:r>
      <w:proofErr w:type="spellStart"/>
      <w:r w:rsidRPr="002C5996">
        <w:rPr>
          <w:rFonts w:ascii="Arial" w:hAnsi="Arial" w:cs="Arial"/>
          <w:sz w:val="22"/>
          <w:szCs w:val="22"/>
        </w:rPr>
        <w:t>Eriksonian</w:t>
      </w:r>
      <w:proofErr w:type="spellEnd"/>
      <w:r w:rsidRPr="002C5996">
        <w:rPr>
          <w:rFonts w:ascii="Arial" w:hAnsi="Arial" w:cs="Arial"/>
          <w:sz w:val="22"/>
          <w:szCs w:val="22"/>
        </w:rPr>
        <w:t xml:space="preserve"> psychosocial development: Setting the stage for late-life cognitive and emotional health’, Developmental Psychology. </w:t>
      </w:r>
    </w:p>
    <w:p w14:paraId="4D3FE71A" w14:textId="275A1307" w:rsidR="00452136" w:rsidRPr="00452136" w:rsidRDefault="00452136" w:rsidP="002C5996">
      <w:pPr>
        <w:rPr>
          <w:rFonts w:ascii="Arial" w:hAnsi="Arial" w:cs="Arial"/>
          <w:i/>
          <w:iCs/>
          <w:sz w:val="22"/>
          <w:szCs w:val="22"/>
          <w:u w:val="single"/>
        </w:rPr>
      </w:pPr>
      <w:r w:rsidRPr="00452136">
        <w:rPr>
          <w:rFonts w:ascii="Arial" w:hAnsi="Arial" w:cs="Arial"/>
          <w:i/>
          <w:iCs/>
          <w:sz w:val="22"/>
          <w:szCs w:val="22"/>
          <w:u w:val="single"/>
        </w:rPr>
        <w:t>https://psycnet.apa.org/doiLanding?doi=10.1037%2Fa0039875</w:t>
      </w:r>
    </w:p>
    <w:p w14:paraId="39BD118D" w14:textId="77777777" w:rsidR="002C5996" w:rsidRPr="002C5996" w:rsidRDefault="002C5996" w:rsidP="002C5996">
      <w:pPr>
        <w:rPr>
          <w:rFonts w:ascii="Arial" w:hAnsi="Arial" w:cs="Arial"/>
          <w:sz w:val="22"/>
          <w:szCs w:val="22"/>
        </w:rPr>
      </w:pPr>
    </w:p>
    <w:p w14:paraId="255712A2" w14:textId="724198D1" w:rsidR="002C5996" w:rsidRDefault="002C5996" w:rsidP="002C5996">
      <w:pPr>
        <w:rPr>
          <w:rFonts w:ascii="Arial" w:hAnsi="Arial" w:cs="Arial"/>
          <w:sz w:val="22"/>
          <w:szCs w:val="22"/>
        </w:rPr>
      </w:pPr>
      <w:r w:rsidRPr="002C5996">
        <w:rPr>
          <w:rFonts w:ascii="Arial" w:hAnsi="Arial" w:cs="Arial"/>
          <w:sz w:val="22"/>
          <w:szCs w:val="22"/>
        </w:rPr>
        <w:t>Marcia, J. E. (2002) ‘Identity and psychosocial development in adulthood’</w:t>
      </w:r>
      <w:r w:rsidR="00165620">
        <w:rPr>
          <w:rFonts w:ascii="Arial" w:hAnsi="Arial" w:cs="Arial"/>
          <w:sz w:val="22"/>
          <w:szCs w:val="22"/>
        </w:rPr>
        <w:t>.</w:t>
      </w:r>
    </w:p>
    <w:p w14:paraId="1872A479" w14:textId="4ADBEE5F" w:rsidR="002C5996" w:rsidRPr="00165620" w:rsidRDefault="00165620" w:rsidP="002C5996">
      <w:pPr>
        <w:rPr>
          <w:rFonts w:ascii="Arial" w:hAnsi="Arial" w:cs="Arial"/>
          <w:i/>
          <w:iCs/>
          <w:color w:val="000000" w:themeColor="text1"/>
          <w:sz w:val="22"/>
          <w:szCs w:val="22"/>
          <w:u w:val="single"/>
        </w:rPr>
      </w:pPr>
      <w:hyperlink r:id="rId5" w:history="1">
        <w:r w:rsidRPr="00165620">
          <w:rPr>
            <w:rStyle w:val="Hyperlink"/>
            <w:rFonts w:ascii="Arial" w:hAnsi="Arial" w:cs="Arial"/>
            <w:i/>
            <w:iCs/>
            <w:color w:val="000000" w:themeColor="text1"/>
            <w:sz w:val="22"/>
            <w:szCs w:val="22"/>
          </w:rPr>
          <w:t>https://www.tandfonline.com/doi/abs/10.1207/S1532706XID0201_02</w:t>
        </w:r>
      </w:hyperlink>
    </w:p>
    <w:p w14:paraId="00280C02" w14:textId="77777777" w:rsidR="00165620" w:rsidRPr="002C5996" w:rsidRDefault="00165620" w:rsidP="002C5996">
      <w:pPr>
        <w:rPr>
          <w:rFonts w:ascii="Arial" w:hAnsi="Arial" w:cs="Arial"/>
          <w:sz w:val="22"/>
          <w:szCs w:val="22"/>
        </w:rPr>
      </w:pPr>
    </w:p>
    <w:p w14:paraId="011C84B6" w14:textId="2A438BDA" w:rsidR="002C5996" w:rsidRDefault="002C5996" w:rsidP="002C5996">
      <w:pPr>
        <w:rPr>
          <w:rFonts w:ascii="Arial" w:hAnsi="Arial" w:cs="Arial"/>
          <w:sz w:val="22"/>
          <w:szCs w:val="22"/>
        </w:rPr>
      </w:pPr>
      <w:r w:rsidRPr="002C5996">
        <w:rPr>
          <w:rFonts w:ascii="Arial" w:hAnsi="Arial" w:cs="Arial"/>
          <w:sz w:val="22"/>
          <w:szCs w:val="22"/>
        </w:rPr>
        <w:t xml:space="preserve">Reynolds, C. F., Jeste, D. V., Sachdev, P. S. and Blazer, D. G. (2022) ‘Mental health care for older adults: Recent advances and new directions in clinical practice and research’, World Psychiatry. </w:t>
      </w:r>
    </w:p>
    <w:p w14:paraId="7A5668F8" w14:textId="3CE22D23" w:rsidR="00165620" w:rsidRPr="00165620" w:rsidRDefault="00165620" w:rsidP="002C5996">
      <w:pPr>
        <w:rPr>
          <w:rFonts w:ascii="Arial" w:hAnsi="Arial" w:cs="Arial"/>
          <w:i/>
          <w:iCs/>
          <w:sz w:val="22"/>
          <w:szCs w:val="22"/>
          <w:u w:val="single"/>
        </w:rPr>
      </w:pPr>
      <w:r w:rsidRPr="00165620">
        <w:rPr>
          <w:rFonts w:ascii="Arial" w:hAnsi="Arial" w:cs="Arial"/>
          <w:i/>
          <w:iCs/>
          <w:sz w:val="22"/>
          <w:szCs w:val="22"/>
          <w:u w:val="single"/>
        </w:rPr>
        <w:t>https://onlinelibrary.wiley.com/doi/10.1002/wps.20996</w:t>
      </w:r>
    </w:p>
    <w:p w14:paraId="3E1BE9EC" w14:textId="77777777" w:rsidR="002C5996" w:rsidRPr="002C5996" w:rsidRDefault="002C5996" w:rsidP="002C5996">
      <w:pPr>
        <w:rPr>
          <w:rFonts w:ascii="Arial" w:hAnsi="Arial" w:cs="Arial"/>
          <w:sz w:val="22"/>
          <w:szCs w:val="22"/>
        </w:rPr>
      </w:pPr>
    </w:p>
    <w:p w14:paraId="78C04C89" w14:textId="6A45A76D" w:rsidR="00165620" w:rsidRDefault="002C5996" w:rsidP="002C5996">
      <w:pPr>
        <w:rPr>
          <w:rFonts w:ascii="Arial" w:hAnsi="Arial" w:cs="Arial"/>
          <w:sz w:val="22"/>
          <w:szCs w:val="22"/>
        </w:rPr>
      </w:pPr>
      <w:r w:rsidRPr="002C5996">
        <w:rPr>
          <w:rFonts w:ascii="Arial" w:hAnsi="Arial" w:cs="Arial"/>
          <w:sz w:val="22"/>
          <w:szCs w:val="22"/>
        </w:rPr>
        <w:t>Tetsuka, S. (2021) ‘Depression and dementia in older adults: A neuropsychological review’, Aging and Disease</w:t>
      </w:r>
      <w:r w:rsidR="00165620">
        <w:rPr>
          <w:rFonts w:ascii="Arial" w:hAnsi="Arial" w:cs="Arial"/>
          <w:sz w:val="22"/>
          <w:szCs w:val="22"/>
        </w:rPr>
        <w:t>.</w:t>
      </w:r>
      <w:r w:rsidRPr="002C5996">
        <w:rPr>
          <w:rFonts w:ascii="Arial" w:hAnsi="Arial" w:cs="Arial"/>
          <w:sz w:val="22"/>
          <w:szCs w:val="22"/>
        </w:rPr>
        <w:t xml:space="preserve"> </w:t>
      </w:r>
    </w:p>
    <w:p w14:paraId="5919180A" w14:textId="427494F7" w:rsidR="002C5996" w:rsidRPr="00165620" w:rsidRDefault="00165620" w:rsidP="002C5996">
      <w:pPr>
        <w:rPr>
          <w:rFonts w:ascii="Arial" w:hAnsi="Arial" w:cs="Arial"/>
          <w:i/>
          <w:iCs/>
          <w:sz w:val="22"/>
          <w:szCs w:val="22"/>
          <w:u w:val="single"/>
        </w:rPr>
      </w:pPr>
      <w:r w:rsidRPr="00165620">
        <w:rPr>
          <w:rFonts w:ascii="Arial" w:hAnsi="Arial" w:cs="Arial"/>
          <w:i/>
          <w:iCs/>
          <w:sz w:val="22"/>
          <w:szCs w:val="22"/>
          <w:u w:val="single"/>
        </w:rPr>
        <w:t>https://www.aginganddisease.org/EN/10.14336/AD.2021.0526</w:t>
      </w:r>
    </w:p>
    <w:p w14:paraId="6C0FA198" w14:textId="77777777" w:rsidR="00165620" w:rsidRPr="002C5996" w:rsidRDefault="00165620" w:rsidP="002C5996">
      <w:pPr>
        <w:rPr>
          <w:rFonts w:ascii="Arial" w:hAnsi="Arial" w:cs="Arial"/>
          <w:sz w:val="22"/>
          <w:szCs w:val="22"/>
        </w:rPr>
      </w:pPr>
    </w:p>
    <w:p w14:paraId="32BC11D9" w14:textId="50036309" w:rsidR="002C5996" w:rsidRDefault="002C5996" w:rsidP="002C5996">
      <w:pPr>
        <w:rPr>
          <w:rFonts w:ascii="Arial" w:hAnsi="Arial" w:cs="Arial"/>
          <w:sz w:val="22"/>
          <w:szCs w:val="22"/>
        </w:rPr>
      </w:pPr>
      <w:r w:rsidRPr="002C5996">
        <w:rPr>
          <w:rFonts w:ascii="Arial" w:hAnsi="Arial" w:cs="Arial"/>
          <w:sz w:val="22"/>
          <w:szCs w:val="22"/>
        </w:rPr>
        <w:t>Van Manen, K.-J. and Whitbourne, S. K. (1997) ‘Psychosocial development and life experiences in adulthood: A 22-year sequential study’, Psychology and Aging</w:t>
      </w:r>
      <w:r w:rsidR="00165620">
        <w:rPr>
          <w:rFonts w:ascii="Arial" w:hAnsi="Arial" w:cs="Arial"/>
          <w:sz w:val="22"/>
          <w:szCs w:val="22"/>
        </w:rPr>
        <w:t>.</w:t>
      </w:r>
      <w:r w:rsidRPr="002C5996">
        <w:rPr>
          <w:rFonts w:ascii="Arial" w:hAnsi="Arial" w:cs="Arial"/>
          <w:sz w:val="22"/>
          <w:szCs w:val="22"/>
        </w:rPr>
        <w:t xml:space="preserve"> </w:t>
      </w:r>
    </w:p>
    <w:p w14:paraId="38B99ACC" w14:textId="48FAF235" w:rsidR="00165620" w:rsidRPr="00165620" w:rsidRDefault="00165620" w:rsidP="002C5996">
      <w:pPr>
        <w:rPr>
          <w:rFonts w:ascii="Arial" w:hAnsi="Arial" w:cs="Arial"/>
          <w:i/>
          <w:iCs/>
          <w:sz w:val="22"/>
          <w:szCs w:val="22"/>
          <w:u w:val="single"/>
        </w:rPr>
      </w:pPr>
      <w:r w:rsidRPr="00165620">
        <w:rPr>
          <w:rFonts w:ascii="Arial" w:hAnsi="Arial" w:cs="Arial"/>
          <w:i/>
          <w:iCs/>
          <w:sz w:val="22"/>
          <w:szCs w:val="22"/>
          <w:u w:val="single"/>
        </w:rPr>
        <w:t>https://psycnet.apa.org/doiLanding?doi=10.1037%2F0882-7974.12.2.239</w:t>
      </w:r>
    </w:p>
    <w:p w14:paraId="74057FFB" w14:textId="77777777" w:rsidR="002C5996" w:rsidRPr="002C5996" w:rsidRDefault="002C5996" w:rsidP="002C5996">
      <w:pPr>
        <w:rPr>
          <w:rFonts w:ascii="Arial" w:hAnsi="Arial" w:cs="Arial"/>
          <w:sz w:val="22"/>
          <w:szCs w:val="22"/>
        </w:rPr>
      </w:pPr>
    </w:p>
    <w:p w14:paraId="341FC296" w14:textId="77777777" w:rsidR="00165620" w:rsidRDefault="002C5996" w:rsidP="002C5996">
      <w:pPr>
        <w:rPr>
          <w:rFonts w:ascii="Arial" w:hAnsi="Arial" w:cs="Arial"/>
          <w:sz w:val="22"/>
          <w:szCs w:val="22"/>
        </w:rPr>
      </w:pPr>
      <w:r w:rsidRPr="002C5996">
        <w:rPr>
          <w:rFonts w:ascii="Arial" w:hAnsi="Arial" w:cs="Arial"/>
          <w:sz w:val="22"/>
          <w:szCs w:val="22"/>
        </w:rPr>
        <w:t>Whitbourne, S. K. and Waterman, A. S. (1979) ‘Psychosocial development during the adult years: Age and cohort comparisons’, Developmental Psychology</w:t>
      </w:r>
      <w:r w:rsidR="00165620">
        <w:rPr>
          <w:rFonts w:ascii="Arial" w:hAnsi="Arial" w:cs="Arial"/>
          <w:sz w:val="22"/>
          <w:szCs w:val="22"/>
        </w:rPr>
        <w:t>.</w:t>
      </w:r>
    </w:p>
    <w:p w14:paraId="64B8AC20" w14:textId="7DBABABD" w:rsidR="002C5996" w:rsidRPr="00165620" w:rsidRDefault="00165620" w:rsidP="002C5996">
      <w:pPr>
        <w:rPr>
          <w:rFonts w:ascii="Arial" w:hAnsi="Arial" w:cs="Arial"/>
          <w:i/>
          <w:iCs/>
          <w:sz w:val="22"/>
          <w:szCs w:val="22"/>
          <w:u w:val="single"/>
        </w:rPr>
      </w:pPr>
      <w:r w:rsidRPr="00165620">
        <w:rPr>
          <w:rFonts w:ascii="Arial" w:hAnsi="Arial" w:cs="Arial"/>
          <w:i/>
          <w:iCs/>
          <w:sz w:val="22"/>
          <w:szCs w:val="22"/>
          <w:u w:val="single"/>
        </w:rPr>
        <w:t>https://psycnet.apa.org/doiLanding?doi=10.1037%2F0012-1649.15.4.373</w:t>
      </w:r>
    </w:p>
    <w:p w14:paraId="1BB03612" w14:textId="77777777" w:rsidR="002C5996" w:rsidRPr="002C5996" w:rsidRDefault="002C5996" w:rsidP="002C5996">
      <w:pPr>
        <w:rPr>
          <w:rFonts w:ascii="Arial" w:hAnsi="Arial" w:cs="Arial"/>
          <w:sz w:val="22"/>
          <w:szCs w:val="22"/>
        </w:rPr>
      </w:pPr>
      <w:r w:rsidRPr="002C5996">
        <w:rPr>
          <w:rFonts w:ascii="Arial" w:hAnsi="Arial" w:cs="Arial"/>
          <w:sz w:val="22"/>
          <w:szCs w:val="22"/>
        </w:rPr>
        <w:t xml:space="preserve"> </w:t>
      </w:r>
    </w:p>
    <w:p w14:paraId="52172056" w14:textId="77777777" w:rsidR="002C5996" w:rsidRPr="002C5996" w:rsidRDefault="002C5996" w:rsidP="002C5996">
      <w:pPr>
        <w:rPr>
          <w:rFonts w:ascii="Arial" w:hAnsi="Arial" w:cs="Arial"/>
          <w:sz w:val="22"/>
          <w:szCs w:val="22"/>
        </w:rPr>
      </w:pPr>
    </w:p>
    <w:p w14:paraId="49C16CB6" w14:textId="77777777" w:rsidR="002C5996" w:rsidRPr="002C5996" w:rsidRDefault="002C5996">
      <w:pPr>
        <w:rPr>
          <w:rFonts w:ascii="Arial" w:hAnsi="Arial" w:cs="Arial"/>
          <w:sz w:val="22"/>
          <w:szCs w:val="22"/>
        </w:rPr>
      </w:pPr>
    </w:p>
    <w:sectPr w:rsidR="002C5996" w:rsidRPr="002C599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F3787A"/>
    <w:multiLevelType w:val="hybridMultilevel"/>
    <w:tmpl w:val="5F0250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EE5AB1"/>
    <w:multiLevelType w:val="hybridMultilevel"/>
    <w:tmpl w:val="16ECA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24B55B9"/>
    <w:multiLevelType w:val="hybridMultilevel"/>
    <w:tmpl w:val="C0006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70551D"/>
    <w:multiLevelType w:val="hybridMultilevel"/>
    <w:tmpl w:val="F2C86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86609264">
    <w:abstractNumId w:val="0"/>
  </w:num>
  <w:num w:numId="2" w16cid:durableId="1405759125">
    <w:abstractNumId w:val="3"/>
  </w:num>
  <w:num w:numId="3" w16cid:durableId="1736929052">
    <w:abstractNumId w:val="1"/>
  </w:num>
  <w:num w:numId="4" w16cid:durableId="21917240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996"/>
    <w:rsid w:val="00165620"/>
    <w:rsid w:val="00283C7B"/>
    <w:rsid w:val="002C5996"/>
    <w:rsid w:val="00452136"/>
    <w:rsid w:val="00567315"/>
    <w:rsid w:val="005D083C"/>
    <w:rsid w:val="009D3ED7"/>
    <w:rsid w:val="00EF07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4F0BB7"/>
  <w15:chartTrackingRefBased/>
  <w15:docId w15:val="{2748A2FD-4594-4257-9F49-610DFF16B8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599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C599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C599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599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599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599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599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599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599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599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C599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C599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C599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599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599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599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599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5996"/>
    <w:rPr>
      <w:rFonts w:eastAsiaTheme="majorEastAsia" w:cstheme="majorBidi"/>
      <w:color w:val="272727" w:themeColor="text1" w:themeTint="D8"/>
    </w:rPr>
  </w:style>
  <w:style w:type="paragraph" w:styleId="Title">
    <w:name w:val="Title"/>
    <w:basedOn w:val="Normal"/>
    <w:next w:val="Normal"/>
    <w:link w:val="TitleChar"/>
    <w:uiPriority w:val="10"/>
    <w:qFormat/>
    <w:rsid w:val="002C59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599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599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599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5996"/>
    <w:pPr>
      <w:spacing w:before="160"/>
      <w:jc w:val="center"/>
    </w:pPr>
    <w:rPr>
      <w:i/>
      <w:iCs/>
      <w:color w:val="404040" w:themeColor="text1" w:themeTint="BF"/>
    </w:rPr>
  </w:style>
  <w:style w:type="character" w:customStyle="1" w:styleId="QuoteChar">
    <w:name w:val="Quote Char"/>
    <w:basedOn w:val="DefaultParagraphFont"/>
    <w:link w:val="Quote"/>
    <w:uiPriority w:val="29"/>
    <w:rsid w:val="002C5996"/>
    <w:rPr>
      <w:i/>
      <w:iCs/>
      <w:color w:val="404040" w:themeColor="text1" w:themeTint="BF"/>
    </w:rPr>
  </w:style>
  <w:style w:type="paragraph" w:styleId="ListParagraph">
    <w:name w:val="List Paragraph"/>
    <w:basedOn w:val="Normal"/>
    <w:uiPriority w:val="34"/>
    <w:qFormat/>
    <w:rsid w:val="002C5996"/>
    <w:pPr>
      <w:ind w:left="720"/>
      <w:contextualSpacing/>
    </w:pPr>
  </w:style>
  <w:style w:type="character" w:styleId="IntenseEmphasis">
    <w:name w:val="Intense Emphasis"/>
    <w:basedOn w:val="DefaultParagraphFont"/>
    <w:uiPriority w:val="21"/>
    <w:qFormat/>
    <w:rsid w:val="002C5996"/>
    <w:rPr>
      <w:i/>
      <w:iCs/>
      <w:color w:val="0F4761" w:themeColor="accent1" w:themeShade="BF"/>
    </w:rPr>
  </w:style>
  <w:style w:type="paragraph" w:styleId="IntenseQuote">
    <w:name w:val="Intense Quote"/>
    <w:basedOn w:val="Normal"/>
    <w:next w:val="Normal"/>
    <w:link w:val="IntenseQuoteChar"/>
    <w:uiPriority w:val="30"/>
    <w:qFormat/>
    <w:rsid w:val="002C59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5996"/>
    <w:rPr>
      <w:i/>
      <w:iCs/>
      <w:color w:val="0F4761" w:themeColor="accent1" w:themeShade="BF"/>
    </w:rPr>
  </w:style>
  <w:style w:type="character" w:styleId="IntenseReference">
    <w:name w:val="Intense Reference"/>
    <w:basedOn w:val="DefaultParagraphFont"/>
    <w:uiPriority w:val="32"/>
    <w:qFormat/>
    <w:rsid w:val="002C5996"/>
    <w:rPr>
      <w:b/>
      <w:bCs/>
      <w:smallCaps/>
      <w:color w:val="0F4761" w:themeColor="accent1" w:themeShade="BF"/>
      <w:spacing w:val="5"/>
    </w:rPr>
  </w:style>
  <w:style w:type="character" w:styleId="Hyperlink">
    <w:name w:val="Hyperlink"/>
    <w:basedOn w:val="DefaultParagraphFont"/>
    <w:uiPriority w:val="99"/>
    <w:unhideWhenUsed/>
    <w:rsid w:val="00165620"/>
    <w:rPr>
      <w:color w:val="467886" w:themeColor="hyperlink"/>
      <w:u w:val="single"/>
    </w:rPr>
  </w:style>
  <w:style w:type="character" w:styleId="UnresolvedMention">
    <w:name w:val="Unresolved Mention"/>
    <w:basedOn w:val="DefaultParagraphFont"/>
    <w:uiPriority w:val="99"/>
    <w:semiHidden/>
    <w:unhideWhenUsed/>
    <w:rsid w:val="001656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tandfonline.com/doi/abs/10.1207/S1532706XID0201_02"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48</TotalTime>
  <Pages>7</Pages>
  <Words>2376</Words>
  <Characters>13546</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Haroon Lookman</dc:creator>
  <cp:keywords/>
  <dc:description/>
  <cp:lastModifiedBy>Haroon Lookman</cp:lastModifiedBy>
  <cp:revision>2</cp:revision>
  <dcterms:created xsi:type="dcterms:W3CDTF">2025-11-16T23:20:00Z</dcterms:created>
  <dcterms:modified xsi:type="dcterms:W3CDTF">2025-11-17T00:13:00Z</dcterms:modified>
</cp:coreProperties>
</file>