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354E21" w14:textId="77777777" w:rsidR="0085555C" w:rsidRDefault="00B94EA4">
      <w:pPr>
        <w:pStyle w:val="Heading2"/>
      </w:pPr>
      <w:r>
        <w:t>1. Introduction</w:t>
      </w:r>
    </w:p>
    <w:p w14:paraId="58032F50" w14:textId="7EDC429D" w:rsidR="0085555C" w:rsidRDefault="00B94EA4">
      <w:pPr>
        <w:pStyle w:val="BodyText"/>
      </w:pPr>
      <w:r>
        <w:t xml:space="preserve">In this section I produce the analysis </w:t>
      </w:r>
      <w:r>
        <w:t xml:space="preserve">of </w:t>
      </w:r>
      <w:r>
        <w:t>my findings that were collected through the questionnaire distributed to Police Community Support Officers (PCSOs) within South Wales Police. The mission of this analysis is to find out how PCSOs perceive and rate their role, powers and the impact.</w:t>
      </w:r>
    </w:p>
    <w:p w14:paraId="0D3AFC6A" w14:textId="77777777" w:rsidR="0085555C" w:rsidRDefault="00B94EA4">
      <w:pPr>
        <w:pStyle w:val="BodyText"/>
      </w:pPr>
      <w:r>
        <w:t xml:space="preserve">The analysis has a mixed-method plan, using both quantitative and qualitative data. Quantitative data is used to find patterns that show up in the data, while qualitative data finds out deeper insight into the PCSO’s opinions. This combined approach gives me a fuller understanding of the PCSO role and the opinions on it </w:t>
      </w:r>
      <w:r>
        <w:rPr>
          <w:rFonts w:ascii="Times New Roman" w:hAnsi="Times New Roman"/>
        </w:rPr>
        <w:t>(</w:t>
      </w:r>
      <w:proofErr w:type="spellStart"/>
      <w:r>
        <w:rPr>
          <w:rFonts w:ascii="Times New Roman" w:hAnsi="Times New Roman"/>
        </w:rPr>
        <w:t>Taherdoost</w:t>
      </w:r>
      <w:proofErr w:type="spellEnd"/>
      <w:r>
        <w:rPr>
          <w:rFonts w:ascii="Times New Roman" w:hAnsi="Times New Roman"/>
        </w:rPr>
        <w:t>, 2022)</w:t>
      </w:r>
      <w:r>
        <w:t>.</w:t>
      </w:r>
    </w:p>
    <w:p w14:paraId="2AF214A6" w14:textId="77777777" w:rsidR="0085555C" w:rsidRDefault="00B94EA4">
      <w:pPr>
        <w:pStyle w:val="BodyText"/>
      </w:pPr>
      <w:r>
        <w:t xml:space="preserve">The results are compared to key policing theories, especially community policing and police legitimacy. Community policing is usually engagement, presence and partnership with the public, while police legitimacy focuses on trust, equality confidence in policing </w:t>
      </w:r>
      <w:r>
        <w:rPr>
          <w:rFonts w:ascii="Times New Roman" w:hAnsi="Times New Roman"/>
        </w:rPr>
        <w:t>(</w:t>
      </w:r>
      <w:proofErr w:type="spellStart"/>
      <w:r>
        <w:rPr>
          <w:rFonts w:ascii="Times New Roman" w:hAnsi="Times New Roman"/>
        </w:rPr>
        <w:t>Skogan</w:t>
      </w:r>
      <w:proofErr w:type="spellEnd"/>
      <w:r>
        <w:rPr>
          <w:rFonts w:ascii="Times New Roman" w:hAnsi="Times New Roman"/>
        </w:rPr>
        <w:t>, 2019)</w:t>
      </w:r>
      <w:r>
        <w:rPr>
          <w:i/>
          <w:iCs/>
        </w:rPr>
        <w:t>.</w:t>
      </w:r>
    </w:p>
    <w:p w14:paraId="240EE93E" w14:textId="77777777" w:rsidR="0085555C" w:rsidRDefault="0085555C">
      <w:pPr>
        <w:pStyle w:val="Heading2"/>
        <w:spacing w:before="0" w:after="140" w:line="276" w:lineRule="auto"/>
      </w:pPr>
    </w:p>
    <w:p w14:paraId="6B16A731" w14:textId="77777777" w:rsidR="0085555C" w:rsidRDefault="00B94EA4">
      <w:pPr>
        <w:pStyle w:val="Heading2"/>
        <w:spacing w:before="0" w:after="140" w:line="276" w:lineRule="auto"/>
      </w:pPr>
      <w:r>
        <w:t>2. Quantitative Analysis</w:t>
      </w:r>
    </w:p>
    <w:p w14:paraId="5F19016E" w14:textId="77777777" w:rsidR="0085555C" w:rsidRDefault="00B94EA4">
      <w:pPr>
        <w:pStyle w:val="Heading3"/>
        <w:spacing w:before="0" w:after="140" w:line="276" w:lineRule="auto"/>
      </w:pPr>
      <w:r>
        <w:t>2.1 Perceptions of the PCSO Role</w:t>
      </w:r>
    </w:p>
    <w:p w14:paraId="5D58B1E6" w14:textId="65E3988B" w:rsidR="0085555C" w:rsidRDefault="00B94EA4">
      <w:pPr>
        <w:pStyle w:val="BodyText"/>
      </w:pPr>
      <w:r>
        <w:t xml:space="preserve">As shown in Figure 1, </w:t>
      </w:r>
      <w:r>
        <w:rPr>
          <w:rFonts w:hint="eastAsia"/>
        </w:rPr>
        <w:t>a</w:t>
      </w:r>
      <w:r>
        <w:t xml:space="preserve"> large </w:t>
      </w:r>
      <w:proofErr w:type="gramStart"/>
      <w:r>
        <w:t>amount</w:t>
      </w:r>
      <w:proofErr w:type="gramEnd"/>
      <w:r>
        <w:t xml:space="preserve"> of participants either agreed or strongly agreed that the role is very important, with a small amount expressing neutral or negative views.</w:t>
      </w:r>
    </w:p>
    <w:p w14:paraId="2EADB5B3" w14:textId="77777777" w:rsidR="0085555C" w:rsidRDefault="0085555C">
      <w:pPr>
        <w:pStyle w:val="BodyText"/>
      </w:pPr>
    </w:p>
    <w:p w14:paraId="59205224" w14:textId="77777777" w:rsidR="0085555C" w:rsidRDefault="00B94EA4">
      <w:pPr>
        <w:pStyle w:val="BodyText"/>
      </w:pPr>
      <w:r>
        <w:rPr>
          <w:noProof/>
        </w:rPr>
        <w:drawing>
          <wp:inline distT="0" distB="0" distL="0" distR="0" wp14:anchorId="1A309FBC" wp14:editId="566CB4E7">
            <wp:extent cx="2094230" cy="15709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5"/>
                    <a:stretch>
                      <a:fillRect/>
                    </a:stretch>
                  </pic:blipFill>
                  <pic:spPr bwMode="auto">
                    <a:xfrm>
                      <a:off x="0" y="0"/>
                      <a:ext cx="2094230" cy="1570990"/>
                    </a:xfrm>
                    <a:prstGeom prst="rect">
                      <a:avLst/>
                    </a:prstGeom>
                    <a:noFill/>
                  </pic:spPr>
                </pic:pic>
              </a:graphicData>
            </a:graphic>
          </wp:inline>
        </w:drawing>
      </w:r>
    </w:p>
    <w:p w14:paraId="47FC1F2C" w14:textId="77777777" w:rsidR="0085555C" w:rsidRDefault="00B94EA4">
      <w:pPr>
        <w:rPr>
          <w:rFonts w:ascii="Segoe Fluent Icons" w:hAnsi="Segoe Fluent Icons"/>
          <w:i/>
          <w:iCs/>
          <w:sz w:val="20"/>
          <w:szCs w:val="20"/>
        </w:rPr>
      </w:pPr>
      <w:r>
        <w:rPr>
          <w:rFonts w:ascii="Segoe Fluent Icons" w:hAnsi="Segoe Fluent Icons"/>
          <w:i/>
          <w:iCs/>
          <w:sz w:val="20"/>
          <w:szCs w:val="20"/>
        </w:rPr>
        <w:t>Figure 1: PCSO Perception of Role Importance</w:t>
      </w:r>
      <w:r>
        <w:rPr>
          <w:rFonts w:ascii="Segoe Fluent Icons" w:hAnsi="Segoe Fluent Icons"/>
          <w:i/>
          <w:iCs/>
          <w:sz w:val="20"/>
          <w:szCs w:val="20"/>
        </w:rPr>
        <w:br/>
        <w:t>Source: Author’s own data (2026)</w:t>
      </w:r>
    </w:p>
    <w:p w14:paraId="2E44AAA2" w14:textId="77777777" w:rsidR="0085555C" w:rsidRDefault="0085555C">
      <w:pPr>
        <w:pStyle w:val="BodyText"/>
        <w:rPr>
          <w:rFonts w:ascii="Segoe Fluent Icons" w:hAnsi="Segoe Fluent Icons"/>
          <w:sz w:val="20"/>
          <w:szCs w:val="20"/>
        </w:rPr>
      </w:pPr>
    </w:p>
    <w:p w14:paraId="1B52E5EA" w14:textId="77777777" w:rsidR="0085555C" w:rsidRDefault="00B94EA4">
      <w:pPr>
        <w:pStyle w:val="BodyText"/>
      </w:pPr>
      <w:r>
        <w:t xml:space="preserve">This suggests that PCSOs overall regard their role as valuable and meaningful within the police. This shows that community policing is regard as very important and works alongside the police policies, which pushes visible and community-based roles in safeguarding public reassurance and engagement </w:t>
      </w:r>
      <w:r>
        <w:rPr>
          <w:i/>
          <w:iCs/>
        </w:rPr>
        <w:t>(Innes, 2004)</w:t>
      </w:r>
      <w:r>
        <w:t>.</w:t>
      </w:r>
    </w:p>
    <w:p w14:paraId="564B0C69" w14:textId="4CE2EC80" w:rsidR="0085555C" w:rsidRDefault="00B94EA4">
      <w:pPr>
        <w:pStyle w:val="BodyText"/>
      </w:pPr>
      <w:r>
        <w:t>From a theorized perspective</w:t>
      </w:r>
      <w:r>
        <w:t xml:space="preserve">, this also showcases the idea of police legitimacy. Legitimacy is built not only through police enforcement but through trust, presence and positive public interaction </w:t>
      </w:r>
      <w:r>
        <w:rPr>
          <w:i/>
          <w:iCs/>
        </w:rPr>
        <w:t>(Bradford and Hough, 2012)</w:t>
      </w:r>
      <w:r>
        <w:t>. The positive view of role necessity therefore shows that PCSOs believe and recognise their importance in maintaining legitimacy within communities.</w:t>
      </w:r>
    </w:p>
    <w:p w14:paraId="18280026" w14:textId="77777777" w:rsidR="0085555C" w:rsidRDefault="0085555C">
      <w:pPr>
        <w:spacing w:after="140" w:line="276" w:lineRule="auto"/>
      </w:pPr>
    </w:p>
    <w:p w14:paraId="519A69C6" w14:textId="77777777" w:rsidR="0085555C" w:rsidRDefault="0085555C">
      <w:pPr>
        <w:pStyle w:val="BodyText"/>
      </w:pPr>
    </w:p>
    <w:p w14:paraId="2BD8C512" w14:textId="77777777" w:rsidR="0085555C" w:rsidRDefault="00B94EA4">
      <w:pPr>
        <w:pStyle w:val="Heading3"/>
        <w:spacing w:before="0" w:after="140" w:line="276" w:lineRule="auto"/>
      </w:pPr>
      <w:r>
        <w:lastRenderedPageBreak/>
        <w:t>2.2 Perceptions of Powers</w:t>
      </w:r>
    </w:p>
    <w:p w14:paraId="360D0BD9" w14:textId="32E67D2C" w:rsidR="0085555C" w:rsidRDefault="00B94EA4">
      <w:pPr>
        <w:pStyle w:val="BodyText"/>
      </w:pPr>
      <w:r>
        <w:t>Figure 2 shows a more negative</w:t>
      </w:r>
      <w:r>
        <w:t xml:space="preserve"> response to the strength of PCSO powers, with a large proportion of PCSO’s expressing disagreement.</w:t>
      </w:r>
    </w:p>
    <w:p w14:paraId="2D8C422C" w14:textId="77777777" w:rsidR="0085555C" w:rsidRDefault="00B94EA4">
      <w:pPr>
        <w:pStyle w:val="BodyText"/>
      </w:pPr>
      <w:r>
        <w:rPr>
          <w:noProof/>
        </w:rPr>
        <w:drawing>
          <wp:anchor distT="0" distB="0" distL="0" distR="0" simplePos="0" relativeHeight="5" behindDoc="0" locked="0" layoutInCell="0" allowOverlap="1" wp14:anchorId="2364F84F" wp14:editId="7396A1DF">
            <wp:simplePos x="0" y="0"/>
            <wp:positionH relativeFrom="column">
              <wp:posOffset>-152400</wp:posOffset>
            </wp:positionH>
            <wp:positionV relativeFrom="paragraph">
              <wp:posOffset>29210</wp:posOffset>
            </wp:positionV>
            <wp:extent cx="2099945" cy="1574800"/>
            <wp:effectExtent l="0" t="0" r="0" b="0"/>
            <wp:wrapSquare wrapText="largest"/>
            <wp:docPr id="2"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pic:cNvPicPr>
                      <a:picLocks noChangeAspect="1" noChangeArrowheads="1"/>
                    </pic:cNvPicPr>
                  </pic:nvPicPr>
                  <pic:blipFill>
                    <a:blip r:embed="rId6"/>
                    <a:stretch>
                      <a:fillRect/>
                    </a:stretch>
                  </pic:blipFill>
                  <pic:spPr bwMode="auto">
                    <a:xfrm>
                      <a:off x="0" y="0"/>
                      <a:ext cx="2099945" cy="1574800"/>
                    </a:xfrm>
                    <a:prstGeom prst="rect">
                      <a:avLst/>
                    </a:prstGeom>
                    <a:noFill/>
                  </pic:spPr>
                </pic:pic>
              </a:graphicData>
            </a:graphic>
          </wp:anchor>
        </w:drawing>
      </w:r>
    </w:p>
    <w:p w14:paraId="78D3709E" w14:textId="77777777" w:rsidR="0085555C" w:rsidRDefault="0085555C">
      <w:pPr>
        <w:pStyle w:val="BodyText"/>
      </w:pPr>
    </w:p>
    <w:p w14:paraId="6294470C" w14:textId="77777777" w:rsidR="0085555C" w:rsidRDefault="0085555C">
      <w:pPr>
        <w:pStyle w:val="BodyText"/>
      </w:pPr>
    </w:p>
    <w:p w14:paraId="6D7675B1" w14:textId="77777777" w:rsidR="0085555C" w:rsidRDefault="0085555C">
      <w:pPr>
        <w:pStyle w:val="BodyText"/>
      </w:pPr>
    </w:p>
    <w:p w14:paraId="748DFB70" w14:textId="77777777" w:rsidR="0085555C" w:rsidRDefault="0085555C">
      <w:pPr>
        <w:pStyle w:val="BodyText"/>
      </w:pPr>
    </w:p>
    <w:p w14:paraId="05F3E683" w14:textId="77777777" w:rsidR="0085555C" w:rsidRDefault="0085555C">
      <w:pPr>
        <w:pStyle w:val="BodyText"/>
      </w:pPr>
    </w:p>
    <w:p w14:paraId="78DED593" w14:textId="77777777" w:rsidR="0085555C" w:rsidRDefault="00B94EA4">
      <w:pPr>
        <w:rPr>
          <w:rFonts w:ascii="Segoe Fluent Icons" w:hAnsi="Segoe Fluent Icons"/>
          <w:i/>
          <w:iCs/>
          <w:sz w:val="20"/>
          <w:szCs w:val="20"/>
        </w:rPr>
      </w:pPr>
      <w:r>
        <w:rPr>
          <w:rFonts w:ascii="Segoe Fluent Icons" w:hAnsi="Segoe Fluent Icons"/>
          <w:i/>
          <w:iCs/>
          <w:sz w:val="20"/>
          <w:szCs w:val="20"/>
        </w:rPr>
        <w:t>Figure 2: PCSO Perception of Powers</w:t>
      </w:r>
      <w:r>
        <w:rPr>
          <w:rFonts w:ascii="Segoe Fluent Icons" w:hAnsi="Segoe Fluent Icons"/>
          <w:i/>
          <w:iCs/>
          <w:sz w:val="20"/>
          <w:szCs w:val="20"/>
        </w:rPr>
        <w:br/>
        <w:t>Source: Author’s own data (2026)</w:t>
      </w:r>
    </w:p>
    <w:p w14:paraId="17B46C21" w14:textId="77777777" w:rsidR="0085555C" w:rsidRDefault="0085555C">
      <w:pPr>
        <w:pStyle w:val="BodyText"/>
      </w:pPr>
    </w:p>
    <w:p w14:paraId="7FA4EE0C" w14:textId="26B7FA5E" w:rsidR="0085555C" w:rsidRDefault="00B94EA4">
      <w:pPr>
        <w:pStyle w:val="BodyText"/>
      </w:pPr>
      <w:r>
        <w:t>This highlights a key tension within the role. While PCSOs understand their importance, a large amount feel</w:t>
      </w:r>
      <w:r>
        <w:rPr>
          <w:rFonts w:hint="eastAsia"/>
        </w:rPr>
        <w:t>s</w:t>
      </w:r>
      <w:r>
        <w:t xml:space="preserve"> under powered in their operational capabilities. The research will also show</w:t>
      </w:r>
      <w:r>
        <w:t xml:space="preserve"> that PCSOs will often face limitations because of restricted powers in contrast typical officers </w:t>
      </w:r>
      <w:r>
        <w:rPr>
          <w:i/>
          <w:iCs/>
        </w:rPr>
        <w:t>(Jones and Tilley, 2004)</w:t>
      </w:r>
      <w:r>
        <w:t>.</w:t>
      </w:r>
    </w:p>
    <w:p w14:paraId="754D4E2C" w14:textId="5AA71B3B" w:rsidR="0085555C" w:rsidRDefault="00B94EA4">
      <w:pPr>
        <w:pStyle w:val="BodyText"/>
      </w:pPr>
      <w:r>
        <w:t>In terms of legitimacy, this will have negative implications for perceived authority. Trust with engagement is</w:t>
      </w:r>
      <w:r>
        <w:t xml:space="preserve"> important, policing needs the ability to act effectively. When PCSOs are shown as lacking authority, this may impact their effectiveness and how they are viewed by the public </w:t>
      </w:r>
      <w:r>
        <w:rPr>
          <w:rFonts w:ascii="Times New Roman" w:hAnsi="Times New Roman"/>
        </w:rPr>
        <w:t>(Merritt, 2010)</w:t>
      </w:r>
      <w:r>
        <w:t>.</w:t>
      </w:r>
    </w:p>
    <w:p w14:paraId="31BCEC17" w14:textId="77777777" w:rsidR="0085555C" w:rsidRDefault="0085555C">
      <w:pPr>
        <w:pStyle w:val="Heading3"/>
        <w:spacing w:before="0" w:after="140" w:line="276" w:lineRule="auto"/>
      </w:pPr>
    </w:p>
    <w:p w14:paraId="37B9FCCE" w14:textId="77777777" w:rsidR="0085555C" w:rsidRDefault="00B94EA4">
      <w:pPr>
        <w:pStyle w:val="Heading3"/>
        <w:spacing w:before="0" w:after="140" w:line="276" w:lineRule="auto"/>
      </w:pPr>
      <w:r>
        <w:t>2.3 Perceived Impact on Anti-Social Behaviour</w:t>
      </w:r>
    </w:p>
    <w:p w14:paraId="75244B7E" w14:textId="77777777" w:rsidR="0085555C" w:rsidRDefault="00B94EA4">
      <w:pPr>
        <w:pStyle w:val="BodyText"/>
      </w:pPr>
      <w:r>
        <w:t>As shown in Figure 3, a majority of PCSO’s believe that PCSOs have a positive impact on anti-social behaviour in general.</w:t>
      </w:r>
    </w:p>
    <w:p w14:paraId="0C7106C1" w14:textId="77777777" w:rsidR="0085555C" w:rsidRDefault="00B94EA4">
      <w:pPr>
        <w:pStyle w:val="BodyText"/>
      </w:pPr>
      <w:r>
        <w:rPr>
          <w:noProof/>
        </w:rPr>
        <w:drawing>
          <wp:inline distT="0" distB="0" distL="0" distR="0" wp14:anchorId="74CCEA89" wp14:editId="744E73CA">
            <wp:extent cx="2807335" cy="21056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7"/>
                    <a:stretch>
                      <a:fillRect/>
                    </a:stretch>
                  </pic:blipFill>
                  <pic:spPr bwMode="auto">
                    <a:xfrm>
                      <a:off x="0" y="0"/>
                      <a:ext cx="2807335" cy="2105660"/>
                    </a:xfrm>
                    <a:prstGeom prst="rect">
                      <a:avLst/>
                    </a:prstGeom>
                    <a:noFill/>
                  </pic:spPr>
                </pic:pic>
              </a:graphicData>
            </a:graphic>
          </wp:inline>
        </w:drawing>
      </w:r>
    </w:p>
    <w:p w14:paraId="671CD5D4" w14:textId="77777777" w:rsidR="0085555C" w:rsidRDefault="00B94EA4">
      <w:pPr>
        <w:rPr>
          <w:rFonts w:ascii="Segoe Fluent Icons" w:hAnsi="Segoe Fluent Icons"/>
          <w:i/>
          <w:iCs/>
          <w:sz w:val="20"/>
          <w:szCs w:val="20"/>
        </w:rPr>
      </w:pPr>
      <w:r>
        <w:rPr>
          <w:rFonts w:ascii="Segoe Fluent Icons" w:hAnsi="Segoe Fluent Icons"/>
          <w:i/>
          <w:iCs/>
          <w:sz w:val="20"/>
          <w:szCs w:val="20"/>
        </w:rPr>
        <w:t>Figure 3: Impact on Anti-Social Behaviour</w:t>
      </w:r>
      <w:r>
        <w:rPr>
          <w:rFonts w:ascii="Segoe Fluent Icons" w:hAnsi="Segoe Fluent Icons"/>
          <w:i/>
          <w:iCs/>
          <w:sz w:val="20"/>
          <w:szCs w:val="20"/>
        </w:rPr>
        <w:br/>
        <w:t>Source: Author’s own data (2026)</w:t>
      </w:r>
    </w:p>
    <w:p w14:paraId="58441D4D" w14:textId="77777777" w:rsidR="0085555C" w:rsidRDefault="0085555C">
      <w:pPr>
        <w:pStyle w:val="BodyText"/>
      </w:pPr>
    </w:p>
    <w:p w14:paraId="4824F368" w14:textId="5F4D01F7" w:rsidR="0085555C" w:rsidRDefault="00B94EA4">
      <w:pPr>
        <w:pStyle w:val="BodyText"/>
      </w:pPr>
      <w:r>
        <w:lastRenderedPageBreak/>
        <w:t>These findings promote</w:t>
      </w:r>
      <w:r>
        <w:t xml:space="preserve"> the role of PCSOs within neighbourhood policing, where fighting anti-social behaviour is the priority. Research shows that being visible and engagement can reduce public fears about disorder and create a safer neighbourhood </w:t>
      </w:r>
      <w:r>
        <w:rPr>
          <w:rFonts w:ascii="Times New Roman" w:hAnsi="Times New Roman"/>
          <w:i/>
          <w:iCs/>
        </w:rPr>
        <w:t>(O’Neill, 2014</w:t>
      </w:r>
      <w:proofErr w:type="gramStart"/>
      <w:r>
        <w:rPr>
          <w:rFonts w:ascii="Times New Roman" w:hAnsi="Times New Roman"/>
          <w:i/>
          <w:iCs/>
        </w:rPr>
        <w:t>)</w:t>
      </w:r>
      <w:r>
        <w:t xml:space="preserve"> .</w:t>
      </w:r>
      <w:proofErr w:type="gramEnd"/>
    </w:p>
    <w:p w14:paraId="4C9AADDA" w14:textId="77777777" w:rsidR="0085555C" w:rsidRDefault="00B94EA4">
      <w:pPr>
        <w:pStyle w:val="BodyText"/>
      </w:pPr>
      <w:r>
        <w:t>This also merges with reassurance policing, where fighting disorder helps public confidence. PCSOs’ perceived effectiveness in this area suggests they are fulfilling an important function within community policing frameworks.</w:t>
      </w:r>
    </w:p>
    <w:p w14:paraId="650C7290" w14:textId="77777777" w:rsidR="0085555C" w:rsidRDefault="0085555C">
      <w:pPr>
        <w:pStyle w:val="Heading3"/>
        <w:spacing w:before="0" w:after="140" w:line="276" w:lineRule="auto"/>
      </w:pPr>
    </w:p>
    <w:p w14:paraId="2993ED82" w14:textId="77777777" w:rsidR="0085555C" w:rsidRDefault="00B94EA4">
      <w:pPr>
        <w:pStyle w:val="Heading3"/>
        <w:spacing w:before="0" w:after="140" w:line="276" w:lineRule="auto"/>
      </w:pPr>
      <w:r>
        <w:t>2.4 Relationship with the Community</w:t>
      </w:r>
    </w:p>
    <w:p w14:paraId="2B0B5CFC" w14:textId="77777777" w:rsidR="0085555C" w:rsidRDefault="00B94EA4">
      <w:pPr>
        <w:pStyle w:val="BodyText"/>
      </w:pPr>
      <w:r>
        <w:t>Figure 4 shows overwhelmingly positive views regarding PCSOs’ relationship with the community.</w:t>
      </w:r>
    </w:p>
    <w:p w14:paraId="6DFAF155" w14:textId="77777777" w:rsidR="0085555C" w:rsidRDefault="00B94EA4">
      <w:pPr>
        <w:pStyle w:val="BodyText"/>
      </w:pPr>
      <w:r>
        <w:rPr>
          <w:noProof/>
        </w:rPr>
        <w:drawing>
          <wp:inline distT="0" distB="0" distL="0" distR="0" wp14:anchorId="00BD0D7D" wp14:editId="6FBB26AF">
            <wp:extent cx="2773680" cy="20802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8"/>
                    <a:stretch>
                      <a:fillRect/>
                    </a:stretch>
                  </pic:blipFill>
                  <pic:spPr bwMode="auto">
                    <a:xfrm>
                      <a:off x="0" y="0"/>
                      <a:ext cx="2773680" cy="2080260"/>
                    </a:xfrm>
                    <a:prstGeom prst="rect">
                      <a:avLst/>
                    </a:prstGeom>
                    <a:noFill/>
                  </pic:spPr>
                </pic:pic>
              </a:graphicData>
            </a:graphic>
          </wp:inline>
        </w:drawing>
      </w:r>
    </w:p>
    <w:p w14:paraId="4F093626" w14:textId="77777777" w:rsidR="0085555C" w:rsidRDefault="00B94EA4">
      <w:pPr>
        <w:rPr>
          <w:rFonts w:ascii="Segoe Fluent Icons" w:hAnsi="Segoe Fluent Icons"/>
          <w:sz w:val="20"/>
          <w:szCs w:val="20"/>
        </w:rPr>
      </w:pPr>
      <w:r>
        <w:rPr>
          <w:rFonts w:ascii="Segoe Fluent Icons" w:hAnsi="Segoe Fluent Icons"/>
          <w:sz w:val="20"/>
          <w:szCs w:val="20"/>
        </w:rPr>
        <w:t>Figure 4: Community Relationships</w:t>
      </w:r>
      <w:r>
        <w:rPr>
          <w:rFonts w:ascii="Segoe Fluent Icons" w:hAnsi="Segoe Fluent Icons"/>
          <w:sz w:val="20"/>
          <w:szCs w:val="20"/>
        </w:rPr>
        <w:br/>
        <w:t>Source: Author’s own data (2026)</w:t>
      </w:r>
    </w:p>
    <w:p w14:paraId="2F6F3BC7" w14:textId="77777777" w:rsidR="0085555C" w:rsidRDefault="0085555C">
      <w:pPr>
        <w:pStyle w:val="BodyText"/>
      </w:pPr>
    </w:p>
    <w:p w14:paraId="59551151" w14:textId="521DC3BB" w:rsidR="0085555C" w:rsidRDefault="00B94EA4">
      <w:pPr>
        <w:pStyle w:val="BodyText"/>
      </w:pPr>
      <w:r>
        <w:t>This is a big find, as good police-community relationships are key</w:t>
      </w:r>
      <w:r>
        <w:t xml:space="preserve"> to both community policing and legitimacy. Positive links between police and the public</w:t>
      </w:r>
      <w:r>
        <w:t xml:space="preserve"> is important in building trust and encouraging cooperation </w:t>
      </w:r>
      <w:r>
        <w:rPr>
          <w:rFonts w:ascii="Times New Roman" w:hAnsi="Times New Roman"/>
        </w:rPr>
        <w:t>(Worden and McLean, 2017)</w:t>
      </w:r>
      <w:r>
        <w:t>.</w:t>
      </w:r>
    </w:p>
    <w:p w14:paraId="2F8629F7" w14:textId="7CDF5427" w:rsidR="0085555C" w:rsidRDefault="00B94EA4">
      <w:pPr>
        <w:pStyle w:val="BodyText"/>
      </w:pPr>
      <w:r>
        <w:t>This shows that PCSOs can be particularly effective in this area, reinforcing the role as a go between</w:t>
      </w:r>
      <w:r>
        <w:t xml:space="preserve"> policing organisations and the public. This proves research which presents the importance of community engagement with PCSO’s </w:t>
      </w:r>
      <w:r>
        <w:rPr>
          <w:i/>
          <w:iCs/>
        </w:rPr>
        <w:t>(Innes, 2004)</w:t>
      </w:r>
      <w:r>
        <w:t>.</w:t>
      </w:r>
    </w:p>
    <w:p w14:paraId="4904C4E4" w14:textId="77777777" w:rsidR="0085555C" w:rsidRDefault="0085555C">
      <w:pPr>
        <w:pStyle w:val="Heading3"/>
        <w:spacing w:before="0" w:after="140" w:line="276" w:lineRule="auto"/>
      </w:pPr>
    </w:p>
    <w:p w14:paraId="570248B3" w14:textId="77777777" w:rsidR="0085555C" w:rsidRDefault="00B94EA4">
      <w:pPr>
        <w:pStyle w:val="Heading3"/>
        <w:spacing w:before="0" w:after="140" w:line="276" w:lineRule="auto"/>
      </w:pPr>
      <w:r>
        <w:t>2.5 Summary of Quantitative Findings</w:t>
      </w:r>
    </w:p>
    <w:p w14:paraId="0DABEE1F" w14:textId="77777777" w:rsidR="0085555C" w:rsidRDefault="00B94EA4">
      <w:pPr>
        <w:pStyle w:val="BodyText"/>
      </w:pPr>
      <w:r>
        <w:t>The quantitative data shows a clear trend. PCSO’s view their role as important and believe they are helpful in building trust and addressing anti-social behaviour. However, they think there is notable concern regarding their powers.</w:t>
      </w:r>
    </w:p>
    <w:p w14:paraId="17DACEBE" w14:textId="77777777" w:rsidR="0085555C" w:rsidRDefault="00B94EA4">
      <w:pPr>
        <w:pStyle w:val="BodyText"/>
      </w:pPr>
      <w:r>
        <w:t xml:space="preserve">This highlights a bigger tension shown in policing research between community policing and the enforcement capabilities </w:t>
      </w:r>
      <w:r>
        <w:rPr>
          <w:rFonts w:ascii="Times New Roman" w:hAnsi="Times New Roman"/>
          <w:i/>
          <w:iCs/>
        </w:rPr>
        <w:t>(Merritt, 2010)</w:t>
      </w:r>
      <w:r>
        <w:t>. While PCSOs excel in community-focused policing, their reduced powers can restrict their effectiveness.</w:t>
      </w:r>
    </w:p>
    <w:p w14:paraId="4039FA55" w14:textId="77777777" w:rsidR="0085555C" w:rsidRDefault="0085555C">
      <w:pPr>
        <w:pStyle w:val="Heading2"/>
        <w:spacing w:before="0" w:after="140" w:line="276" w:lineRule="auto"/>
      </w:pPr>
    </w:p>
    <w:p w14:paraId="0B456846" w14:textId="77777777" w:rsidR="0085555C" w:rsidRDefault="00B94EA4">
      <w:pPr>
        <w:pStyle w:val="Heading2"/>
        <w:spacing w:before="0" w:after="140" w:line="276" w:lineRule="auto"/>
      </w:pPr>
      <w:r>
        <w:t>3. Qualitative Analysis</w:t>
      </w:r>
    </w:p>
    <w:p w14:paraId="00BDED4C" w14:textId="77777777" w:rsidR="0085555C" w:rsidRDefault="00B94EA4">
      <w:pPr>
        <w:pStyle w:val="Heading3"/>
        <w:spacing w:before="0" w:after="140" w:line="276" w:lineRule="auto"/>
      </w:pPr>
      <w:r>
        <w:t>3.1 Theme 1: Role Clarity and Identity</w:t>
      </w:r>
    </w:p>
    <w:p w14:paraId="11452200" w14:textId="05D71C8F" w:rsidR="0085555C" w:rsidRDefault="00B94EA4">
      <w:pPr>
        <w:pStyle w:val="BodyText"/>
      </w:pPr>
      <w:r>
        <w:t>The PCSO’s stated their role as centred on engagement, presence and reassurance. This aligns with the point of community policing, which emphasise the importance of having a visible and approachable presence with the public</w:t>
      </w:r>
      <w:r>
        <w:t xml:space="preserve"> </w:t>
      </w:r>
      <w:r>
        <w:rPr>
          <w:rFonts w:ascii="Times New Roman" w:hAnsi="Times New Roman"/>
          <w:i/>
          <w:iCs/>
        </w:rPr>
        <w:t>(Worden and McLean, 2017)</w:t>
      </w:r>
      <w:r>
        <w:t>.</w:t>
      </w:r>
    </w:p>
    <w:p w14:paraId="243625FB" w14:textId="56AB0B76" w:rsidR="0085555C" w:rsidRDefault="00B94EA4">
      <w:pPr>
        <w:pStyle w:val="BodyText"/>
      </w:pPr>
      <w:r>
        <w:t>Despite this, PCSO’s</w:t>
      </w:r>
      <w:r>
        <w:t xml:space="preserve"> expressed regret about how their role is viewed within the police. This shows a problem with role perception, which can impact the idea of PCSOs.</w:t>
      </w:r>
    </w:p>
    <w:p w14:paraId="4C5BD434" w14:textId="77777777" w:rsidR="0085555C" w:rsidRDefault="00B94EA4">
      <w:pPr>
        <w:pStyle w:val="BodyText"/>
      </w:pPr>
      <w:r>
        <w:t>A negative view within policing organisations has been shown</w:t>
      </w:r>
      <w:r>
        <w:t xml:space="preserve"> as a potential issue affecting job satisfaction and effectiveness </w:t>
      </w:r>
      <w:r>
        <w:rPr>
          <w:i/>
          <w:iCs/>
        </w:rPr>
        <w:t>(Bryman, 2016)</w:t>
      </w:r>
      <w:r>
        <w:t>. This may mean that clearer idea of the PCSOS’s role is needed.</w:t>
      </w:r>
    </w:p>
    <w:p w14:paraId="79E8B20E" w14:textId="77777777" w:rsidR="0085555C" w:rsidRDefault="0085555C">
      <w:pPr>
        <w:pStyle w:val="Heading3"/>
        <w:spacing w:before="0" w:after="140" w:line="276" w:lineRule="auto"/>
      </w:pPr>
    </w:p>
    <w:p w14:paraId="6F03BF77" w14:textId="77777777" w:rsidR="0085555C" w:rsidRDefault="00B94EA4">
      <w:pPr>
        <w:pStyle w:val="Heading3"/>
        <w:spacing w:before="0" w:after="140" w:line="276" w:lineRule="auto"/>
      </w:pPr>
      <w:r>
        <w:t>3.2 Theme 2: Limitations of Powers</w:t>
      </w:r>
    </w:p>
    <w:p w14:paraId="7DD52626" w14:textId="5189D9CD" w:rsidR="0085555C" w:rsidRDefault="00B94EA4">
      <w:pPr>
        <w:pStyle w:val="BodyText"/>
      </w:pPr>
      <w:r>
        <w:t>A recurring issue in the qualitative data was frustration with PCSO’s powers. They described situations where they felt hesitant to act</w:t>
      </w:r>
      <w:r>
        <w:t xml:space="preserve"> and not equipped for the job.</w:t>
      </w:r>
    </w:p>
    <w:p w14:paraId="75256BA0" w14:textId="77777777" w:rsidR="0085555C" w:rsidRDefault="00B94EA4">
      <w:pPr>
        <w:pStyle w:val="BodyText"/>
      </w:pPr>
      <w:r>
        <w:t xml:space="preserve">This reinforces the quantitative data and is proven by previous research on PCSOs, which has shown concerns regarding restricted authority </w:t>
      </w:r>
      <w:r>
        <w:rPr>
          <w:i/>
          <w:iCs/>
        </w:rPr>
        <w:t>(Jones and Tilley, 2004)</w:t>
      </w:r>
      <w:r>
        <w:t>.</w:t>
      </w:r>
    </w:p>
    <w:p w14:paraId="379EC1A7" w14:textId="77777777" w:rsidR="0085555C" w:rsidRDefault="00B94EA4">
      <w:pPr>
        <w:pStyle w:val="BodyText"/>
      </w:pPr>
      <w:r>
        <w:t xml:space="preserve">From the legitimacy perspective, this will affect how the public views PCSO’s. If the public expects PCSOs to intervene but see limitations in their authority, the perceptions of effectiveness and trust will reduce </w:t>
      </w:r>
      <w:r>
        <w:rPr>
          <w:i/>
          <w:iCs/>
        </w:rPr>
        <w:t>(Bradford and Hough, 2012)</w:t>
      </w:r>
      <w:r>
        <w:t>.</w:t>
      </w:r>
    </w:p>
    <w:p w14:paraId="6077E621" w14:textId="77777777" w:rsidR="0085555C" w:rsidRDefault="0085555C">
      <w:pPr>
        <w:pStyle w:val="Heading3"/>
        <w:spacing w:before="0" w:after="140" w:line="276" w:lineRule="auto"/>
      </w:pPr>
    </w:p>
    <w:p w14:paraId="72C45E3F" w14:textId="77777777" w:rsidR="0085555C" w:rsidRDefault="00B94EA4">
      <w:pPr>
        <w:pStyle w:val="Heading3"/>
        <w:spacing w:before="0" w:after="140" w:line="276" w:lineRule="auto"/>
      </w:pPr>
      <w:r>
        <w:t>3.3 Theme 3: Community Impact and Trust</w:t>
      </w:r>
    </w:p>
    <w:p w14:paraId="7260840E" w14:textId="269590DF" w:rsidR="0085555C" w:rsidRDefault="00B94EA4">
      <w:pPr>
        <w:pStyle w:val="BodyText"/>
      </w:pPr>
      <w:r>
        <w:t>PCSO’s highlighted</w:t>
      </w:r>
      <w:r>
        <w:t xml:space="preserve"> the positive effect they have on the community. Many call themselves as approachable and happy to help.</w:t>
      </w:r>
    </w:p>
    <w:p w14:paraId="7BB6FFF3" w14:textId="77777777" w:rsidR="0085555C" w:rsidRDefault="00B94EA4">
      <w:pPr>
        <w:pStyle w:val="BodyText"/>
      </w:pPr>
      <w:r>
        <w:t xml:space="preserve">This promotes legitimacy theory, which shows the importance of positive and respectful interactions in building trust </w:t>
      </w:r>
      <w:r>
        <w:rPr>
          <w:rFonts w:ascii="Times New Roman" w:hAnsi="Times New Roman"/>
          <w:i/>
          <w:iCs/>
        </w:rPr>
        <w:t>(Worden and McLean, 2017)</w:t>
      </w:r>
      <w:r>
        <w:t>. PCSOs’ ability to engage positively with the public suggests they play a key role in maintaining confidence in policing.</w:t>
      </w:r>
    </w:p>
    <w:p w14:paraId="3685F8A7" w14:textId="77777777" w:rsidR="0085555C" w:rsidRDefault="0085555C">
      <w:pPr>
        <w:pStyle w:val="BodyText"/>
      </w:pPr>
    </w:p>
    <w:p w14:paraId="4CA0DD62" w14:textId="77777777" w:rsidR="0085555C" w:rsidRDefault="00B94EA4">
      <w:pPr>
        <w:pStyle w:val="Heading3"/>
        <w:spacing w:before="0" w:after="140" w:line="276" w:lineRule="auto"/>
      </w:pPr>
      <w:r>
        <w:t>3.4 Theme 4: Organisational Position</w:t>
      </w:r>
    </w:p>
    <w:p w14:paraId="5259D3B7" w14:textId="77777777" w:rsidR="0085555C" w:rsidRDefault="00B94EA4">
      <w:pPr>
        <w:pStyle w:val="BodyText"/>
      </w:pPr>
      <w:r>
        <w:t>Some PCSO’s had concerns about being undervalued within the policing. This highlights that while PCSOs know the importance of the role, they feel that this is not fully acknowledged internally.</w:t>
      </w:r>
    </w:p>
    <w:p w14:paraId="5B1BE886" w14:textId="2D48AF9D" w:rsidR="0085555C" w:rsidRDefault="00B94EA4">
      <w:pPr>
        <w:pStyle w:val="BodyText"/>
      </w:pPr>
      <w:r>
        <w:t xml:space="preserve">Wider Police recognition is an important factor in employee motivation and overall effectiveness </w:t>
      </w:r>
      <w:r>
        <w:rPr>
          <w:i/>
          <w:iCs/>
        </w:rPr>
        <w:t>(Bryman, 2016)</w:t>
      </w:r>
      <w:r>
        <w:t>. When they lack recognition</w:t>
      </w:r>
      <w:r>
        <w:rPr>
          <w:rFonts w:hint="eastAsia"/>
        </w:rPr>
        <w:t>,</w:t>
      </w:r>
      <w:r>
        <w:t xml:space="preserve"> it can impact morale and hinder how PCSOs perceive their role within the police.</w:t>
      </w:r>
    </w:p>
    <w:p w14:paraId="58B43CBD" w14:textId="77777777" w:rsidR="0085555C" w:rsidRDefault="00B94EA4">
      <w:pPr>
        <w:pStyle w:val="Heading2"/>
        <w:spacing w:before="0" w:after="140" w:line="276" w:lineRule="auto"/>
      </w:pPr>
      <w:r>
        <w:lastRenderedPageBreak/>
        <w:t>4. Integration of Findings</w:t>
      </w:r>
    </w:p>
    <w:p w14:paraId="158AF342" w14:textId="256B2FBD" w:rsidR="0085555C" w:rsidRDefault="00B94EA4">
      <w:pPr>
        <w:pStyle w:val="BodyText"/>
      </w:pPr>
      <w:r>
        <w:t>With both quantitative and qualitative findings, a big pattern emerges. PCSOs are viewed as</w:t>
      </w:r>
      <w:r>
        <w:t xml:space="preserve"> effective in community building and safety, which strongly supports community policing principles </w:t>
      </w:r>
      <w:r>
        <w:rPr>
          <w:i/>
          <w:iCs/>
        </w:rPr>
        <w:t>(Innes, 2004)</w:t>
      </w:r>
      <w:r>
        <w:t>.</w:t>
      </w:r>
    </w:p>
    <w:p w14:paraId="0EA2E13A" w14:textId="77777777" w:rsidR="0085555C" w:rsidRDefault="00B94EA4">
      <w:pPr>
        <w:pStyle w:val="BodyText"/>
      </w:pPr>
      <w:r>
        <w:t>At the same time, concerns with limited powers appear with both datasets, strengthening the idea of structural limitations which affect the role. This is seen with research on PCSOs, which expresses the balance with visibility and authority in neighbourhood policing.</w:t>
      </w:r>
    </w:p>
    <w:p w14:paraId="19A73508" w14:textId="132A8457" w:rsidR="0085555C" w:rsidRDefault="00B94EA4">
      <w:pPr>
        <w:pStyle w:val="BodyText"/>
      </w:pPr>
      <w:r>
        <w:t>The data also highlights the legitimacy theory, as positive community interactions build trust and confidence in policing and the police</w:t>
      </w:r>
      <w:r>
        <w:rPr>
          <w:i/>
          <w:iCs/>
        </w:rPr>
        <w:t xml:space="preserve"> </w:t>
      </w:r>
      <w:r>
        <w:rPr>
          <w:rFonts w:ascii="Times New Roman" w:hAnsi="Times New Roman"/>
          <w:i/>
          <w:iCs/>
        </w:rPr>
        <w:t>(Merritt, 2010)</w:t>
      </w:r>
      <w:r>
        <w:t>. However</w:t>
      </w:r>
      <w:r>
        <w:rPr>
          <w:rFonts w:hint="eastAsia"/>
        </w:rPr>
        <w:t>,</w:t>
      </w:r>
      <w:r>
        <w:t xml:space="preserve"> limitations in authority may show challenges in retaining this legitimacy on some issues.</w:t>
      </w:r>
    </w:p>
    <w:p w14:paraId="3EAA27E8" w14:textId="77777777" w:rsidR="0085555C" w:rsidRDefault="0085555C">
      <w:pPr>
        <w:pStyle w:val="Heading2"/>
        <w:spacing w:before="0" w:after="140" w:line="276" w:lineRule="auto"/>
      </w:pPr>
    </w:p>
    <w:p w14:paraId="20C9CB5F" w14:textId="77777777" w:rsidR="0085555C" w:rsidRDefault="00B94EA4">
      <w:pPr>
        <w:pStyle w:val="Heading2"/>
        <w:spacing w:before="0" w:after="140" w:line="276" w:lineRule="auto"/>
      </w:pPr>
      <w:r>
        <w:t>5. Conclusion</w:t>
      </w:r>
    </w:p>
    <w:p w14:paraId="788BB80D" w14:textId="77777777" w:rsidR="0085555C" w:rsidRDefault="00B94EA4">
      <w:pPr>
        <w:pStyle w:val="BodyText"/>
      </w:pPr>
      <w:r>
        <w:t>This chapter has analysed the data from the questionnaire, showing insight into how PCSOs view and understand their role, powers and effectiveness. The results present that PCSOs have a huge role in supporting community policing and enhancing police legitimacy.</w:t>
      </w:r>
    </w:p>
    <w:p w14:paraId="2320C1F0" w14:textId="77777777" w:rsidR="0085555C" w:rsidRDefault="00B94EA4">
      <w:pPr>
        <w:pStyle w:val="BodyText"/>
      </w:pPr>
      <w:r>
        <w:t>There are however concerns regarding limited powers and organisational recognition highlight important challenges. These findings show and highlight wider policing research and suggest that while PCSOs are effective in their niche role, structural limitations will affect their overall effectiveness.</w:t>
      </w:r>
    </w:p>
    <w:p w14:paraId="3ABCC75D" w14:textId="77777777" w:rsidR="0085555C" w:rsidRDefault="0085555C">
      <w:pPr>
        <w:pStyle w:val="BodyText"/>
      </w:pPr>
    </w:p>
    <w:p w14:paraId="64322BC9" w14:textId="2EB9DC74" w:rsidR="0085555C" w:rsidRDefault="00B94EA4">
      <w:pPr>
        <w:pStyle w:val="Heading2"/>
        <w:spacing w:before="0" w:after="140" w:line="276" w:lineRule="auto"/>
      </w:pPr>
      <w:r>
        <w:t xml:space="preserve">Bibliography </w:t>
      </w:r>
    </w:p>
    <w:p w14:paraId="786CF1DA" w14:textId="77777777" w:rsidR="00B94EA4" w:rsidRPr="00B94EA4" w:rsidRDefault="00B94EA4" w:rsidP="00B94EA4">
      <w:pPr>
        <w:pStyle w:val="BodyText"/>
      </w:pPr>
    </w:p>
    <w:p w14:paraId="73C6B12E" w14:textId="77777777" w:rsidR="0085555C" w:rsidRDefault="00B94EA4">
      <w:pPr>
        <w:pStyle w:val="BodyText"/>
        <w:spacing w:after="0"/>
        <w:ind w:left="720"/>
      </w:pPr>
      <w:r>
        <w:t>Figure 1: PCSO Perception of Role Importance ………… page 1</w:t>
      </w:r>
    </w:p>
    <w:p w14:paraId="09AE73B5" w14:textId="77777777" w:rsidR="00B94EA4" w:rsidRDefault="00B94EA4">
      <w:pPr>
        <w:pStyle w:val="BodyText"/>
        <w:spacing w:after="0"/>
        <w:ind w:left="720"/>
      </w:pPr>
    </w:p>
    <w:p w14:paraId="288838E2" w14:textId="77777777" w:rsidR="0085555C" w:rsidRDefault="00B94EA4">
      <w:pPr>
        <w:pStyle w:val="BodyText"/>
        <w:spacing w:after="0"/>
        <w:ind w:left="720"/>
      </w:pPr>
      <w:r>
        <w:t>Figure 2: PCSO Perception of Adequacy of Powers ………… page 2</w:t>
      </w:r>
    </w:p>
    <w:p w14:paraId="15EF21E4" w14:textId="77777777" w:rsidR="00B94EA4" w:rsidRDefault="00B94EA4">
      <w:pPr>
        <w:pStyle w:val="BodyText"/>
        <w:spacing w:after="0"/>
        <w:ind w:left="720"/>
      </w:pPr>
    </w:p>
    <w:p w14:paraId="0CFB03A8" w14:textId="77777777" w:rsidR="0085555C" w:rsidRDefault="00B94EA4">
      <w:pPr>
        <w:pStyle w:val="BodyText"/>
        <w:spacing w:after="0"/>
        <w:ind w:left="720"/>
      </w:pPr>
      <w:r>
        <w:t xml:space="preserve">Figure 3: Impact on Anti-Social Behaviour ………… page 2 </w:t>
      </w:r>
    </w:p>
    <w:p w14:paraId="536D6E4B" w14:textId="77777777" w:rsidR="00B94EA4" w:rsidRDefault="00B94EA4">
      <w:pPr>
        <w:pStyle w:val="BodyText"/>
        <w:spacing w:after="0"/>
        <w:ind w:left="720"/>
      </w:pPr>
    </w:p>
    <w:p w14:paraId="14C7F76F" w14:textId="77777777" w:rsidR="0085555C" w:rsidRDefault="00B94EA4">
      <w:pPr>
        <w:pStyle w:val="BodyText"/>
        <w:ind w:left="720"/>
      </w:pPr>
      <w:r>
        <w:t>Figure 4: Community Relationships ………… page 3</w:t>
      </w:r>
    </w:p>
    <w:p w14:paraId="0FDFAB32" w14:textId="77777777" w:rsidR="00B94EA4" w:rsidRDefault="00B94EA4">
      <w:pPr>
        <w:pStyle w:val="BodyText"/>
        <w:spacing w:after="0"/>
      </w:pPr>
    </w:p>
    <w:p w14:paraId="12B74A20" w14:textId="77777777" w:rsidR="00B94EA4" w:rsidRDefault="00B94EA4">
      <w:pPr>
        <w:pStyle w:val="BodyText"/>
        <w:spacing w:after="0"/>
      </w:pPr>
    </w:p>
    <w:p w14:paraId="1CA36EDF" w14:textId="77777777" w:rsidR="00B94EA4" w:rsidRDefault="00B94EA4">
      <w:pPr>
        <w:pStyle w:val="BodyText"/>
        <w:rPr>
          <w:i/>
          <w:iCs/>
        </w:rPr>
      </w:pPr>
      <w:r>
        <w:rPr>
          <w:i/>
          <w:iCs/>
        </w:rPr>
        <w:t xml:space="preserve">Bradford, B. and Hough, M. (2012) </w:t>
      </w:r>
      <w:r>
        <w:rPr>
          <w:rStyle w:val="Emphasis"/>
        </w:rPr>
        <w:t>Policing and public trust: Examining police legitimacy</w:t>
      </w:r>
      <w:r>
        <w:rPr>
          <w:i/>
          <w:iCs/>
        </w:rPr>
        <w:t xml:space="preserve">. In: Jackson, J., Bradford, B., Hough, M. and Quinton, P. (eds.) </w:t>
      </w:r>
      <w:r>
        <w:rPr>
          <w:rStyle w:val="Strong"/>
          <w:b w:val="0"/>
          <w:bCs w:val="0"/>
          <w:i/>
          <w:iCs/>
        </w:rPr>
        <w:t>Trust and legitimacy in criminal justice</w:t>
      </w:r>
      <w:r>
        <w:rPr>
          <w:i/>
          <w:iCs/>
        </w:rPr>
        <w:t>. Oxford: Oxford University Press, pp. 1–33.</w:t>
      </w:r>
    </w:p>
    <w:p w14:paraId="64E7CBAE" w14:textId="77777777" w:rsidR="00B94EA4" w:rsidRDefault="00B94EA4">
      <w:pPr>
        <w:pStyle w:val="BodyText"/>
      </w:pPr>
    </w:p>
    <w:p w14:paraId="44E1245B" w14:textId="77777777" w:rsidR="00B94EA4" w:rsidRDefault="00B94EA4">
      <w:pPr>
        <w:pStyle w:val="BodyText"/>
      </w:pPr>
      <w:r>
        <w:rPr>
          <w:i/>
          <w:iCs/>
        </w:rPr>
        <w:t xml:space="preserve">Bryman, A. (2016) </w:t>
      </w:r>
      <w:r>
        <w:rPr>
          <w:rStyle w:val="Emphasis"/>
        </w:rPr>
        <w:t>Social Research Methods</w:t>
      </w:r>
      <w:r>
        <w:rPr>
          <w:i/>
          <w:iCs/>
        </w:rPr>
        <w:t xml:space="preserve">. 5th </w:t>
      </w:r>
      <w:proofErr w:type="spellStart"/>
      <w:r>
        <w:rPr>
          <w:i/>
          <w:iCs/>
        </w:rPr>
        <w:t>edn</w:t>
      </w:r>
      <w:proofErr w:type="spellEnd"/>
      <w:r>
        <w:rPr>
          <w:i/>
          <w:iCs/>
        </w:rPr>
        <w:t>. Oxford: Oxford University Press.</w:t>
      </w:r>
    </w:p>
    <w:p w14:paraId="0C3C7DB8" w14:textId="77777777" w:rsidR="00B94EA4" w:rsidRDefault="00B94EA4">
      <w:pPr>
        <w:pStyle w:val="BodyText"/>
        <w:rPr>
          <w:i/>
          <w:iCs/>
        </w:rPr>
      </w:pPr>
      <w:r>
        <w:rPr>
          <w:i/>
          <w:iCs/>
        </w:rPr>
        <w:lastRenderedPageBreak/>
        <w:t xml:space="preserve">Creswell, J.W. (2014) </w:t>
      </w:r>
      <w:r>
        <w:rPr>
          <w:rStyle w:val="Emphasis"/>
        </w:rPr>
        <w:t>Research Design: Qualitative, Quantitative and Mixed Methods Approaches</w:t>
      </w:r>
      <w:r>
        <w:rPr>
          <w:i/>
          <w:iCs/>
        </w:rPr>
        <w:t xml:space="preserve">. 4th </w:t>
      </w:r>
      <w:proofErr w:type="spellStart"/>
      <w:r>
        <w:rPr>
          <w:i/>
          <w:iCs/>
        </w:rPr>
        <w:t>edn</w:t>
      </w:r>
      <w:proofErr w:type="spellEnd"/>
      <w:r>
        <w:rPr>
          <w:i/>
          <w:iCs/>
        </w:rPr>
        <w:t>. London: Sage.</w:t>
      </w:r>
    </w:p>
    <w:p w14:paraId="1115AB30" w14:textId="77777777" w:rsidR="00B94EA4" w:rsidRDefault="00B94EA4">
      <w:pPr>
        <w:pStyle w:val="BodyText"/>
      </w:pPr>
    </w:p>
    <w:p w14:paraId="07AFBA56" w14:textId="77777777" w:rsidR="00B94EA4" w:rsidRDefault="00B94EA4">
      <w:pPr>
        <w:pStyle w:val="BodyText"/>
        <w:rPr>
          <w:i/>
          <w:iCs/>
        </w:rPr>
      </w:pPr>
      <w:r>
        <w:rPr>
          <w:i/>
          <w:iCs/>
        </w:rPr>
        <w:t xml:space="preserve">Innes, M. (2004) ‘Signal crimes and signal disorders: notes on deviance as communicative action’, </w:t>
      </w:r>
      <w:r>
        <w:rPr>
          <w:rStyle w:val="Emphasis"/>
        </w:rPr>
        <w:t>The British Journal of Sociology</w:t>
      </w:r>
      <w:r>
        <w:rPr>
          <w:i/>
          <w:iCs/>
        </w:rPr>
        <w:t>, 55(3), pp. 335–355.</w:t>
      </w:r>
    </w:p>
    <w:p w14:paraId="65A6211B" w14:textId="77777777" w:rsidR="00B94EA4" w:rsidRDefault="00B94EA4">
      <w:pPr>
        <w:pStyle w:val="BodyText"/>
      </w:pPr>
    </w:p>
    <w:p w14:paraId="7B8C3B72" w14:textId="77777777" w:rsidR="00B94EA4" w:rsidRDefault="00B94EA4">
      <w:pPr>
        <w:pStyle w:val="BodyText"/>
        <w:rPr>
          <w:i/>
          <w:iCs/>
        </w:rPr>
      </w:pPr>
      <w:r>
        <w:rPr>
          <w:i/>
          <w:iCs/>
        </w:rPr>
        <w:t xml:space="preserve">Jones, T. and Tilley, N. (2004) </w:t>
      </w:r>
      <w:r>
        <w:rPr>
          <w:rStyle w:val="Emphasis"/>
        </w:rPr>
        <w:t>The impact of police community support officers: Initial findings</w:t>
      </w:r>
      <w:r>
        <w:rPr>
          <w:i/>
          <w:iCs/>
        </w:rPr>
        <w:t>. London: Home Office Research Study.</w:t>
      </w:r>
    </w:p>
    <w:p w14:paraId="0A66A5B3" w14:textId="77777777" w:rsidR="00B94EA4" w:rsidRDefault="00B94EA4">
      <w:pPr>
        <w:pStyle w:val="BodyText"/>
      </w:pPr>
    </w:p>
    <w:p w14:paraId="4DD18C2F" w14:textId="77777777" w:rsidR="00B94EA4" w:rsidRDefault="00B94EA4">
      <w:pPr>
        <w:pStyle w:val="BodyText"/>
        <w:spacing w:line="360" w:lineRule="auto"/>
        <w:rPr>
          <w:i/>
          <w:iCs/>
        </w:rPr>
      </w:pPr>
      <w:r>
        <w:rPr>
          <w:i/>
          <w:iCs/>
        </w:rPr>
        <w:t xml:space="preserve">Merritt, J. (2010). W(h)ither the PCSO? Policing: An International Journal of Police Strategies &amp; Management, 33(4), pp.731–749. </w:t>
      </w:r>
      <w:proofErr w:type="spellStart"/>
      <w:proofErr w:type="gramStart"/>
      <w:r>
        <w:rPr>
          <w:i/>
          <w:iCs/>
        </w:rPr>
        <w:t>doi:https</w:t>
      </w:r>
      <w:proofErr w:type="spellEnd"/>
      <w:r>
        <w:rPr>
          <w:i/>
          <w:iCs/>
        </w:rPr>
        <w:t>://doi.org/10.1108/13639511011085105</w:t>
      </w:r>
      <w:proofErr w:type="gramEnd"/>
      <w:r>
        <w:rPr>
          <w:i/>
          <w:iCs/>
        </w:rPr>
        <w:t>.</w:t>
      </w:r>
    </w:p>
    <w:p w14:paraId="64E214DC" w14:textId="77777777" w:rsidR="00B94EA4" w:rsidRDefault="00B94EA4">
      <w:pPr>
        <w:pStyle w:val="BodyText"/>
        <w:spacing w:line="360" w:lineRule="auto"/>
        <w:rPr>
          <w:i/>
          <w:iCs/>
        </w:rPr>
      </w:pPr>
    </w:p>
    <w:p w14:paraId="7AFBC601" w14:textId="77777777" w:rsidR="00B94EA4" w:rsidRDefault="00B94EA4">
      <w:pPr>
        <w:pStyle w:val="BodyText"/>
        <w:spacing w:line="360" w:lineRule="auto"/>
        <w:rPr>
          <w:i/>
          <w:iCs/>
        </w:rPr>
      </w:pPr>
      <w:r>
        <w:rPr>
          <w:i/>
          <w:iCs/>
        </w:rPr>
        <w:t xml:space="preserve">O’Neill, M. (2014). The Case for the Acceptable ‘Other’: The Impact of Partnerships, PCSOs, and Neighbourhood Policing on Diversity in Policing. Policing, 9(1), pp.77–88. </w:t>
      </w:r>
      <w:proofErr w:type="spellStart"/>
      <w:proofErr w:type="gramStart"/>
      <w:r>
        <w:rPr>
          <w:i/>
          <w:iCs/>
        </w:rPr>
        <w:t>doi:https</w:t>
      </w:r>
      <w:proofErr w:type="spellEnd"/>
      <w:r>
        <w:rPr>
          <w:i/>
          <w:iCs/>
        </w:rPr>
        <w:t>://doi.org/10.1093/police/pau026</w:t>
      </w:r>
      <w:proofErr w:type="gramEnd"/>
      <w:r>
        <w:rPr>
          <w:i/>
          <w:iCs/>
        </w:rPr>
        <w:t>.</w:t>
      </w:r>
    </w:p>
    <w:p w14:paraId="54C10CFD" w14:textId="77777777" w:rsidR="00B94EA4" w:rsidRDefault="00B94EA4">
      <w:pPr>
        <w:pStyle w:val="BodyText"/>
        <w:spacing w:line="360" w:lineRule="auto"/>
        <w:rPr>
          <w:i/>
          <w:iCs/>
        </w:rPr>
      </w:pPr>
    </w:p>
    <w:p w14:paraId="27E819E3" w14:textId="77777777" w:rsidR="00B94EA4" w:rsidRDefault="00B94EA4">
      <w:pPr>
        <w:pStyle w:val="BodyText"/>
        <w:spacing w:line="360" w:lineRule="auto"/>
        <w:rPr>
          <w:i/>
          <w:iCs/>
        </w:rPr>
      </w:pPr>
      <w:proofErr w:type="spellStart"/>
      <w:r>
        <w:rPr>
          <w:i/>
          <w:iCs/>
        </w:rPr>
        <w:t>Skogan</w:t>
      </w:r>
      <w:proofErr w:type="spellEnd"/>
      <w:r>
        <w:rPr>
          <w:i/>
          <w:iCs/>
        </w:rPr>
        <w:t xml:space="preserve">, W.G. (2019). Advocate. Cambridge University Press eBooks, pp.27–44. </w:t>
      </w:r>
      <w:proofErr w:type="spellStart"/>
      <w:proofErr w:type="gramStart"/>
      <w:r>
        <w:rPr>
          <w:i/>
          <w:iCs/>
        </w:rPr>
        <w:t>doi:https</w:t>
      </w:r>
      <w:proofErr w:type="spellEnd"/>
      <w:r>
        <w:rPr>
          <w:i/>
          <w:iCs/>
        </w:rPr>
        <w:t>://doi.org/10.1017/9781108278423.002</w:t>
      </w:r>
      <w:proofErr w:type="gramEnd"/>
      <w:r>
        <w:rPr>
          <w:i/>
          <w:iCs/>
        </w:rPr>
        <w:t>.</w:t>
      </w:r>
    </w:p>
    <w:p w14:paraId="0EA3F044" w14:textId="77777777" w:rsidR="00B94EA4" w:rsidRDefault="00B94EA4">
      <w:pPr>
        <w:pStyle w:val="BodyText"/>
        <w:spacing w:line="360" w:lineRule="auto"/>
        <w:rPr>
          <w:i/>
          <w:iCs/>
        </w:rPr>
      </w:pPr>
    </w:p>
    <w:p w14:paraId="6EF5FC73" w14:textId="77777777" w:rsidR="00B94EA4" w:rsidRDefault="00B94EA4">
      <w:pPr>
        <w:pStyle w:val="BodyText"/>
        <w:spacing w:line="360" w:lineRule="auto"/>
        <w:rPr>
          <w:i/>
          <w:iCs/>
        </w:rPr>
      </w:pPr>
      <w:proofErr w:type="spellStart"/>
      <w:r>
        <w:rPr>
          <w:i/>
          <w:iCs/>
        </w:rPr>
        <w:t>Taherdoost</w:t>
      </w:r>
      <w:proofErr w:type="spellEnd"/>
      <w:r>
        <w:rPr>
          <w:i/>
          <w:iCs/>
        </w:rPr>
        <w:t xml:space="preserve">, H. (2022). What Are Different Research Approaches? Comprehensive Review of Qualitative, Quantitative, and Mixed Method Research, Their Applications, Types, and Limitations. </w:t>
      </w:r>
    </w:p>
    <w:p w14:paraId="0E35E752" w14:textId="424512FB" w:rsidR="00B94EA4" w:rsidRDefault="00B94EA4">
      <w:pPr>
        <w:pStyle w:val="BodyText"/>
        <w:spacing w:line="360" w:lineRule="auto"/>
        <w:rPr>
          <w:i/>
          <w:iCs/>
        </w:rPr>
      </w:pPr>
      <w:r>
        <w:rPr>
          <w:i/>
          <w:iCs/>
        </w:rPr>
        <w:t>Journal of Management Science &amp; Engineering Research, [online] 5(1), pp.53–63. Available at: https://hal.science/hal-03741840/document.</w:t>
      </w:r>
    </w:p>
    <w:p w14:paraId="44F7DDB3" w14:textId="77777777" w:rsidR="00B94EA4" w:rsidRDefault="00B94EA4">
      <w:pPr>
        <w:pStyle w:val="BodyText"/>
        <w:spacing w:line="360" w:lineRule="auto"/>
        <w:rPr>
          <w:i/>
          <w:iCs/>
        </w:rPr>
      </w:pPr>
      <w:r>
        <w:rPr>
          <w:i/>
          <w:iCs/>
        </w:rPr>
        <w:t xml:space="preserve">Worden, R.E. and McLean, S.J. (2017). Research on police legitimacy: the state of the art. Policing: An International Journal of Police Strategies &amp; Management, 40(3), pp.480–513. </w:t>
      </w:r>
      <w:proofErr w:type="spellStart"/>
      <w:proofErr w:type="gramStart"/>
      <w:r>
        <w:rPr>
          <w:i/>
          <w:iCs/>
        </w:rPr>
        <w:t>doi:https</w:t>
      </w:r>
      <w:proofErr w:type="spellEnd"/>
      <w:r>
        <w:rPr>
          <w:i/>
          <w:iCs/>
        </w:rPr>
        <w:t>://doi.org/10.1108/pijpsm-05-2017-0062</w:t>
      </w:r>
      <w:proofErr w:type="gramEnd"/>
      <w:r>
        <w:rPr>
          <w:i/>
          <w:iCs/>
        </w:rPr>
        <w:t>.</w:t>
      </w:r>
    </w:p>
    <w:sectPr w:rsidR="00B94EA4">
      <w:pgSz w:w="11906" w:h="16838"/>
      <w:pgMar w:top="1134" w:right="1134" w:bottom="1134" w:left="1134" w:header="0" w:footer="0" w:gutter="0"/>
      <w:cols w:space="720"/>
      <w:formProt w:val="0"/>
      <w:docGrid w:linePitch="1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Liberation Serif">
    <w:altName w:val="Times New Roman"/>
    <w:charset w:val="01"/>
    <w:family w:val="roman"/>
    <w:pitch w:val="variable"/>
  </w:font>
  <w:font w:name="NSimSun">
    <w:panose1 w:val="02010609030101010101"/>
    <w:charset w:val="86"/>
    <w:family w:val="modern"/>
    <w:pitch w:val="fixed"/>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OpenSymbol">
    <w:altName w:val="Arial Unicode MS"/>
    <w:charset w:val="02"/>
    <w:family w:val="auto"/>
    <w:pitch w:val="default"/>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Segoe Fluent Icons">
    <w:panose1 w:val="050A0102010101010101"/>
    <w:charset w:val="00"/>
    <w:family w:val="roman"/>
    <w:pitch w:val="variable"/>
    <w:sig w:usb0="00000000" w:usb1="1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8B4AF5"/>
    <w:multiLevelType w:val="multilevel"/>
    <w:tmpl w:val="73D096E4"/>
    <w:lvl w:ilvl="0">
      <w:start w:val="1"/>
      <w:numFmt w:val="bullet"/>
      <w:lvlText w:val=""/>
      <w:lvlJc w:val="left"/>
      <w:pPr>
        <w:tabs>
          <w:tab w:val="num" w:pos="720"/>
        </w:tabs>
        <w:ind w:left="720" w:hanging="283"/>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15:restartNumberingAfterBreak="0">
    <w:nsid w:val="33AD3C38"/>
    <w:multiLevelType w:val="multilevel"/>
    <w:tmpl w:val="F39A0636"/>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Symbol" w:hAnsi="Symbol" w:cs="Symbol" w:hint="default"/>
      </w:rPr>
    </w:lvl>
    <w:lvl w:ilvl="2">
      <w:start w:val="1"/>
      <w:numFmt w:val="bullet"/>
      <w:lvlText w:val=""/>
      <w:lvlJc w:val="left"/>
      <w:pPr>
        <w:tabs>
          <w:tab w:val="num" w:pos="1440"/>
        </w:tabs>
        <w:ind w:left="1440" w:hanging="360"/>
      </w:pPr>
      <w:rPr>
        <w:rFonts w:ascii="Symbol" w:hAnsi="Symbol" w:cs="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Symbol" w:hAnsi="Symbol" w:cs="Symbol" w:hint="default"/>
      </w:rPr>
    </w:lvl>
    <w:lvl w:ilvl="5">
      <w:start w:val="1"/>
      <w:numFmt w:val="bullet"/>
      <w:lvlText w:val=""/>
      <w:lvlJc w:val="left"/>
      <w:pPr>
        <w:tabs>
          <w:tab w:val="num" w:pos="2520"/>
        </w:tabs>
        <w:ind w:left="2520" w:hanging="360"/>
      </w:pPr>
      <w:rPr>
        <w:rFonts w:ascii="Symbol" w:hAnsi="Symbol" w:cs="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Symbol" w:hAnsi="Symbol" w:cs="Symbol" w:hint="default"/>
      </w:rPr>
    </w:lvl>
    <w:lvl w:ilvl="8">
      <w:start w:val="1"/>
      <w:numFmt w:val="bullet"/>
      <w:lvlText w:val=""/>
      <w:lvlJc w:val="left"/>
      <w:pPr>
        <w:tabs>
          <w:tab w:val="num" w:pos="3600"/>
        </w:tabs>
        <w:ind w:left="3600" w:hanging="360"/>
      </w:pPr>
      <w:rPr>
        <w:rFonts w:ascii="Symbol" w:hAnsi="Symbol" w:cs="Symbol" w:hint="default"/>
      </w:rPr>
    </w:lvl>
  </w:abstractNum>
  <w:abstractNum w:abstractNumId="2" w15:restartNumberingAfterBreak="0">
    <w:nsid w:val="3AC4356A"/>
    <w:multiLevelType w:val="multilevel"/>
    <w:tmpl w:val="C468487E"/>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1102651458">
    <w:abstractNumId w:val="0"/>
  </w:num>
  <w:num w:numId="2" w16cid:durableId="1842424612">
    <w:abstractNumId w:val="1"/>
  </w:num>
  <w:num w:numId="3" w16cid:durableId="16173684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9"/>
  <w:autoHyphenation/>
  <w:hyphenationZone w:val="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allowHyphenationAtTrackBottom" w:uri="http://schemas.microsoft.com/office/word" w:val="1"/>
    <w:compatSetting w:name="useWord2013TrackBottomHyphenation" w:uri="http://schemas.microsoft.com/office/word" w:val="1"/>
  </w:compat>
  <w:rsids>
    <w:rsidRoot w:val="0085555C"/>
    <w:rsid w:val="0085555C"/>
    <w:rsid w:val="00B83ECF"/>
    <w:rsid w:val="00B94EA4"/>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D5127"/>
  <w15:docId w15:val="{DC3CD6D9-2498-4573-AAEB-336CDE8B1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Liberation Serif" w:eastAsia="NSimSun" w:hAnsi="Liberation Serif" w:cs="Arial"/>
        <w:kern w:val="2"/>
        <w:sz w:val="24"/>
        <w:szCs w:val="24"/>
        <w:lang w:val="en-GB"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
    <w:next w:val="BodyText"/>
    <w:uiPriority w:val="9"/>
    <w:qFormat/>
    <w:pPr>
      <w:outlineLvl w:val="0"/>
    </w:pPr>
    <w:rPr>
      <w:rFonts w:ascii="Liberation Serif" w:eastAsia="NSimSun" w:hAnsi="Liberation Serif"/>
      <w:b/>
      <w:bCs/>
      <w:sz w:val="48"/>
      <w:szCs w:val="48"/>
    </w:rPr>
  </w:style>
  <w:style w:type="paragraph" w:styleId="Heading2">
    <w:name w:val="heading 2"/>
    <w:basedOn w:val="Heading"/>
    <w:next w:val="BodyText"/>
    <w:uiPriority w:val="9"/>
    <w:unhideWhenUsed/>
    <w:qFormat/>
    <w:pPr>
      <w:spacing w:before="200"/>
      <w:outlineLvl w:val="1"/>
    </w:pPr>
    <w:rPr>
      <w:rFonts w:ascii="Liberation Serif" w:eastAsia="NSimSun" w:hAnsi="Liberation Serif"/>
      <w:b/>
      <w:bCs/>
      <w:sz w:val="36"/>
      <w:szCs w:val="36"/>
    </w:rPr>
  </w:style>
  <w:style w:type="paragraph" w:styleId="Heading3">
    <w:name w:val="heading 3"/>
    <w:basedOn w:val="Heading"/>
    <w:next w:val="BodyText"/>
    <w:uiPriority w:val="9"/>
    <w:unhideWhenUsed/>
    <w:qFormat/>
    <w:pPr>
      <w:spacing w:before="140"/>
      <w:outlineLvl w:val="2"/>
    </w:pPr>
    <w:rPr>
      <w:rFonts w:ascii="Liberation Serif" w:eastAsia="NSimSun" w:hAnsi="Liberation Serif"/>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qFormat/>
    <w:rPr>
      <w:i/>
      <w:iCs/>
    </w:rPr>
  </w:style>
  <w:style w:type="character" w:styleId="Strong">
    <w:name w:val="Strong"/>
    <w:qFormat/>
    <w:rPr>
      <w:b/>
      <w:bCs/>
    </w:rPr>
  </w:style>
  <w:style w:type="character" w:customStyle="1" w:styleId="Bullets">
    <w:name w:val="Bullets"/>
    <w:qFormat/>
    <w:rPr>
      <w:rFonts w:ascii="OpenSymbol" w:eastAsia="OpenSymbol" w:hAnsi="OpenSymbol" w:cs="OpenSymbol"/>
    </w:rPr>
  </w:style>
  <w:style w:type="paragraph" w:customStyle="1" w:styleId="Heading">
    <w:name w:val="Heading"/>
    <w:basedOn w:val="Normal"/>
    <w:next w:val="BodyText"/>
    <w:qFormat/>
    <w:pPr>
      <w:keepNext/>
      <w:spacing w:before="240" w:after="120"/>
    </w:pPr>
    <w:rPr>
      <w:rFonts w:ascii="Liberation Sans" w:eastAsia="Microsoft YaHei"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customStyle="1" w:styleId="HorizontalLine">
    <w:name w:val="Horizontal Line"/>
    <w:basedOn w:val="Normal"/>
    <w:next w:val="BodyText"/>
    <w:qFormat/>
    <w:pPr>
      <w:suppressLineNumbers/>
      <w:pBdr>
        <w:bottom w:val="double" w:sz="2" w:space="0" w:color="808080"/>
      </w:pBdr>
      <w:spacing w:after="283"/>
    </w:pPr>
    <w:rPr>
      <w:sz w:val="12"/>
      <w:szCs w:val="1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a:ea typeface="DejaVu Sans"/>
        <a:cs typeface="DejaVu Sans"/>
      </a:majorFont>
      <a:minorFont>
        <a:latin typeface="Arial"/>
        <a:ea typeface="DejaVu Sans"/>
        <a:cs typeface="DejaVu Sans"/>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6</Pages>
  <Words>1532</Words>
  <Characters>8736</Characters>
  <Application>Microsoft Office Word</Application>
  <DocSecurity>0</DocSecurity>
  <Lines>72</Lines>
  <Paragraphs>20</Paragraphs>
  <ScaleCrop>false</ScaleCrop>
  <Company/>
  <LinksUpToDate>false</LinksUpToDate>
  <CharactersWithSpaces>10248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Haskins,Jessica swp8758</dc:creator>
  <dc:description/>
  <cp:lastModifiedBy>Haskins,Jessica swp8758</cp:lastModifiedBy>
  <cp:revision>2</cp:revision>
  <dcterms:created xsi:type="dcterms:W3CDTF">2026-04-27T19:51:00Z</dcterms:created>
  <dcterms:modified xsi:type="dcterms:W3CDTF">2026-04-27T19:51:00Z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2026-04-27T19:51:38Z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1640b66a-3dbf-4e8c-a1ea-02f8726d2944</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