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C40DE" w:rsidRPr="005E1E85" w:rsidRDefault="003C40DE" w:rsidP="003C40DE">
      <w:pPr>
        <w:jc w:val="center"/>
        <w:rPr>
          <w:b/>
          <w:bCs/>
          <w:sz w:val="32"/>
          <w:szCs w:val="32"/>
        </w:rPr>
      </w:pPr>
      <w:r w:rsidRPr="005E1E85">
        <w:rPr>
          <w:b/>
          <w:bCs/>
          <w:sz w:val="32"/>
          <w:szCs w:val="32"/>
        </w:rPr>
        <w:t>INTERNATIONAL BUSINESS COMMUNICATIONS</w:t>
      </w:r>
    </w:p>
    <w:p w:rsidR="003C40DE" w:rsidRDefault="003C40DE" w:rsidP="003C40DE">
      <w:pPr>
        <w:jc w:val="center"/>
        <w:rPr>
          <w:b/>
          <w:bCs/>
          <w:sz w:val="32"/>
          <w:szCs w:val="32"/>
        </w:rPr>
      </w:pPr>
    </w:p>
    <w:p w:rsidR="003C40DE" w:rsidRPr="005E1E85" w:rsidRDefault="003C40DE" w:rsidP="003C40DE">
      <w:pPr>
        <w:jc w:val="center"/>
        <w:rPr>
          <w:b/>
          <w:bCs/>
          <w:sz w:val="32"/>
          <w:szCs w:val="32"/>
        </w:rPr>
      </w:pPr>
      <w:r w:rsidRPr="005E1E85">
        <w:rPr>
          <w:b/>
          <w:bCs/>
          <w:sz w:val="32"/>
          <w:szCs w:val="32"/>
        </w:rPr>
        <w:t>LCBB6001</w:t>
      </w:r>
    </w:p>
    <w:p w:rsidR="003C40DE" w:rsidRDefault="003C40DE" w:rsidP="003C40DE"/>
    <w:p w:rsidR="003C40DE" w:rsidRPr="005E1E85" w:rsidRDefault="003C40DE" w:rsidP="003C40DE">
      <w:pPr>
        <w:rPr>
          <w:sz w:val="28"/>
          <w:szCs w:val="28"/>
        </w:rPr>
      </w:pPr>
    </w:p>
    <w:p w:rsidR="003C40DE" w:rsidRPr="005E1E85" w:rsidRDefault="003C40DE" w:rsidP="003C40DE">
      <w:pPr>
        <w:rPr>
          <w:sz w:val="28"/>
          <w:szCs w:val="28"/>
        </w:rPr>
      </w:pPr>
      <w:r w:rsidRPr="005E1E85">
        <w:rPr>
          <w:b/>
          <w:bCs/>
          <w:sz w:val="28"/>
          <w:szCs w:val="28"/>
        </w:rPr>
        <w:t>Assignment Title:</w:t>
      </w:r>
      <w:r w:rsidRPr="005E1E85">
        <w:rPr>
          <w:sz w:val="28"/>
          <w:szCs w:val="28"/>
        </w:rPr>
        <w:t xml:space="preserve"> Practical: Individual Presentation</w:t>
      </w:r>
    </w:p>
    <w:p w:rsidR="003C40DE" w:rsidRDefault="003C40DE" w:rsidP="003C40DE"/>
    <w:p w:rsidR="003C40DE" w:rsidRDefault="003C40DE" w:rsidP="003C40DE">
      <w:pPr>
        <w:rPr>
          <w:b/>
          <w:bCs/>
        </w:rPr>
      </w:pPr>
    </w:p>
    <w:p w:rsidR="003C40DE" w:rsidRDefault="003C40DE" w:rsidP="003C40DE">
      <w:pPr>
        <w:rPr>
          <w:b/>
          <w:bCs/>
        </w:rPr>
      </w:pPr>
    </w:p>
    <w:p w:rsidR="003C40DE" w:rsidRPr="005E1E85" w:rsidRDefault="003C40DE" w:rsidP="003C40DE">
      <w:pPr>
        <w:rPr>
          <w:sz w:val="28"/>
          <w:szCs w:val="28"/>
        </w:rPr>
      </w:pPr>
      <w:r w:rsidRPr="005E1E85">
        <w:rPr>
          <w:b/>
          <w:bCs/>
          <w:sz w:val="28"/>
          <w:szCs w:val="28"/>
        </w:rPr>
        <w:t>Name:</w:t>
      </w:r>
      <w:r w:rsidRPr="005E1E85">
        <w:rPr>
          <w:sz w:val="28"/>
          <w:szCs w:val="28"/>
        </w:rPr>
        <w:t xml:space="preserve"> </w:t>
      </w:r>
      <w:proofErr w:type="spellStart"/>
      <w:r w:rsidRPr="005E1E85">
        <w:rPr>
          <w:sz w:val="28"/>
          <w:szCs w:val="28"/>
        </w:rPr>
        <w:t>Desislava</w:t>
      </w:r>
      <w:proofErr w:type="spellEnd"/>
      <w:r w:rsidRPr="005E1E85">
        <w:rPr>
          <w:sz w:val="28"/>
          <w:szCs w:val="28"/>
        </w:rPr>
        <w:t xml:space="preserve"> Kutak</w:t>
      </w:r>
    </w:p>
    <w:p w:rsidR="003C40DE" w:rsidRPr="005E1E85" w:rsidRDefault="003C40DE" w:rsidP="003C40DE">
      <w:pPr>
        <w:rPr>
          <w:sz w:val="28"/>
          <w:szCs w:val="28"/>
        </w:rPr>
      </w:pPr>
      <w:r w:rsidRPr="005E1E85">
        <w:rPr>
          <w:b/>
          <w:bCs/>
          <w:sz w:val="28"/>
          <w:szCs w:val="28"/>
        </w:rPr>
        <w:t>Student ID:</w:t>
      </w:r>
      <w:r w:rsidRPr="005E1E85">
        <w:rPr>
          <w:sz w:val="28"/>
          <w:szCs w:val="28"/>
        </w:rPr>
        <w:t xml:space="preserve"> 2030540</w:t>
      </w:r>
    </w:p>
    <w:p w:rsidR="003C40DE" w:rsidRDefault="003C40DE" w:rsidP="000F6F8A"/>
    <w:p w:rsidR="003C40DE" w:rsidRDefault="003C40DE" w:rsidP="000F6F8A"/>
    <w:p w:rsidR="003C40DE" w:rsidRDefault="003C40DE" w:rsidP="000F6F8A"/>
    <w:p w:rsidR="003C40DE" w:rsidRDefault="003C40DE" w:rsidP="000F6F8A"/>
    <w:p w:rsidR="003C40DE" w:rsidRDefault="003C40DE" w:rsidP="000F6F8A"/>
    <w:p w:rsidR="003C40DE" w:rsidRDefault="003C40DE" w:rsidP="000F6F8A"/>
    <w:p w:rsidR="003C40DE" w:rsidRDefault="003C40DE" w:rsidP="000F6F8A"/>
    <w:p w:rsidR="003C40DE" w:rsidRDefault="003C40DE" w:rsidP="000F6F8A"/>
    <w:p w:rsidR="003C40DE" w:rsidRDefault="003C40DE" w:rsidP="000F6F8A"/>
    <w:p w:rsidR="003C40DE" w:rsidRDefault="003C40DE" w:rsidP="000F6F8A"/>
    <w:p w:rsidR="000F6F8A" w:rsidRDefault="000F6F8A" w:rsidP="000F6F8A">
      <w:r>
        <w:lastRenderedPageBreak/>
        <w:t>Slide 1</w:t>
      </w:r>
    </w:p>
    <w:p w:rsidR="000F6F8A" w:rsidRDefault="000F6F8A" w:rsidP="000F6F8A"/>
    <w:p w:rsidR="000F6F8A" w:rsidRDefault="00A4485A" w:rsidP="000F6F8A">
      <w:pPr>
        <w:jc w:val="center"/>
      </w:pPr>
      <w:r>
        <w:rPr>
          <w:noProof/>
        </w:rPr>
        <w:object w:dxaOrig="9600" w:dyaOrig="53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alt="" style="width:5in;height:202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36" DrawAspect="Content" ObjectID="_1751833007" r:id="rId5"/>
        </w:object>
      </w:r>
    </w:p>
    <w:p w:rsidR="000F6F8A" w:rsidRDefault="000F6F8A" w:rsidP="000F6F8A">
      <w:pPr>
        <w:jc w:val="cente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2</w:t>
      </w:r>
    </w:p>
    <w:p w:rsidR="000F6F8A" w:rsidRDefault="000F6F8A" w:rsidP="000F6F8A">
      <w:pPr>
        <w:jc w:val="left"/>
      </w:pPr>
    </w:p>
    <w:p w:rsidR="000F6F8A" w:rsidRDefault="00A4485A" w:rsidP="000F6F8A">
      <w:pPr>
        <w:jc w:val="center"/>
      </w:pPr>
      <w:r>
        <w:rPr>
          <w:noProof/>
        </w:rPr>
        <w:object w:dxaOrig="9600" w:dyaOrig="5388">
          <v:shape id="_x0000_i1035" type="#_x0000_t75" alt="" style="width:524.7pt;height:300.95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5" DrawAspect="Content" ObjectID="_1751833008" r:id="rId7"/>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color w:val="000000"/>
          <w:kern w:val="24"/>
          <w:szCs w:val="24"/>
        </w:rPr>
        <w:t xml:space="preserve">Tencent is one of China’s largest technology companies and </w:t>
      </w:r>
      <w:r w:rsidR="009C50FC">
        <w:rPr>
          <w:rFonts w:eastAsia="Times New Roman" w:cs="Times New Roman"/>
          <w:color w:val="000000"/>
          <w:kern w:val="24"/>
          <w:szCs w:val="24"/>
        </w:rPr>
        <w:t xml:space="preserve">its revenue rate is </w:t>
      </w:r>
      <w:r>
        <w:rPr>
          <w:rFonts w:eastAsia="Times New Roman" w:cs="Times New Roman"/>
          <w:color w:val="000000"/>
          <w:kern w:val="24"/>
          <w:szCs w:val="24"/>
        </w:rPr>
        <w:t xml:space="preserve">£65.96 million; hence, the collaboration is highly beneficial for </w:t>
      </w:r>
      <w:proofErr w:type="spellStart"/>
      <w:r>
        <w:rPr>
          <w:rFonts w:eastAsia="Times New Roman" w:cs="Times New Roman"/>
          <w:color w:val="000000"/>
          <w:kern w:val="24"/>
          <w:szCs w:val="24"/>
        </w:rPr>
        <w:t>Instill</w:t>
      </w:r>
      <w:proofErr w:type="spellEnd"/>
      <w:r>
        <w:rPr>
          <w:rFonts w:eastAsia="Times New Roman" w:cs="Times New Roman"/>
          <w:color w:val="000000"/>
          <w:kern w:val="24"/>
          <w:szCs w:val="24"/>
        </w:rPr>
        <w:t xml:space="preserve"> Corp. The research intends to evaluate the cu</w:t>
      </w:r>
      <w:r w:rsidR="009C50FC">
        <w:rPr>
          <w:rFonts w:eastAsia="Times New Roman" w:cs="Times New Roman"/>
          <w:color w:val="000000"/>
          <w:kern w:val="24"/>
          <w:szCs w:val="24"/>
        </w:rPr>
        <w:t>ltural</w:t>
      </w:r>
      <w:r>
        <w:rPr>
          <w:rFonts w:eastAsia="Times New Roman" w:cs="Times New Roman"/>
          <w:color w:val="000000"/>
          <w:kern w:val="24"/>
          <w:szCs w:val="24"/>
        </w:rPr>
        <w:t xml:space="preserve"> challenges Instil might face during the collaboration and working in Chinese culture. </w:t>
      </w: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3</w:t>
      </w:r>
    </w:p>
    <w:p w:rsidR="000F6F8A" w:rsidRDefault="000F6F8A" w:rsidP="000F6F8A">
      <w:pPr>
        <w:jc w:val="left"/>
      </w:pPr>
    </w:p>
    <w:p w:rsidR="000F6F8A" w:rsidRDefault="00A4485A" w:rsidP="000F6F8A">
      <w:pPr>
        <w:jc w:val="center"/>
      </w:pPr>
      <w:r>
        <w:rPr>
          <w:noProof/>
        </w:rPr>
        <w:object w:dxaOrig="9600" w:dyaOrig="5388">
          <v:shape id="_x0000_i1034" type="#_x0000_t75" alt="" style="width:420.6pt;height:236.2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4" DrawAspect="Content" ObjectID="_1751833009" r:id="rId9"/>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r>
        <w:rPr>
          <w:rFonts w:eastAsia="Times New Roman" w:cs="Times New Roman"/>
          <w:color w:val="000000"/>
          <w:kern w:val="24"/>
          <w:szCs w:val="24"/>
        </w:rPr>
        <w:t>It is essential to mention that there are quite a few differences present in Chinese and British work culture. One of the primary aspects is that British work culture is far more open and social in comparison to China. In China, subordinates are pressured and dominated by their superiors whereas in the UK social status holds less importance and open communication is encouraged</w:t>
      </w:r>
      <w:r w:rsidR="009C50FC">
        <w:rPr>
          <w:rFonts w:eastAsia="Times New Roman" w:cs="Times New Roman"/>
          <w:color w:val="000000"/>
          <w:kern w:val="24"/>
          <w:szCs w:val="24"/>
        </w:rPr>
        <w:t>.</w:t>
      </w: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4</w:t>
      </w:r>
    </w:p>
    <w:p w:rsidR="000F6F8A" w:rsidRDefault="000F6F8A" w:rsidP="000F6F8A">
      <w:pPr>
        <w:jc w:val="left"/>
      </w:pPr>
    </w:p>
    <w:p w:rsidR="000F6F8A" w:rsidRDefault="00A4485A" w:rsidP="000F6F8A">
      <w:pPr>
        <w:jc w:val="center"/>
      </w:pPr>
      <w:r>
        <w:rPr>
          <w:noProof/>
        </w:rPr>
        <w:object w:dxaOrig="9600" w:dyaOrig="5388">
          <v:shape id="_x0000_i1033" type="#_x0000_t75" alt="" style="width:440.8pt;height:247.1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3" DrawAspect="Content" ObjectID="_1751833010" r:id="rId11"/>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color w:val="000000"/>
          <w:kern w:val="24"/>
          <w:szCs w:val="24"/>
        </w:rPr>
        <w:t xml:space="preserve">It is necessary to mention that the Chinese organisations prefer face-to face communication and in case of online communication there is WeChat. On the other hand, official communication in British organisations mostly takes place through emails. In addition to this, </w:t>
      </w:r>
      <w:r w:rsidR="009C50FC">
        <w:rPr>
          <w:rFonts w:eastAsia="Times New Roman" w:cs="Times New Roman"/>
          <w:color w:val="000000"/>
          <w:kern w:val="24"/>
          <w:szCs w:val="24"/>
        </w:rPr>
        <w:t>i</w:t>
      </w:r>
      <w:r>
        <w:rPr>
          <w:rFonts w:eastAsia="Times New Roman" w:cs="Times New Roman"/>
          <w:color w:val="000000"/>
          <w:kern w:val="24"/>
          <w:szCs w:val="24"/>
        </w:rPr>
        <w:t xml:space="preserve">n </w:t>
      </w:r>
      <w:r w:rsidR="009C50FC">
        <w:rPr>
          <w:rFonts w:eastAsia="Times New Roman" w:cs="Times New Roman"/>
          <w:color w:val="000000"/>
          <w:kern w:val="24"/>
          <w:szCs w:val="24"/>
        </w:rPr>
        <w:t>t</w:t>
      </w:r>
      <w:r>
        <w:rPr>
          <w:rFonts w:eastAsia="Times New Roman" w:cs="Times New Roman"/>
          <w:color w:val="000000"/>
          <w:kern w:val="24"/>
          <w:szCs w:val="24"/>
        </w:rPr>
        <w:t xml:space="preserve">he British culture, organisations prefer scheduling over spontaneity; whereas in China, dynamic situations and spontaneous activities are accepted. </w:t>
      </w: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5</w:t>
      </w:r>
    </w:p>
    <w:p w:rsidR="000F6F8A" w:rsidRDefault="000F6F8A" w:rsidP="000F6F8A">
      <w:pPr>
        <w:jc w:val="left"/>
      </w:pPr>
    </w:p>
    <w:p w:rsidR="000F6F8A" w:rsidRDefault="00A4485A" w:rsidP="000F6F8A">
      <w:pPr>
        <w:jc w:val="center"/>
      </w:pPr>
      <w:r>
        <w:rPr>
          <w:noProof/>
        </w:rPr>
        <w:object w:dxaOrig="9600" w:dyaOrig="5388">
          <v:shape id="_x0000_i1032" type="#_x0000_t75" alt="" style="width:423.2pt;height:237.75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2" DrawAspect="Content" ObjectID="_1751833011" r:id="rId13"/>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color w:val="000000"/>
          <w:kern w:val="24"/>
          <w:szCs w:val="24"/>
        </w:rPr>
        <w:t xml:space="preserve">Power distance is the first dimension in </w:t>
      </w:r>
      <w:proofErr w:type="spellStart"/>
      <w:r>
        <w:rPr>
          <w:rFonts w:eastAsia="Times New Roman" w:cs="Times New Roman"/>
          <w:color w:val="000000"/>
          <w:kern w:val="24"/>
          <w:szCs w:val="24"/>
        </w:rPr>
        <w:t>Hofsted’s</w:t>
      </w:r>
      <w:proofErr w:type="spellEnd"/>
      <w:r>
        <w:rPr>
          <w:rFonts w:eastAsia="Times New Roman" w:cs="Times New Roman"/>
          <w:color w:val="000000"/>
          <w:kern w:val="24"/>
          <w:szCs w:val="24"/>
        </w:rPr>
        <w:t xml:space="preserve"> cultural dimensions, and it defines the extent of acceptance of inequalities in society. Hence, it is gathered that China has more inequalities in society compared to the UK. Furthermore, the Chinese people have accepted the inequalities; whereas, in British culture, ranks and other social status are not prioritised, and everybody is given an equal opportunity. Individualism defines the sense or level of individuality in society. The UK has a highly individualistic mindset and people are focused on personal fulfilment. On the other hand, China has a collectivist mindset and leisure is not prioritised over work and family. </w:t>
      </w: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6</w:t>
      </w:r>
    </w:p>
    <w:p w:rsidR="000F6F8A" w:rsidRDefault="000F6F8A" w:rsidP="000F6F8A">
      <w:pPr>
        <w:jc w:val="left"/>
      </w:pPr>
    </w:p>
    <w:p w:rsidR="000F6F8A" w:rsidRDefault="00A4485A" w:rsidP="000F6F8A">
      <w:pPr>
        <w:jc w:val="center"/>
      </w:pPr>
      <w:r>
        <w:rPr>
          <w:noProof/>
        </w:rPr>
        <w:object w:dxaOrig="9600" w:dyaOrig="5388">
          <v:shape id="_x0000_i1031" type="#_x0000_t75" alt="" style="width:5in;height:202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1" DrawAspect="Content" ObjectID="_1751833012" r:id="rId15"/>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r>
        <w:rPr>
          <w:rFonts w:eastAsia="Times New Roman" w:cs="Times New Roman"/>
          <w:color w:val="000000"/>
          <w:kern w:val="24"/>
          <w:szCs w:val="24"/>
        </w:rPr>
        <w:t xml:space="preserve">Based on the scores, it is apparent that both countries' cultures are extremely masculine. The Masculine dimension indicates the society’s focus on competition, achievement and success. A higher score entails that society is success oriented and competitive and identifying as winners is extremely important. On the other hand, a lower score indicates that priority is on caring for others and quality of life, On the other hand, uncertainty avoidance ranking of both of the countries is extremely close. It indicates that the two countries are comfortable with ambiguity and unknown. </w:t>
      </w: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7</w:t>
      </w:r>
    </w:p>
    <w:p w:rsidR="000F6F8A" w:rsidRDefault="000F6F8A" w:rsidP="000F6F8A">
      <w:pPr>
        <w:jc w:val="left"/>
      </w:pPr>
    </w:p>
    <w:p w:rsidR="000F6F8A" w:rsidRDefault="00A4485A" w:rsidP="000F6F8A">
      <w:pPr>
        <w:jc w:val="center"/>
      </w:pPr>
      <w:r>
        <w:rPr>
          <w:noProof/>
        </w:rPr>
        <w:object w:dxaOrig="9600" w:dyaOrig="5388">
          <v:shape id="_x0000_i1030" type="#_x0000_t75" alt="" style="width:5in;height:202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51833013" r:id="rId17"/>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color w:val="000000"/>
          <w:kern w:val="24"/>
          <w:szCs w:val="24"/>
        </w:rPr>
        <w:t xml:space="preserve">Long-term orientation defines the society’s link with the past while also dealing with the challenges of the present and future. It is essential to mention that normative societies score quite low in this dimension. On the other hand, societies with high scores in this dimension have a pragmatic mindset and encourage thrift and modernism. Hence, it is evident that China with a high score is a pragmatic society which values modern mindset, whereas the United Kingdom with a low score values time-honoured traditions and views societal changes with suspicion. Indulgence is a dimension that confronts humanity and a high score of 69 indicates that British culture is extremely indulgent. On the other hand, a low score clarifies that China’s culture is extremely restrained. </w:t>
      </w: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8</w:t>
      </w:r>
    </w:p>
    <w:p w:rsidR="000F6F8A" w:rsidRDefault="000F6F8A" w:rsidP="000F6F8A">
      <w:pPr>
        <w:jc w:val="left"/>
      </w:pPr>
    </w:p>
    <w:p w:rsidR="000F6F8A" w:rsidRDefault="00A4485A" w:rsidP="000F6F8A">
      <w:pPr>
        <w:jc w:val="center"/>
      </w:pPr>
      <w:r>
        <w:rPr>
          <w:noProof/>
        </w:rPr>
        <w:object w:dxaOrig="9600" w:dyaOrig="5388">
          <v:shape id="_x0000_i1029" type="#_x0000_t75" alt="" style="width:458.95pt;height:255.9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51833014" r:id="rId19"/>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color w:val="000000"/>
          <w:kern w:val="24"/>
          <w:szCs w:val="24"/>
        </w:rPr>
        <w:t>It is necessary to mention that the United Kingdom is extremely diverse whereas China is quite homogenous. As a result, they are not quite accepting or understanding of foreigners or foreign companies. In addition to this, the organisation uses social media platforms such as LinkedIn, Facebook and Twitter for promotions and interaction with the consumer base; however, in China these platforms are not available (</w:t>
      </w:r>
      <w:r>
        <w:rPr>
          <w:rFonts w:eastAsia="Times New Roman" w:cs="Times New Roman"/>
          <w:color w:val="000000"/>
          <w:kern w:val="24"/>
          <w:szCs w:val="24"/>
          <w:highlight w:val="white"/>
        </w:rPr>
        <w:t>Meyer and Xin, 2018)</w:t>
      </w:r>
      <w:r>
        <w:rPr>
          <w:rFonts w:eastAsia="Times New Roman" w:cs="Times New Roman"/>
          <w:color w:val="000000"/>
          <w:kern w:val="24"/>
          <w:szCs w:val="24"/>
        </w:rPr>
        <w:t xml:space="preserve">. Therefore, it will be difficult for the organisation to interact and promote the brand. </w:t>
      </w: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9</w:t>
      </w:r>
    </w:p>
    <w:p w:rsidR="000F6F8A" w:rsidRDefault="000F6F8A" w:rsidP="000F6F8A">
      <w:pPr>
        <w:jc w:val="left"/>
      </w:pPr>
    </w:p>
    <w:p w:rsidR="000F6F8A" w:rsidRDefault="00A4485A" w:rsidP="000F6F8A">
      <w:pPr>
        <w:jc w:val="center"/>
      </w:pPr>
      <w:r>
        <w:rPr>
          <w:noProof/>
        </w:rPr>
        <w:object w:dxaOrig="9600" w:dyaOrig="5388">
          <v:shape id="_x0000_i1028" type="#_x0000_t75" alt="" style="width:5in;height:202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8" DrawAspect="Content" ObjectID="_1751833015" r:id="rId21"/>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Arial" w:eastAsia="Times New Roman" w:cs="Arial"/>
          <w:kern w:val="24"/>
          <w:szCs w:val="24"/>
          <w:lang w:val="en-IN"/>
        </w:rPr>
      </w:pPr>
      <w:r>
        <w:rPr>
          <w:rFonts w:eastAsia="Times New Roman" w:cs="Times New Roman"/>
          <w:color w:val="000000"/>
          <w:kern w:val="24"/>
          <w:szCs w:val="24"/>
        </w:rPr>
        <w:t xml:space="preserve">It is essential to mention that China’s organisations are extremely customer-centric and for the convenience of the customers, companies can instantly adapt and change. It has been identified that schedules are prioritised over spontaneity; hence, this will be one of the critical challenges. Furthermore, it is necessary to mention that open communication is not encouraged at Chinese organisations and subordinates are quite pressurised by their superiors. Lastly, due to language barrier, the local individuals may distance themselves from the company or remain doubtful of applying in foreign companies. </w:t>
      </w: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10</w:t>
      </w:r>
    </w:p>
    <w:p w:rsidR="000F6F8A" w:rsidRDefault="000F6F8A" w:rsidP="000F6F8A">
      <w:pPr>
        <w:jc w:val="left"/>
      </w:pPr>
    </w:p>
    <w:p w:rsidR="000F6F8A" w:rsidRDefault="00A4485A" w:rsidP="000F6F8A">
      <w:pPr>
        <w:jc w:val="center"/>
      </w:pPr>
      <w:r>
        <w:rPr>
          <w:noProof/>
        </w:rPr>
        <w:object w:dxaOrig="9600" w:dyaOrig="5388">
          <v:shape id="_x0000_i1027" type="#_x0000_t75" alt="" style="width:5in;height:202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7" DrawAspect="Content" ObjectID="_1751833016" r:id="rId23"/>
        </w:object>
      </w:r>
    </w:p>
    <w:p w:rsidR="000F6F8A" w:rsidRDefault="000F6F8A" w:rsidP="000F6F8A">
      <w:pPr>
        <w:jc w:val="center"/>
      </w:pPr>
    </w:p>
    <w:p w:rsidR="000F6F8A" w:rsidRDefault="000F6F8A" w:rsidP="000F6F8A">
      <w:pPr>
        <w:autoSpaceDE w:val="0"/>
        <w:autoSpaceDN w:val="0"/>
        <w:adjustRightInd w:val="0"/>
        <w:spacing w:after="0" w:line="240" w:lineRule="auto"/>
        <w:jc w:val="left"/>
        <w:rPr>
          <w:rFonts w:ascii="Calibri" w:hAnsi="Calibri" w:cs="Calibri"/>
          <w:kern w:val="24"/>
          <w:szCs w:val="24"/>
          <w:lang w:val="en-IN"/>
        </w:rPr>
      </w:pPr>
      <w:r>
        <w:rPr>
          <w:rFonts w:eastAsia="Times New Roman" w:cs="Times New Roman"/>
          <w:color w:val="000000"/>
          <w:kern w:val="24"/>
          <w:szCs w:val="24"/>
        </w:rPr>
        <w:t xml:space="preserve">It is crucial to note that a suitable recruitment strategy is needed, and the new recruits can help raise workplace diversity. The company has to broaden its employment strategy in China and advertise job openings on Chinese websites. Furthermore, it is important to communicate in order to increase workplace diversity. Therefore, the organisation is expected to implement culturally inclusive communication behaviours with the staff. In conclusion of the study, it can be mentioned the joint venture with a notable organisation as Tencent and help the British company in multiple ways. Learning cultural management from Tencent and adopting their ways can also help </w:t>
      </w:r>
      <w:proofErr w:type="spellStart"/>
      <w:r>
        <w:rPr>
          <w:rFonts w:eastAsia="Times New Roman" w:cs="Times New Roman"/>
          <w:color w:val="000000"/>
          <w:kern w:val="24"/>
          <w:szCs w:val="24"/>
        </w:rPr>
        <w:t>Instill</w:t>
      </w:r>
      <w:proofErr w:type="spellEnd"/>
      <w:r>
        <w:rPr>
          <w:rFonts w:eastAsia="Times New Roman" w:cs="Times New Roman"/>
          <w:color w:val="000000"/>
          <w:kern w:val="24"/>
          <w:szCs w:val="24"/>
        </w:rPr>
        <w:t xml:space="preserve"> Corporation tackle Chinese culture. </w:t>
      </w:r>
    </w:p>
    <w:p w:rsidR="000F6F8A" w:rsidRDefault="000F6F8A" w:rsidP="000F6F8A">
      <w:pPr>
        <w:autoSpaceDE w:val="0"/>
        <w:autoSpaceDN w:val="0"/>
        <w:adjustRightInd w:val="0"/>
        <w:spacing w:after="0" w:line="240" w:lineRule="auto"/>
        <w:jc w:val="left"/>
        <w:rPr>
          <w:rFonts w:ascii="Arial" w:hAnsi="Arial" w:cs="Arial"/>
          <w:szCs w:val="24"/>
          <w:lang w:val="en-US"/>
        </w:rP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11</w:t>
      </w:r>
    </w:p>
    <w:p w:rsidR="000F6F8A" w:rsidRDefault="000F6F8A" w:rsidP="000F6F8A">
      <w:pPr>
        <w:jc w:val="left"/>
      </w:pPr>
    </w:p>
    <w:p w:rsidR="000F6F8A" w:rsidRDefault="00A4485A" w:rsidP="000F6F8A">
      <w:pPr>
        <w:jc w:val="center"/>
      </w:pPr>
      <w:r>
        <w:rPr>
          <w:noProof/>
        </w:rPr>
        <w:object w:dxaOrig="9600" w:dyaOrig="5388">
          <v:shape id="_x0000_i1026" type="#_x0000_t75" alt="" style="width:520.6pt;height:377.6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6" DrawAspect="Content" ObjectID="_1751833017" r:id="rId25"/>
        </w:object>
      </w:r>
    </w:p>
    <w:p w:rsidR="000F6F8A" w:rsidRDefault="000F6F8A" w:rsidP="000F6F8A">
      <w:pPr>
        <w:jc w:val="center"/>
      </w:pPr>
    </w:p>
    <w:p w:rsidR="000F6F8A" w:rsidRDefault="000F6F8A" w:rsidP="000F6F8A">
      <w:pPr>
        <w:jc w:val="left"/>
      </w:pPr>
    </w:p>
    <w:p w:rsidR="000F6F8A" w:rsidRDefault="000F6F8A">
      <w:pPr>
        <w:spacing w:after="200" w:line="276" w:lineRule="auto"/>
        <w:jc w:val="left"/>
      </w:pPr>
      <w:r>
        <w:br w:type="page"/>
      </w:r>
    </w:p>
    <w:p w:rsidR="000F6F8A" w:rsidRDefault="000F6F8A" w:rsidP="000F6F8A">
      <w:pPr>
        <w:jc w:val="left"/>
      </w:pPr>
      <w:r>
        <w:lastRenderedPageBreak/>
        <w:t>Slide 12</w:t>
      </w:r>
    </w:p>
    <w:p w:rsidR="000F6F8A" w:rsidRDefault="000F6F8A" w:rsidP="000F6F8A">
      <w:pPr>
        <w:jc w:val="left"/>
      </w:pPr>
    </w:p>
    <w:p w:rsidR="000F6F8A" w:rsidRDefault="00A4485A" w:rsidP="000F6F8A">
      <w:pPr>
        <w:jc w:val="center"/>
      </w:pPr>
      <w:r>
        <w:rPr>
          <w:noProof/>
        </w:rPr>
        <w:object w:dxaOrig="9600" w:dyaOrig="5388">
          <v:shape id="_x0000_i1025" type="#_x0000_t75" alt="" style="width:5in;height:202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5" DrawAspect="Content" ObjectID="_1751833018" r:id="rId27"/>
        </w:object>
      </w:r>
    </w:p>
    <w:p w:rsidR="000F6F8A" w:rsidRDefault="000F6F8A" w:rsidP="000F6F8A">
      <w:pPr>
        <w:jc w:val="center"/>
      </w:pPr>
    </w:p>
    <w:p w:rsidR="000F6F8A" w:rsidRDefault="000F6F8A" w:rsidP="000F6F8A">
      <w:pPr>
        <w:jc w:val="left"/>
      </w:pPr>
    </w:p>
    <w:p w:rsidR="00671BE2" w:rsidRDefault="00671BE2" w:rsidP="000F6F8A">
      <w:pPr>
        <w:jc w:val="left"/>
      </w:pPr>
    </w:p>
    <w:sectPr w:rsidR="00671BE2" w:rsidSect="00671B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F6F8A"/>
    <w:rsid w:val="000F6F8A"/>
    <w:rsid w:val="001C72A9"/>
    <w:rsid w:val="003C40DE"/>
    <w:rsid w:val="004011AA"/>
    <w:rsid w:val="004C0DD9"/>
    <w:rsid w:val="0051159B"/>
    <w:rsid w:val="005549BC"/>
    <w:rsid w:val="00671BE2"/>
    <w:rsid w:val="00777A84"/>
    <w:rsid w:val="009C50FC"/>
    <w:rsid w:val="00A4485A"/>
    <w:rsid w:val="00C32470"/>
    <w:rsid w:val="00C74CB3"/>
    <w:rsid w:val="00D96E9B"/>
    <w:rsid w:val="00DC1E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44CA2"/>
  <w15:docId w15:val="{DC20436C-6D23-E74C-AD02-60309FC3D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EF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74CB3"/>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CB3"/>
    <w:rPr>
      <w:rFonts w:ascii="Times New Roman" w:eastAsiaTheme="majorEastAsia" w:hAnsi="Times New Roman"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Office_PowerPoint_Slide5.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Office_PowerPoint_Slide9.sldx"/><Relationship Id="rId7" Type="http://schemas.openxmlformats.org/officeDocument/2006/relationships/package" Target="embeddings/Microsoft_Office_PowerPoint_Slide2.sldx"/><Relationship Id="rId12" Type="http://schemas.openxmlformats.org/officeDocument/2006/relationships/image" Target="media/image5.emf"/><Relationship Id="rId17" Type="http://schemas.openxmlformats.org/officeDocument/2006/relationships/package" Target="embeddings/Microsoft_Office_PowerPoint_Slide7.sldx"/><Relationship Id="rId25" Type="http://schemas.openxmlformats.org/officeDocument/2006/relationships/package" Target="embeddings/Microsoft_Office_PowerPoint_Slide11.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24" Type="http://schemas.openxmlformats.org/officeDocument/2006/relationships/image" Target="media/image11.emf"/><Relationship Id="rId5" Type="http://schemas.openxmlformats.org/officeDocument/2006/relationships/package" Target="embeddings/Microsoft_Office_PowerPoint_Slide1.sldx"/><Relationship Id="rId15" Type="http://schemas.openxmlformats.org/officeDocument/2006/relationships/package" Target="embeddings/Microsoft_Office_PowerPoint_Slide6.sldx"/><Relationship Id="rId23" Type="http://schemas.openxmlformats.org/officeDocument/2006/relationships/package" Target="embeddings/Microsoft_Office_PowerPoint_Slide10.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Office_PowerPoint_Slide8.sldx"/><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1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13</Pages>
  <Words>851</Words>
  <Characters>4852</Characters>
  <Application>Microsoft Office Word</Application>
  <DocSecurity>0</DocSecurity>
  <Lines>40</Lines>
  <Paragraphs>11</Paragraphs>
  <ScaleCrop>false</ScaleCrop>
  <Company/>
  <LinksUpToDate>false</LinksUpToDate>
  <CharactersWithSpaces>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Desislava Hristova Radeva (2030540)</cp:lastModifiedBy>
  <cp:revision>3</cp:revision>
  <dcterms:created xsi:type="dcterms:W3CDTF">2023-07-25T10:37:00Z</dcterms:created>
  <dcterms:modified xsi:type="dcterms:W3CDTF">2023-07-25T20:26:00Z</dcterms:modified>
</cp:coreProperties>
</file>