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8B2825" wp14:paraId="09994082" wp14:textId="512C184F">
      <w:pPr>
        <w:spacing w:before="240" w:beforeAutospacing="off" w:after="240" w:afterAutospacing="off"/>
        <w:rPr>
          <w:rFonts w:ascii="Aptos" w:hAnsi="Aptos" w:eastAsia="Aptos" w:cs="Aptos"/>
          <w:noProof w:val="0"/>
          <w:sz w:val="20"/>
          <w:szCs w:val="20"/>
          <w:lang w:val="en-GB"/>
        </w:rPr>
      </w:pPr>
      <w:r w:rsidRPr="208B2825" w:rsidR="0B951B0C">
        <w:rPr>
          <w:rFonts w:ascii="Aptos" w:hAnsi="Aptos" w:eastAsia="Aptos" w:cs="Aptos"/>
          <w:noProof w:val="0"/>
          <w:sz w:val="22"/>
          <w:szCs w:val="22"/>
          <w:lang w:val="en-GB"/>
        </w:rPr>
        <w:t xml:space="preserve">Garbology is the study of human trash and waste materials, and it began as a way for anthropologists to learn more about modern society. The term became more widely known in the 1970s thanks to archaeologist William Rathje, who started the “Garbology Project” at the University of Arizona. His aim was to use archaeological tools and methods, normally used to study ancient cultures, to explore what our modern garbage says about us. At first, many people doubted the idea, since it seemed unusual to study today’s society through its trash. But Rathje’s research proved otherwise. By digging through landfills and carefully sorting and analysing the waste, he discovered that people often say one thing about their habits, but their trash shows something different. For example, many underestimated how much food they wasted or thought they threw away less paper than they </w:t>
      </w:r>
      <w:bookmarkStart w:name="_Int_CONnw0zQ" w:id="243045264"/>
      <w:r w:rsidRPr="208B2825" w:rsidR="0B951B0C">
        <w:rPr>
          <w:rFonts w:ascii="Aptos" w:hAnsi="Aptos" w:eastAsia="Aptos" w:cs="Aptos"/>
          <w:noProof w:val="0"/>
          <w:sz w:val="22"/>
          <w:szCs w:val="22"/>
          <w:lang w:val="en-GB"/>
        </w:rPr>
        <w:t>actually did</w:t>
      </w:r>
      <w:bookmarkEnd w:id="243045264"/>
      <w:r w:rsidRPr="208B2825" w:rsidR="0B951B0C">
        <w:rPr>
          <w:rFonts w:ascii="Aptos" w:hAnsi="Aptos" w:eastAsia="Aptos" w:cs="Aptos"/>
          <w:noProof w:val="0"/>
          <w:sz w:val="22"/>
          <w:szCs w:val="22"/>
          <w:lang w:val="en-GB"/>
        </w:rPr>
        <w:t xml:space="preserve">. Rathje’s work offered useful data about consumer </w:t>
      </w:r>
      <w:r w:rsidRPr="208B2825" w:rsidR="0B951B0C">
        <w:rPr>
          <w:rFonts w:ascii="Aptos" w:hAnsi="Aptos" w:eastAsia="Aptos" w:cs="Aptos"/>
          <w:noProof w:val="0"/>
          <w:sz w:val="22"/>
          <w:szCs w:val="22"/>
          <w:lang w:val="en-GB"/>
        </w:rPr>
        <w:t>behaviour</w:t>
      </w:r>
      <w:r w:rsidRPr="208B2825" w:rsidR="0B951B0C">
        <w:rPr>
          <w:rFonts w:ascii="Aptos" w:hAnsi="Aptos" w:eastAsia="Aptos" w:cs="Aptos"/>
          <w:noProof w:val="0"/>
          <w:sz w:val="22"/>
          <w:szCs w:val="22"/>
          <w:lang w:val="en-GB"/>
        </w:rPr>
        <w:t>, which helped inform decisions in areas like environmental policy, public health, and economics.</w:t>
      </w:r>
    </w:p>
    <w:p xmlns:wp14="http://schemas.microsoft.com/office/word/2010/wordml" w:rsidP="208B2825" wp14:paraId="36E78907" wp14:textId="7E6B1E33">
      <w:pPr>
        <w:spacing w:before="240" w:beforeAutospacing="off" w:after="240" w:afterAutospacing="off"/>
        <w:rPr>
          <w:rFonts w:ascii="Aptos" w:hAnsi="Aptos" w:eastAsia="Aptos" w:cs="Aptos"/>
          <w:noProof w:val="0"/>
          <w:sz w:val="20"/>
          <w:szCs w:val="20"/>
          <w:lang w:val="en-GB"/>
        </w:rPr>
      </w:pPr>
      <w:r w:rsidRPr="208B2825" w:rsidR="0B951B0C">
        <w:rPr>
          <w:rFonts w:ascii="Aptos" w:hAnsi="Aptos" w:eastAsia="Aptos" w:cs="Aptos"/>
          <w:noProof w:val="0"/>
          <w:sz w:val="22"/>
          <w:szCs w:val="22"/>
          <w:lang w:val="en-GB"/>
        </w:rPr>
        <w:t xml:space="preserve">Since Rathje’s early work, garbology has grown to include much more than just digging through landfills. Today, it covers a wide range of topics like recycling habits, how waste is managed, and efforts to protect the environment. Researchers in this field now look at how </w:t>
      </w:r>
      <w:r w:rsidRPr="208B2825" w:rsidR="0B951B0C">
        <w:rPr>
          <w:rFonts w:ascii="Aptos" w:hAnsi="Aptos" w:eastAsia="Aptos" w:cs="Aptos"/>
          <w:noProof w:val="0"/>
          <w:sz w:val="22"/>
          <w:szCs w:val="22"/>
          <w:lang w:val="en-GB"/>
        </w:rPr>
        <w:t>different groups</w:t>
      </w:r>
      <w:r w:rsidRPr="208B2825" w:rsidR="0B951B0C">
        <w:rPr>
          <w:rFonts w:ascii="Aptos" w:hAnsi="Aptos" w:eastAsia="Aptos" w:cs="Aptos"/>
          <w:noProof w:val="0"/>
          <w:sz w:val="22"/>
          <w:szCs w:val="22"/>
          <w:lang w:val="en-GB"/>
        </w:rPr>
        <w:t xml:space="preserve"> of people throw things away and what that can tell us about their income level, culture, and way of life. Garbology also explores the environmental effects of waste, paying close attention to major problems like plastic pollution, food being thrown out, and harmful gases released by landfills, such as methane.</w:t>
      </w:r>
    </w:p>
    <w:p xmlns:wp14="http://schemas.microsoft.com/office/word/2010/wordml" w:rsidP="208B2825" wp14:paraId="0F3BFE8B" wp14:textId="62B80899">
      <w:pPr>
        <w:spacing w:before="240" w:beforeAutospacing="off" w:after="240" w:afterAutospacing="off"/>
      </w:pPr>
      <w:r w:rsidRPr="208B2825" w:rsidR="01FE8547">
        <w:rPr>
          <w:rFonts w:ascii="Aptos" w:hAnsi="Aptos" w:eastAsia="Aptos" w:cs="Aptos"/>
          <w:noProof w:val="0"/>
          <w:sz w:val="22"/>
          <w:szCs w:val="22"/>
          <w:lang w:val="en-GB"/>
        </w:rPr>
        <w:t xml:space="preserve">Garbology has increasingly played a vital role today with the global community facing major challenges like climate change and limited natural resources. Trash, when understood, can help us </w:t>
      </w:r>
      <w:r w:rsidRPr="208B2825" w:rsidR="01FE8547">
        <w:rPr>
          <w:rFonts w:ascii="Aptos" w:hAnsi="Aptos" w:eastAsia="Aptos" w:cs="Aptos"/>
          <w:noProof w:val="0"/>
          <w:sz w:val="22"/>
          <w:szCs w:val="22"/>
          <w:lang w:val="en-GB"/>
        </w:rPr>
        <w:t>identify</w:t>
      </w:r>
      <w:r w:rsidRPr="208B2825" w:rsidR="01FE8547">
        <w:rPr>
          <w:rFonts w:ascii="Aptos" w:hAnsi="Aptos" w:eastAsia="Aptos" w:cs="Aptos"/>
          <w:noProof w:val="0"/>
          <w:sz w:val="22"/>
          <w:szCs w:val="22"/>
          <w:lang w:val="en-GB"/>
        </w:rPr>
        <w:t xml:space="preserve"> patterns that guide us on how to make improved decisions when it comes to material reuse and </w:t>
      </w:r>
      <w:r w:rsidRPr="208B2825" w:rsidR="01FE8547">
        <w:rPr>
          <w:rFonts w:ascii="Aptos" w:hAnsi="Aptos" w:eastAsia="Aptos" w:cs="Aptos"/>
          <w:noProof w:val="0"/>
          <w:sz w:val="22"/>
          <w:szCs w:val="22"/>
          <w:lang w:val="en-GB"/>
        </w:rPr>
        <w:t>utilization</w:t>
      </w:r>
      <w:r w:rsidRPr="208B2825" w:rsidR="01FE8547">
        <w:rPr>
          <w:rFonts w:ascii="Aptos" w:hAnsi="Aptos" w:eastAsia="Aptos" w:cs="Aptos"/>
          <w:noProof w:val="0"/>
          <w:sz w:val="22"/>
          <w:szCs w:val="22"/>
          <w:lang w:val="en-GB"/>
        </w:rPr>
        <w:t>. Such findings guide sustainable behaviours and shape policies aimed at reducing waste and recycling as much as possible. For example, data gained from garbology can help cities design improved waste collection systems or have public campaigns that discourage people from wasting food. It also helps businesses and policymakers understand the change in consumer behaviour. The study of what people throw away with care, garbology, offers an enlightening glimpse into how modern society works, what we value, and what our choices do to the planet.</w:t>
      </w:r>
    </w:p>
    <w:p xmlns:wp14="http://schemas.microsoft.com/office/word/2010/wordml" w:rsidP="208B2825" wp14:paraId="20CF8F56" wp14:textId="56FAC4BE">
      <w:pPr>
        <w:spacing w:before="240" w:beforeAutospacing="off" w:after="240" w:afterAutospacing="off"/>
      </w:pPr>
      <w:r w:rsidRPr="208B2825" w:rsidR="5AE363CE">
        <w:rPr>
          <w:rFonts w:ascii="Aptos" w:hAnsi="Aptos" w:eastAsia="Aptos" w:cs="Aptos"/>
          <w:noProof w:val="0"/>
          <w:sz w:val="22"/>
          <w:szCs w:val="22"/>
          <w:lang w:val="en-GB"/>
        </w:rPr>
        <w:t>The hands-on garbology sessions gave us a new perspective on archaeology by showing how it can connect with sociology and everyday life. Using traditional archaeological methods to study modern waste felt unusual at first, but surprisingly powerful. As we sorted through the bag of rubbish, it quickly became clear how personal and detailed this kind of analysis could be. It felt like we were getting a glimpse into someone’s life, almost like reading a story told through objects most people would ignore. We started to see how even ordinary trash could reveal things about a person’s age, income, habits, education level, or even their emotional state.</w:t>
      </w:r>
    </w:p>
    <w:p xmlns:wp14="http://schemas.microsoft.com/office/word/2010/wordml" w:rsidP="208B2825" wp14:paraId="0BE11AEA" wp14:textId="73E9565E">
      <w:pPr>
        <w:spacing w:before="240" w:beforeAutospacing="off" w:after="240" w:afterAutospacing="off"/>
      </w:pPr>
      <w:r w:rsidRPr="208B2825" w:rsidR="5AE363CE">
        <w:rPr>
          <w:rFonts w:ascii="Aptos" w:hAnsi="Aptos" w:eastAsia="Aptos" w:cs="Aptos"/>
          <w:noProof w:val="0"/>
          <w:sz w:val="22"/>
          <w:szCs w:val="22"/>
          <w:lang w:val="en-GB"/>
        </w:rPr>
        <w:t xml:space="preserve">Items like food packaging hinted at diet and budget, while things like receipts, medication labels, or event flyers gave us clues about travel, health, or special occasions. One bag even included a birthday card, which added an unexpected emotional layer to what we were examining. This experience showed us that waste </w:t>
      </w:r>
      <w:r w:rsidRPr="208B2825" w:rsidR="5AE363CE">
        <w:rPr>
          <w:rFonts w:ascii="Aptos" w:hAnsi="Aptos" w:eastAsia="Aptos" w:cs="Aptos"/>
          <w:noProof w:val="0"/>
          <w:sz w:val="22"/>
          <w:szCs w:val="22"/>
          <w:lang w:val="en-GB"/>
        </w:rPr>
        <w:t>isn’t</w:t>
      </w:r>
      <w:r w:rsidRPr="208B2825" w:rsidR="5AE363CE">
        <w:rPr>
          <w:rFonts w:ascii="Aptos" w:hAnsi="Aptos" w:eastAsia="Aptos" w:cs="Aptos"/>
          <w:noProof w:val="0"/>
          <w:sz w:val="22"/>
          <w:szCs w:val="22"/>
          <w:lang w:val="en-GB"/>
        </w:rPr>
        <w:t xml:space="preserve"> just something to be thrown away, it holds meaning. Every item discarded carry </w:t>
      </w:r>
      <w:bookmarkStart w:name="_Int_MzxeNIAA" w:id="2055200246"/>
      <w:r w:rsidRPr="208B2825" w:rsidR="5AE363CE">
        <w:rPr>
          <w:rFonts w:ascii="Aptos" w:hAnsi="Aptos" w:eastAsia="Aptos" w:cs="Aptos"/>
          <w:noProof w:val="0"/>
          <w:sz w:val="22"/>
          <w:szCs w:val="22"/>
          <w:lang w:val="en-GB"/>
        </w:rPr>
        <w:t>traces</w:t>
      </w:r>
      <w:bookmarkEnd w:id="2055200246"/>
      <w:r w:rsidRPr="208B2825" w:rsidR="5AE363CE">
        <w:rPr>
          <w:rFonts w:ascii="Aptos" w:hAnsi="Aptos" w:eastAsia="Aptos" w:cs="Aptos"/>
          <w:noProof w:val="0"/>
          <w:sz w:val="22"/>
          <w:szCs w:val="22"/>
          <w:lang w:val="en-GB"/>
        </w:rPr>
        <w:t xml:space="preserve"> of someone’s routine, priorities, and lifestyle. The activity helped us understand that archaeology </w:t>
      </w:r>
      <w:r w:rsidRPr="208B2825" w:rsidR="5AE363CE">
        <w:rPr>
          <w:rFonts w:ascii="Aptos" w:hAnsi="Aptos" w:eastAsia="Aptos" w:cs="Aptos"/>
          <w:noProof w:val="0"/>
          <w:sz w:val="22"/>
          <w:szCs w:val="22"/>
          <w:lang w:val="en-GB"/>
        </w:rPr>
        <w:t>doesn't</w:t>
      </w:r>
      <w:r w:rsidRPr="208B2825" w:rsidR="5AE363CE">
        <w:rPr>
          <w:rFonts w:ascii="Aptos" w:hAnsi="Aptos" w:eastAsia="Aptos" w:cs="Aptos"/>
          <w:noProof w:val="0"/>
          <w:sz w:val="22"/>
          <w:szCs w:val="22"/>
          <w:lang w:val="en-GB"/>
        </w:rPr>
        <w:t xml:space="preserve"> just belong in the past; it can be used to understand the present in rich and meaningful ways. It was a reminder that what people leave behind, no matter how small or messy, always tells a story.</w:t>
      </w:r>
    </w:p>
    <w:p xmlns:wp14="http://schemas.microsoft.com/office/word/2010/wordml" w:rsidP="208B2825" wp14:paraId="239F4160" wp14:textId="00CFAD66">
      <w:pPr>
        <w:spacing w:before="240" w:beforeAutospacing="off" w:after="240" w:afterAutospacing="off"/>
      </w:pPr>
      <w:r w:rsidRPr="208B2825" w:rsidR="5B1335CE">
        <w:rPr>
          <w:rFonts w:ascii="Aptos" w:hAnsi="Aptos" w:eastAsia="Aptos" w:cs="Aptos"/>
          <w:noProof w:val="0"/>
          <w:sz w:val="22"/>
          <w:szCs w:val="22"/>
          <w:lang w:val="en-GB"/>
        </w:rPr>
        <w:t xml:space="preserve">By examining modern household waste, we came to see archaeology as more than just a tool for exploring the distant past, it became a way to understand the present. This approach helped broaden our view of archaeology as a field </w:t>
      </w:r>
      <w:r w:rsidRPr="208B2825" w:rsidR="5B1335CE">
        <w:rPr>
          <w:rFonts w:ascii="Aptos" w:hAnsi="Aptos" w:eastAsia="Aptos" w:cs="Aptos"/>
          <w:noProof w:val="0"/>
          <w:sz w:val="22"/>
          <w:szCs w:val="22"/>
          <w:lang w:val="en-GB"/>
        </w:rPr>
        <w:t>that’s</w:t>
      </w:r>
      <w:r w:rsidRPr="208B2825" w:rsidR="5B1335CE">
        <w:rPr>
          <w:rFonts w:ascii="Aptos" w:hAnsi="Aptos" w:eastAsia="Aptos" w:cs="Aptos"/>
          <w:noProof w:val="0"/>
          <w:sz w:val="22"/>
          <w:szCs w:val="22"/>
          <w:lang w:val="en-GB"/>
        </w:rPr>
        <w:t xml:space="preserve"> deeply tied to human behaviour and everyday life, no matter the </w:t>
      </w:r>
      <w:r w:rsidRPr="208B2825" w:rsidR="5B1335CE">
        <w:rPr>
          <w:rFonts w:ascii="Aptos" w:hAnsi="Aptos" w:eastAsia="Aptos" w:cs="Aptos"/>
          <w:noProof w:val="0"/>
          <w:sz w:val="22"/>
          <w:szCs w:val="22"/>
          <w:lang w:val="en-GB"/>
        </w:rPr>
        <w:t>period</w:t>
      </w:r>
      <w:r w:rsidRPr="208B2825" w:rsidR="5B1335CE">
        <w:rPr>
          <w:rFonts w:ascii="Aptos" w:hAnsi="Aptos" w:eastAsia="Aptos" w:cs="Aptos"/>
          <w:noProof w:val="0"/>
          <w:sz w:val="22"/>
          <w:szCs w:val="22"/>
          <w:lang w:val="en-GB"/>
        </w:rPr>
        <w:t>. Analysing contemporary rubbish showed how discarded items can reflect personal choices, social patterns, and lifestyle habits, offering insights that are just as valuable as ancient artefacts.</w:t>
      </w:r>
    </w:p>
    <w:p xmlns:wp14="http://schemas.microsoft.com/office/word/2010/wordml" w:rsidP="208B2825" wp14:paraId="6CC305A3" wp14:textId="5FCDFBB3">
      <w:pPr>
        <w:spacing w:before="240" w:beforeAutospacing="off" w:after="240" w:afterAutospacing="off"/>
        <w:rPr>
          <w:sz w:val="16"/>
          <w:szCs w:val="16"/>
        </w:rPr>
      </w:pPr>
      <w:r w:rsidR="5BF45C88">
        <w:drawing>
          <wp:inline xmlns:wp14="http://schemas.microsoft.com/office/word/2010/wordprocessingDrawing" wp14:editId="4205976D" wp14:anchorId="3C5A811B">
            <wp:extent cx="1769110" cy="2369344"/>
            <wp:effectExtent l="0" t="0" r="0" b="0"/>
            <wp:docPr id="322840433" name="" descr="Image preview, Picture" title=""/>
            <wp:cNvGraphicFramePr>
              <a:graphicFrameLocks noChangeAspect="1"/>
            </wp:cNvGraphicFramePr>
            <a:graphic>
              <a:graphicData uri="http://schemas.openxmlformats.org/drawingml/2006/picture">
                <pic:pic>
                  <pic:nvPicPr>
                    <pic:cNvPr id="0" name=""/>
                    <pic:cNvPicPr/>
                  </pic:nvPicPr>
                  <pic:blipFill>
                    <a:blip r:embed="R81a70cfb3bd24088">
                      <a:extLst>
                        <a:ext xmlns:a="http://schemas.openxmlformats.org/drawingml/2006/main" uri="{28A0092B-C50C-407E-A947-70E740481C1C}">
                          <a14:useLocalDpi val="0"/>
                        </a:ext>
                      </a:extLst>
                    </a:blip>
                    <a:stretch>
                      <a:fillRect/>
                    </a:stretch>
                  </pic:blipFill>
                  <pic:spPr>
                    <a:xfrm>
                      <a:off x="0" y="0"/>
                      <a:ext cx="1769110" cy="2369344"/>
                    </a:xfrm>
                    <a:prstGeom prst="rect">
                      <a:avLst/>
                    </a:prstGeom>
                  </pic:spPr>
                </pic:pic>
              </a:graphicData>
            </a:graphic>
          </wp:inline>
        </w:drawing>
      </w:r>
    </w:p>
    <w:p xmlns:wp14="http://schemas.microsoft.com/office/word/2010/wordml" w:rsidP="208B2825" wp14:paraId="56DFED0B" wp14:textId="6A95B6F8">
      <w:pPr>
        <w:spacing w:before="240" w:beforeAutospacing="off" w:after="240" w:afterAutospacing="off"/>
        <w:rPr>
          <w:sz w:val="16"/>
          <w:szCs w:val="16"/>
        </w:rPr>
      </w:pPr>
      <w:r w:rsidRPr="208B2825" w:rsidR="5BF45C88">
        <w:rPr>
          <w:sz w:val="16"/>
          <w:szCs w:val="16"/>
        </w:rPr>
        <w:t>FIG 1 – Nespresso pods – Kip williams</w:t>
      </w:r>
      <w:r>
        <w:br/>
      </w:r>
    </w:p>
    <w:p xmlns:wp14="http://schemas.microsoft.com/office/word/2010/wordml" w:rsidP="208B2825" wp14:paraId="6C04863B" wp14:textId="1FB8B83D">
      <w:pPr>
        <w:spacing w:before="240" w:beforeAutospacing="off" w:after="240" w:afterAutospacing="off"/>
      </w:pPr>
      <w:r w:rsidRPr="208B2825" w:rsidR="5B1335CE">
        <w:rPr>
          <w:rFonts w:ascii="Aptos" w:hAnsi="Aptos" w:eastAsia="Aptos" w:cs="Aptos"/>
          <w:noProof w:val="0"/>
          <w:sz w:val="22"/>
          <w:szCs w:val="22"/>
          <w:lang w:val="en-GB"/>
        </w:rPr>
        <w:t xml:space="preserve">When we studied the contents of the </w:t>
      </w:r>
      <w:r w:rsidRPr="208B2825" w:rsidR="5B1335CE">
        <w:rPr>
          <w:rFonts w:ascii="Aptos" w:hAnsi="Aptos" w:eastAsia="Aptos" w:cs="Aptos"/>
          <w:noProof w:val="0"/>
          <w:sz w:val="22"/>
          <w:szCs w:val="22"/>
          <w:lang w:val="en-GB"/>
        </w:rPr>
        <w:t>rubbish</w:t>
      </w:r>
      <w:r w:rsidRPr="208B2825" w:rsidR="5B1335CE">
        <w:rPr>
          <w:rFonts w:ascii="Aptos" w:hAnsi="Aptos" w:eastAsia="Aptos" w:cs="Aptos"/>
          <w:noProof w:val="0"/>
          <w:sz w:val="22"/>
          <w:szCs w:val="22"/>
          <w:lang w:val="en-GB"/>
        </w:rPr>
        <w:t xml:space="preserve"> bag, we began piecing together a profile of the family it might have belonged to, using small but meaningful details. One of the most striking items was a set of Chinese Nespresso coffee pods. Their presence hinted at access to international products and </w:t>
      </w:r>
      <w:r w:rsidRPr="208B2825" w:rsidR="5B1335CE">
        <w:rPr>
          <w:rFonts w:ascii="Aptos" w:hAnsi="Aptos" w:eastAsia="Aptos" w:cs="Aptos"/>
          <w:noProof w:val="0"/>
          <w:sz w:val="22"/>
          <w:szCs w:val="22"/>
          <w:lang w:val="en-GB"/>
        </w:rPr>
        <w:t>possibly a</w:t>
      </w:r>
      <w:r w:rsidRPr="208B2825" w:rsidR="5B1335CE">
        <w:rPr>
          <w:rFonts w:ascii="Aptos" w:hAnsi="Aptos" w:eastAsia="Aptos" w:cs="Aptos"/>
          <w:noProof w:val="0"/>
          <w:sz w:val="22"/>
          <w:szCs w:val="22"/>
          <w:lang w:val="en-GB"/>
        </w:rPr>
        <w:t xml:space="preserve"> global or well-travelled outlook. Choosing Nespresso suggested a household with disposable income, as the brand is often marketed as premium, stylish, and aspirational images reinforced by its high-end packaging and celebrity advertising. The matte black pods with gold accents and the sleek raised logo pointed to a taste for luxury and attention to detail. These items also implied the use of modern kitchen technology, suggesting the family is up to date with current trends and values convenience. The single-serve nature of the pods hinted at a fast-paced lifestyle, one that balances efficiency with the desire for quality. In this way, even a few discarded coffee pods allowed us to build a deeper understanding of the people behind the waste, reinforcing the idea that archaeology can offer powerful insight into both past and present lives.</w:t>
      </w:r>
    </w:p>
    <w:p xmlns:wp14="http://schemas.microsoft.com/office/word/2010/wordml" w:rsidP="208B2825" wp14:paraId="032A4846" wp14:textId="123C3407">
      <w:pPr>
        <w:spacing w:before="240" w:beforeAutospacing="off" w:after="240" w:afterAutospacing="off"/>
        <w:rPr>
          <w:sz w:val="16"/>
          <w:szCs w:val="16"/>
        </w:rPr>
      </w:pPr>
      <w:r w:rsidR="5AD95EA1">
        <w:drawing>
          <wp:inline xmlns:wp14="http://schemas.microsoft.com/office/word/2010/wordprocessingDrawing" wp14:editId="3DD5C64E" wp14:anchorId="2DF2B02D">
            <wp:extent cx="2383230" cy="3219450"/>
            <wp:effectExtent l="0" t="0" r="0" b="0"/>
            <wp:docPr id="761172686" name="" descr="Image preview, Picture" title=""/>
            <wp:cNvGraphicFramePr>
              <a:graphicFrameLocks noChangeAspect="1"/>
            </wp:cNvGraphicFramePr>
            <a:graphic>
              <a:graphicData uri="http://schemas.openxmlformats.org/drawingml/2006/picture">
                <pic:pic>
                  <pic:nvPicPr>
                    <pic:cNvPr id="0" name=""/>
                    <pic:cNvPicPr/>
                  </pic:nvPicPr>
                  <pic:blipFill>
                    <a:blip r:embed="R6505be939fef4630">
                      <a:extLst>
                        <a:ext xmlns:a="http://schemas.openxmlformats.org/drawingml/2006/main" uri="{28A0092B-C50C-407E-A947-70E740481C1C}">
                          <a14:useLocalDpi val="0"/>
                        </a:ext>
                      </a:extLst>
                    </a:blip>
                    <a:stretch>
                      <a:fillRect/>
                    </a:stretch>
                  </pic:blipFill>
                  <pic:spPr>
                    <a:xfrm>
                      <a:off x="0" y="0"/>
                      <a:ext cx="2383230" cy="3219450"/>
                    </a:xfrm>
                    <a:prstGeom prst="rect">
                      <a:avLst/>
                    </a:prstGeom>
                  </pic:spPr>
                </pic:pic>
              </a:graphicData>
            </a:graphic>
          </wp:inline>
        </w:drawing>
      </w:r>
      <w:r>
        <w:br/>
      </w:r>
      <w:r w:rsidRPr="208B2825" w:rsidR="5AD95EA1">
        <w:rPr>
          <w:sz w:val="16"/>
          <w:szCs w:val="16"/>
        </w:rPr>
        <w:t>FIG 2 – bag of fruit muesli – Soli-Anne Green</w:t>
      </w:r>
    </w:p>
    <w:p xmlns:wp14="http://schemas.microsoft.com/office/word/2010/wordml" w:rsidP="208B2825" wp14:paraId="1CBD5C08" wp14:textId="7B1BD67B">
      <w:pPr>
        <w:spacing w:before="240" w:beforeAutospacing="off" w:after="240" w:afterAutospacing="off"/>
      </w:pPr>
      <w:r w:rsidRPr="208B2825" w:rsidR="5AD95EA1">
        <w:rPr>
          <w:rFonts w:ascii="Aptos" w:hAnsi="Aptos" w:eastAsia="Aptos" w:cs="Aptos"/>
          <w:noProof w:val="0"/>
          <w:sz w:val="22"/>
          <w:szCs w:val="22"/>
          <w:lang w:val="en-GB"/>
        </w:rPr>
        <w:t xml:space="preserve">During our group discussion, one small but telling detail caught our attention: most of the packaging had been torn open roughly, except for a bag of fruit muesli, which had been neatly cut with scissors. This contrast suggested a busy lifestyle, </w:t>
      </w:r>
      <w:r w:rsidRPr="208B2825" w:rsidR="5AD95EA1">
        <w:rPr>
          <w:rFonts w:ascii="Aptos" w:hAnsi="Aptos" w:eastAsia="Aptos" w:cs="Aptos"/>
          <w:noProof w:val="0"/>
          <w:sz w:val="22"/>
          <w:szCs w:val="22"/>
          <w:lang w:val="en-GB"/>
        </w:rPr>
        <w:t>likely one</w:t>
      </w:r>
      <w:r w:rsidRPr="208B2825" w:rsidR="5AD95EA1">
        <w:rPr>
          <w:rFonts w:ascii="Aptos" w:hAnsi="Aptos" w:eastAsia="Aptos" w:cs="Aptos"/>
          <w:noProof w:val="0"/>
          <w:sz w:val="22"/>
          <w:szCs w:val="22"/>
          <w:lang w:val="en-GB"/>
        </w:rPr>
        <w:t xml:space="preserve"> where items are opened quickly and without much thought, </w:t>
      </w:r>
      <w:r w:rsidRPr="208B2825" w:rsidR="5AD95EA1">
        <w:rPr>
          <w:rFonts w:ascii="Aptos" w:hAnsi="Aptos" w:eastAsia="Aptos" w:cs="Aptos"/>
          <w:noProof w:val="0"/>
          <w:sz w:val="22"/>
          <w:szCs w:val="22"/>
          <w:lang w:val="en-GB"/>
        </w:rPr>
        <w:t>possibly due to</w:t>
      </w:r>
      <w:r w:rsidRPr="208B2825" w:rsidR="5AD95EA1">
        <w:rPr>
          <w:rFonts w:ascii="Aptos" w:hAnsi="Aptos" w:eastAsia="Aptos" w:cs="Aptos"/>
          <w:noProof w:val="0"/>
          <w:sz w:val="22"/>
          <w:szCs w:val="22"/>
          <w:lang w:val="en-GB"/>
        </w:rPr>
        <w:t xml:space="preserve"> time constraints or frequent travel. The careful handling of the muesli, however, hinted at its regular use and importance in the household's routine. Given its long shelf life, muesli is a practical staple for those who may not be home consistently, reflecting a preference for foods that last and </w:t>
      </w:r>
      <w:r w:rsidRPr="208B2825" w:rsidR="5AD95EA1">
        <w:rPr>
          <w:rFonts w:ascii="Aptos" w:hAnsi="Aptos" w:eastAsia="Aptos" w:cs="Aptos"/>
          <w:noProof w:val="0"/>
          <w:sz w:val="22"/>
          <w:szCs w:val="22"/>
          <w:lang w:val="en-GB"/>
        </w:rPr>
        <w:t>don’t</w:t>
      </w:r>
      <w:r w:rsidRPr="208B2825" w:rsidR="5AD95EA1">
        <w:rPr>
          <w:rFonts w:ascii="Aptos" w:hAnsi="Aptos" w:eastAsia="Aptos" w:cs="Aptos"/>
          <w:noProof w:val="0"/>
          <w:sz w:val="22"/>
          <w:szCs w:val="22"/>
          <w:lang w:val="en-GB"/>
        </w:rPr>
        <w:t xml:space="preserve"> spoil easily.</w:t>
      </w:r>
    </w:p>
    <w:p xmlns:wp14="http://schemas.microsoft.com/office/word/2010/wordml" w:rsidP="208B2825" wp14:paraId="10FBED38" wp14:textId="5144371C">
      <w:pPr>
        <w:spacing w:before="240" w:beforeAutospacing="off" w:after="240" w:afterAutospacing="off"/>
      </w:pPr>
      <w:r w:rsidRPr="208B2825" w:rsidR="5AD95EA1">
        <w:rPr>
          <w:rFonts w:ascii="Aptos" w:hAnsi="Aptos" w:eastAsia="Aptos" w:cs="Aptos"/>
          <w:noProof w:val="0"/>
          <w:sz w:val="22"/>
          <w:szCs w:val="22"/>
          <w:lang w:val="en-GB"/>
        </w:rPr>
        <w:t xml:space="preserve">Another example reinforcing this pattern was a carton of Viva long-life milk. Although it had expired on August 28th, it appeared to have been discarded recently, suggesting it was used soon after the family returned from being away. This supports the idea that they rely on non-perishable items while travelling, using long-life products as a stopgap before restocking with fresh supplies. Choosing such items shows a focus on convenience and reducing </w:t>
      </w:r>
      <w:r w:rsidRPr="208B2825" w:rsidR="5AD95EA1">
        <w:rPr>
          <w:rFonts w:ascii="Aptos" w:hAnsi="Aptos" w:eastAsia="Aptos" w:cs="Aptos"/>
          <w:noProof w:val="0"/>
          <w:sz w:val="22"/>
          <w:szCs w:val="22"/>
          <w:lang w:val="en-GB"/>
        </w:rPr>
        <w:t>wast</w:t>
      </w:r>
      <w:r w:rsidRPr="208B2825" w:rsidR="5AD95EA1">
        <w:rPr>
          <w:rFonts w:ascii="Aptos" w:hAnsi="Aptos" w:eastAsia="Aptos" w:cs="Aptos"/>
          <w:noProof w:val="0"/>
          <w:sz w:val="22"/>
          <w:szCs w:val="22"/>
          <w:lang w:val="en-GB"/>
        </w:rPr>
        <w:t>, avoiding the risk of coming home to spoiled food.</w:t>
      </w:r>
    </w:p>
    <w:p xmlns:wp14="http://schemas.microsoft.com/office/word/2010/wordml" w:rsidP="208B2825" wp14:paraId="61D1C8E0" wp14:textId="15455C68">
      <w:pPr>
        <w:spacing w:before="240" w:beforeAutospacing="off" w:after="240" w:afterAutospacing="off"/>
      </w:pPr>
      <w:r w:rsidR="5AD95EA1">
        <w:drawing>
          <wp:inline xmlns:wp14="http://schemas.microsoft.com/office/word/2010/wordprocessingDrawing" wp14:editId="0BF48027" wp14:anchorId="3C1DB544">
            <wp:extent cx="1953228" cy="2571750"/>
            <wp:effectExtent l="0" t="0" r="0" b="0"/>
            <wp:docPr id="1711432605" name="" descr="A close up of a milk carton&#10;&#10;Description automatically generated, Picture" title=""/>
            <wp:cNvGraphicFramePr>
              <a:graphicFrameLocks noChangeAspect="1"/>
            </wp:cNvGraphicFramePr>
            <a:graphic>
              <a:graphicData uri="http://schemas.openxmlformats.org/drawingml/2006/picture">
                <pic:pic>
                  <pic:nvPicPr>
                    <pic:cNvPr id="0" name=""/>
                    <pic:cNvPicPr/>
                  </pic:nvPicPr>
                  <pic:blipFill>
                    <a:blip r:embed="R87bb077d28e74188">
                      <a:extLst>
                        <a:ext xmlns:a="http://schemas.openxmlformats.org/drawingml/2006/main" uri="{28A0092B-C50C-407E-A947-70E740481C1C}">
                          <a14:useLocalDpi val="0"/>
                        </a:ext>
                      </a:extLst>
                    </a:blip>
                    <a:stretch>
                      <a:fillRect/>
                    </a:stretch>
                  </pic:blipFill>
                  <pic:spPr>
                    <a:xfrm>
                      <a:off x="0" y="0"/>
                      <a:ext cx="1953228" cy="2571750"/>
                    </a:xfrm>
                    <a:prstGeom prst="rect">
                      <a:avLst/>
                    </a:prstGeom>
                  </pic:spPr>
                </pic:pic>
              </a:graphicData>
            </a:graphic>
          </wp:inline>
        </w:drawing>
      </w:r>
    </w:p>
    <w:p xmlns:wp14="http://schemas.microsoft.com/office/word/2010/wordml" w:rsidP="208B2825" wp14:paraId="283B5394" wp14:textId="1ADB24BA">
      <w:pPr>
        <w:spacing w:before="240" w:beforeAutospacing="off" w:after="240" w:afterAutospacing="off"/>
        <w:rPr>
          <w:sz w:val="14"/>
          <w:szCs w:val="14"/>
        </w:rPr>
      </w:pPr>
      <w:r w:rsidRPr="208B2825" w:rsidR="5AD95EA1">
        <w:rPr>
          <w:sz w:val="14"/>
          <w:szCs w:val="14"/>
        </w:rPr>
        <w:t>FIG 3 – UHT lomng life milk – Kip Williams</w:t>
      </w:r>
    </w:p>
    <w:p xmlns:wp14="http://schemas.microsoft.com/office/word/2010/wordml" w:rsidP="208B2825" wp14:paraId="5039F50F" wp14:textId="5660EFAA">
      <w:pPr>
        <w:spacing w:before="240" w:beforeAutospacing="off" w:after="240" w:afterAutospacing="off"/>
      </w:pPr>
      <w:r w:rsidRPr="738EA9BF" w:rsidR="5AD95EA1">
        <w:rPr>
          <w:rFonts w:ascii="Aptos" w:hAnsi="Aptos" w:eastAsia="Aptos" w:cs="Aptos"/>
          <w:noProof w:val="0"/>
          <w:sz w:val="22"/>
          <w:szCs w:val="22"/>
          <w:lang w:val="en-GB"/>
        </w:rPr>
        <w:t xml:space="preserve">The design of the packaging also provided insight into the family’s consumption habits. Both the muesli and Nespresso coffee pods featured matte black backgrounds with gold accents and "premium" branding. While the Nespresso pods clearly </w:t>
      </w:r>
      <w:r w:rsidRPr="738EA9BF" w:rsidR="5AD95EA1">
        <w:rPr>
          <w:rFonts w:ascii="Aptos" w:hAnsi="Aptos" w:eastAsia="Aptos" w:cs="Aptos"/>
          <w:noProof w:val="0"/>
          <w:sz w:val="22"/>
          <w:szCs w:val="22"/>
          <w:lang w:val="en-GB"/>
        </w:rPr>
        <w:t>represent</w:t>
      </w:r>
      <w:r w:rsidRPr="738EA9BF" w:rsidR="5AD95EA1">
        <w:rPr>
          <w:rFonts w:ascii="Aptos" w:hAnsi="Aptos" w:eastAsia="Aptos" w:cs="Aptos"/>
          <w:noProof w:val="0"/>
          <w:sz w:val="22"/>
          <w:szCs w:val="22"/>
          <w:lang w:val="en-GB"/>
        </w:rPr>
        <w:t xml:space="preserve"> a luxury purchase, the muesli, although also branded as premium, came from Lidl, a discount supermarket. This suggests a balance between quality and affordability, a preference for products that feel upscale without being excessively expensive. Altogether, these subtle clues painted a picture of a household that leads a fast-paced life, values practicality, and makes thoughtful, efficient choices when it comes to shopping.</w:t>
      </w:r>
    </w:p>
    <w:p w:rsidR="244A95FB" w:rsidP="738EA9BF" w:rsidRDefault="244A95FB" w14:paraId="285CC88D" w14:textId="0FB7118B">
      <w:pPr>
        <w:spacing w:before="240" w:beforeAutospacing="off" w:after="240" w:afterAutospacing="off"/>
      </w:pPr>
      <w:r w:rsidR="244A95FB">
        <w:drawing>
          <wp:inline wp14:editId="7DDF8D9C" wp14:anchorId="49F8DC12">
            <wp:extent cx="3080821" cy="4124325"/>
            <wp:effectExtent l="0" t="0" r="0" b="0"/>
            <wp:docPr id="17588927" name="" descr="Image preview, Picture" title=""/>
            <wp:cNvGraphicFramePr>
              <a:graphicFrameLocks noChangeAspect="1"/>
            </wp:cNvGraphicFramePr>
            <a:graphic>
              <a:graphicData uri="http://schemas.openxmlformats.org/drawingml/2006/picture">
                <pic:pic>
                  <pic:nvPicPr>
                    <pic:cNvPr id="0" name=""/>
                    <pic:cNvPicPr/>
                  </pic:nvPicPr>
                  <pic:blipFill>
                    <a:blip r:embed="R43c036e4493c40b6">
                      <a:extLst>
                        <a:ext xmlns:a="http://schemas.openxmlformats.org/drawingml/2006/main" uri="{28A0092B-C50C-407E-A947-70E740481C1C}">
                          <a14:useLocalDpi val="0"/>
                        </a:ext>
                      </a:extLst>
                    </a:blip>
                    <a:stretch>
                      <a:fillRect/>
                    </a:stretch>
                  </pic:blipFill>
                  <pic:spPr>
                    <a:xfrm>
                      <a:off x="0" y="0"/>
                      <a:ext cx="3080821" cy="4124325"/>
                    </a:xfrm>
                    <a:prstGeom prst="rect">
                      <a:avLst/>
                    </a:prstGeom>
                  </pic:spPr>
                </pic:pic>
              </a:graphicData>
            </a:graphic>
          </wp:inline>
        </w:drawing>
      </w:r>
    </w:p>
    <w:p w:rsidR="244A95FB" w:rsidP="738EA9BF" w:rsidRDefault="244A95FB" w14:paraId="286AF415" w14:textId="523B1A2F">
      <w:pPr>
        <w:spacing w:before="240" w:beforeAutospacing="off" w:after="240" w:afterAutospacing="off"/>
        <w:rPr>
          <w:sz w:val="16"/>
          <w:szCs w:val="16"/>
        </w:rPr>
      </w:pPr>
      <w:r w:rsidRPr="738EA9BF" w:rsidR="244A95FB">
        <w:rPr>
          <w:sz w:val="16"/>
          <w:szCs w:val="16"/>
        </w:rPr>
        <w:t>FIG 4 – Venison sausage packaging – Soli-Anne Green</w:t>
      </w:r>
    </w:p>
    <w:p w:rsidR="244A95FB" w:rsidP="738EA9BF" w:rsidRDefault="244A95FB" w14:paraId="450137AB" w14:textId="75E57DF2">
      <w:pPr>
        <w:spacing w:before="240" w:beforeAutospacing="off" w:after="240" w:afterAutospacing="off"/>
      </w:pPr>
      <w:r w:rsidRPr="738EA9BF" w:rsidR="244A95FB">
        <w:rPr>
          <w:rFonts w:ascii="Aptos" w:hAnsi="Aptos" w:eastAsia="Aptos" w:cs="Aptos"/>
          <w:noProof w:val="0"/>
          <w:sz w:val="22"/>
          <w:szCs w:val="22"/>
          <w:lang w:val="en-GB"/>
        </w:rPr>
        <w:t>The types of meat found in the waste, such as Wild Lakeland Venison Linked Sausage and Oxtail, stood out as unusual choices not commonly seen in the average household. These distinctive selections suggest that the family has a more adventurous or refined palate, potentially enjoying foods that reflect cultural heritage or culinary curiosity. Their preference for specialty items may also indicate that they travel frequently or come from a cultural background where such foods are more familiar. These aren't the kinds of meats typically bought out of convenience; they likely require a deliberate choice and point toward someone who enjoys cooking or experimenting with flavours.</w:t>
      </w:r>
    </w:p>
    <w:p w:rsidR="244A95FB" w:rsidP="738EA9BF" w:rsidRDefault="244A95FB" w14:paraId="546AC4C1" w14:textId="6D6542A2">
      <w:pPr>
        <w:spacing w:before="240" w:beforeAutospacing="off" w:after="240" w:afterAutospacing="off"/>
      </w:pPr>
      <w:r w:rsidRPr="738EA9BF" w:rsidR="244A95FB">
        <w:rPr>
          <w:rFonts w:ascii="Aptos" w:hAnsi="Aptos" w:eastAsia="Aptos" w:cs="Aptos"/>
          <w:noProof w:val="0"/>
          <w:sz w:val="22"/>
          <w:szCs w:val="22"/>
          <w:lang w:val="en-GB"/>
        </w:rPr>
        <w:t>Further evidence pointing to their heritage came from several items directly connected to Germany. A paper shopping bag from a German retailer, featuring a German-language website, along with a letter sent from Germany, strongly suggest that the family is either German or has close familial ties to the country. These details help explain not only their food choices but also their potential brand loyalties. For example, Lidl, a widely recognised German supermarket, appears to be a preferred store for the household. This could be due to familiarity with the brand, its affordability, or its variety of European products that may not be available elsewhere.</w:t>
      </w:r>
    </w:p>
    <w:p w:rsidR="244A95FB" w:rsidP="738EA9BF" w:rsidRDefault="244A95FB" w14:paraId="082F75C8" w14:textId="30DE12D7">
      <w:pPr>
        <w:spacing w:before="240" w:beforeAutospacing="off" w:after="240" w:afterAutospacing="off"/>
      </w:pPr>
      <w:r w:rsidR="244A95FB">
        <w:drawing>
          <wp:inline wp14:editId="2345A95C" wp14:anchorId="55D72359">
            <wp:extent cx="3114675" cy="3114675"/>
            <wp:effectExtent l="0" t="0" r="0" b="0"/>
            <wp:docPr id="1038853070" name="" descr="Image preview, Picture" title=""/>
            <wp:cNvGraphicFramePr>
              <a:graphicFrameLocks noChangeAspect="1"/>
            </wp:cNvGraphicFramePr>
            <a:graphic>
              <a:graphicData uri="http://schemas.openxmlformats.org/drawingml/2006/picture">
                <pic:pic>
                  <pic:nvPicPr>
                    <pic:cNvPr id="0" name=""/>
                    <pic:cNvPicPr/>
                  </pic:nvPicPr>
                  <pic:blipFill>
                    <a:blip r:embed="Rc0d3c30b73284692">
                      <a:extLst>
                        <a:ext xmlns:a="http://schemas.openxmlformats.org/drawingml/2006/main" uri="{28A0092B-C50C-407E-A947-70E740481C1C}">
                          <a14:useLocalDpi val="0"/>
                        </a:ext>
                      </a:extLst>
                    </a:blip>
                    <a:stretch>
                      <a:fillRect/>
                    </a:stretch>
                  </pic:blipFill>
                  <pic:spPr>
                    <a:xfrm>
                      <a:off x="0" y="0"/>
                      <a:ext cx="3114675" cy="3114675"/>
                    </a:xfrm>
                    <a:prstGeom prst="rect">
                      <a:avLst/>
                    </a:prstGeom>
                  </pic:spPr>
                </pic:pic>
              </a:graphicData>
            </a:graphic>
          </wp:inline>
        </w:drawing>
      </w:r>
    </w:p>
    <w:p w:rsidR="244A95FB" w:rsidP="738EA9BF" w:rsidRDefault="244A95FB" w14:paraId="22F4AF5C" w14:textId="256F4DEE">
      <w:pPr>
        <w:spacing w:before="240" w:beforeAutospacing="off" w:after="240" w:afterAutospacing="off"/>
      </w:pPr>
      <w:r w:rsidRPr="738EA9BF" w:rsidR="244A95FB">
        <w:rPr>
          <w:sz w:val="16"/>
          <w:szCs w:val="16"/>
        </w:rPr>
        <w:t>FIG 5 – shopping bag – Soli-Anne Green</w:t>
      </w:r>
    </w:p>
    <w:p w:rsidR="244A95FB" w:rsidP="738EA9BF" w:rsidRDefault="244A95FB" w14:paraId="6B33DDED" w14:textId="5B02743A">
      <w:pPr>
        <w:spacing w:before="240" w:beforeAutospacing="off" w:after="240" w:afterAutospacing="off"/>
      </w:pPr>
      <w:r w:rsidRPr="738EA9BF" w:rsidR="244A95FB">
        <w:rPr>
          <w:rFonts w:ascii="Aptos" w:hAnsi="Aptos" w:eastAsia="Aptos" w:cs="Aptos"/>
          <w:noProof w:val="0"/>
          <w:sz w:val="22"/>
          <w:szCs w:val="22"/>
          <w:lang w:val="en-GB"/>
        </w:rPr>
        <w:t xml:space="preserve">The presence of German shopping bags also suggests that the family travels regularly, either to visit relatives or to bring back items from abroad. Their consumer habits reflect a lifestyle influenced by both practicality and cultural identity. Altogether, these findings paint a picture of a household with strong cultural connections to Germany, a taste for unique and </w:t>
      </w:r>
      <w:r w:rsidRPr="738EA9BF" w:rsidR="244A95FB">
        <w:rPr>
          <w:rFonts w:ascii="Aptos" w:hAnsi="Aptos" w:eastAsia="Aptos" w:cs="Aptos"/>
          <w:noProof w:val="0"/>
          <w:sz w:val="22"/>
          <w:szCs w:val="22"/>
          <w:lang w:val="en-GB"/>
        </w:rPr>
        <w:t>possibly nostalgic</w:t>
      </w:r>
      <w:r w:rsidRPr="738EA9BF" w:rsidR="244A95FB">
        <w:rPr>
          <w:rFonts w:ascii="Aptos" w:hAnsi="Aptos" w:eastAsia="Aptos" w:cs="Aptos"/>
          <w:noProof w:val="0"/>
          <w:sz w:val="22"/>
          <w:szCs w:val="22"/>
          <w:lang w:val="en-GB"/>
        </w:rPr>
        <w:t xml:space="preserve"> foods, and a lifestyle that incorporates frequent travel, intentional purchasing, and cross-cultural influences.</w:t>
      </w:r>
    </w:p>
    <w:p w:rsidR="593E9EEC" w:rsidP="738EA9BF" w:rsidRDefault="593E9EEC" w14:paraId="2EAF9728" w14:textId="788A72AB">
      <w:pPr>
        <w:spacing w:before="240" w:beforeAutospacing="off" w:after="240" w:afterAutospacing="off"/>
      </w:pPr>
      <w:r w:rsidRPr="738EA9BF" w:rsidR="593E9EEC">
        <w:rPr>
          <w:rFonts w:ascii="Aptos" w:hAnsi="Aptos" w:eastAsia="Aptos" w:cs="Aptos"/>
          <w:noProof w:val="0"/>
          <w:sz w:val="22"/>
          <w:szCs w:val="22"/>
          <w:lang w:val="en-GB"/>
        </w:rPr>
        <w:t xml:space="preserve">One of the most interesting finds in the rubbish was a JoJo Maman Bébé shopping bag, a store that </w:t>
      </w:r>
      <w:r w:rsidRPr="738EA9BF" w:rsidR="593E9EEC">
        <w:rPr>
          <w:rFonts w:ascii="Aptos" w:hAnsi="Aptos" w:eastAsia="Aptos" w:cs="Aptos"/>
          <w:noProof w:val="0"/>
          <w:sz w:val="22"/>
          <w:szCs w:val="22"/>
          <w:lang w:val="en-GB"/>
        </w:rPr>
        <w:t>mainly sells</w:t>
      </w:r>
      <w:r w:rsidRPr="738EA9BF" w:rsidR="593E9EEC">
        <w:rPr>
          <w:rFonts w:ascii="Aptos" w:hAnsi="Aptos" w:eastAsia="Aptos" w:cs="Aptos"/>
          <w:noProof w:val="0"/>
          <w:sz w:val="22"/>
          <w:szCs w:val="22"/>
          <w:lang w:val="en-GB"/>
        </w:rPr>
        <w:t xml:space="preserve"> baby and children’s products. What made this stand out is that nothing else in the bin pointed to a child being part of the household. Most of the other rubbish, items with black, gold, beige, green, and navy packaging, suggested adult tastes. Inside the Jojo bag, we found receipts for pearl earrings, two baby dummies, and the plastic from wrapping paper. These clues suggest that the items </w:t>
      </w:r>
      <w:r w:rsidRPr="738EA9BF" w:rsidR="593E9EEC">
        <w:rPr>
          <w:rFonts w:ascii="Aptos" w:hAnsi="Aptos" w:eastAsia="Aptos" w:cs="Aptos"/>
          <w:noProof w:val="0"/>
          <w:sz w:val="22"/>
          <w:szCs w:val="22"/>
          <w:lang w:val="en-GB"/>
        </w:rPr>
        <w:t>weren’t</w:t>
      </w:r>
      <w:r w:rsidRPr="738EA9BF" w:rsidR="593E9EEC">
        <w:rPr>
          <w:rFonts w:ascii="Aptos" w:hAnsi="Aptos" w:eastAsia="Aptos" w:cs="Aptos"/>
          <w:noProof w:val="0"/>
          <w:sz w:val="22"/>
          <w:szCs w:val="22"/>
          <w:lang w:val="en-GB"/>
        </w:rPr>
        <w:t xml:space="preserve"> bought for the household itself but were </w:t>
      </w:r>
      <w:r w:rsidRPr="738EA9BF" w:rsidR="593E9EEC">
        <w:rPr>
          <w:rFonts w:ascii="Aptos" w:hAnsi="Aptos" w:eastAsia="Aptos" w:cs="Aptos"/>
          <w:noProof w:val="0"/>
          <w:sz w:val="22"/>
          <w:szCs w:val="22"/>
          <w:lang w:val="en-GB"/>
        </w:rPr>
        <w:t>most likely a</w:t>
      </w:r>
      <w:r w:rsidRPr="738EA9BF" w:rsidR="593E9EEC">
        <w:rPr>
          <w:rFonts w:ascii="Aptos" w:hAnsi="Aptos" w:eastAsia="Aptos" w:cs="Aptos"/>
          <w:noProof w:val="0"/>
          <w:sz w:val="22"/>
          <w:szCs w:val="22"/>
          <w:lang w:val="en-GB"/>
        </w:rPr>
        <w:t xml:space="preserve"> gift for someone expecting a baby. A letter promoting private healthcare for people over 50 added to this idea, hinting that the household may be made up of older adults, </w:t>
      </w:r>
      <w:r w:rsidRPr="738EA9BF" w:rsidR="593E9EEC">
        <w:rPr>
          <w:rFonts w:ascii="Aptos" w:hAnsi="Aptos" w:eastAsia="Aptos" w:cs="Aptos"/>
          <w:noProof w:val="0"/>
          <w:sz w:val="22"/>
          <w:szCs w:val="22"/>
          <w:lang w:val="en-GB"/>
        </w:rPr>
        <w:t>possibly grandparents</w:t>
      </w:r>
      <w:r w:rsidRPr="738EA9BF" w:rsidR="593E9EEC">
        <w:rPr>
          <w:rFonts w:ascii="Aptos" w:hAnsi="Aptos" w:eastAsia="Aptos" w:cs="Aptos"/>
          <w:noProof w:val="0"/>
          <w:sz w:val="22"/>
          <w:szCs w:val="22"/>
          <w:lang w:val="en-GB"/>
        </w:rPr>
        <w:t xml:space="preserve"> buying for a new gradchild.</w:t>
      </w:r>
    </w:p>
    <w:p w:rsidR="593E9EEC" w:rsidP="738EA9BF" w:rsidRDefault="593E9EEC" w14:paraId="3396EAAC" w14:textId="33201DF8">
      <w:pPr>
        <w:spacing w:before="240" w:beforeAutospacing="off" w:after="240" w:afterAutospacing="off"/>
      </w:pPr>
      <w:r w:rsidRPr="738EA9BF" w:rsidR="593E9EEC">
        <w:rPr>
          <w:rFonts w:ascii="Aptos" w:hAnsi="Aptos" w:eastAsia="Aptos" w:cs="Aptos"/>
          <w:noProof w:val="0"/>
          <w:sz w:val="22"/>
          <w:szCs w:val="22"/>
          <w:lang w:val="en-GB"/>
        </w:rPr>
        <w:t xml:space="preserve">The jewellery receipt tells us something else too. Pearl earrings </w:t>
      </w:r>
      <w:r w:rsidRPr="738EA9BF" w:rsidR="593E9EEC">
        <w:rPr>
          <w:rFonts w:ascii="Aptos" w:hAnsi="Aptos" w:eastAsia="Aptos" w:cs="Aptos"/>
          <w:noProof w:val="0"/>
          <w:sz w:val="22"/>
          <w:szCs w:val="22"/>
          <w:lang w:val="en-GB"/>
        </w:rPr>
        <w:t>aren’t</w:t>
      </w:r>
      <w:r w:rsidRPr="738EA9BF" w:rsidR="593E9EEC">
        <w:rPr>
          <w:rFonts w:ascii="Aptos" w:hAnsi="Aptos" w:eastAsia="Aptos" w:cs="Aptos"/>
          <w:noProof w:val="0"/>
          <w:sz w:val="22"/>
          <w:szCs w:val="22"/>
          <w:lang w:val="en-GB"/>
        </w:rPr>
        <w:t xml:space="preserve"> cheap, and this purchase hints at a concern for appearance and </w:t>
      </w:r>
      <w:r w:rsidRPr="738EA9BF" w:rsidR="593E9EEC">
        <w:rPr>
          <w:rFonts w:ascii="Aptos" w:hAnsi="Aptos" w:eastAsia="Aptos" w:cs="Aptos"/>
          <w:noProof w:val="0"/>
          <w:sz w:val="22"/>
          <w:szCs w:val="22"/>
          <w:lang w:val="en-GB"/>
        </w:rPr>
        <w:t>possibly a</w:t>
      </w:r>
      <w:r w:rsidRPr="738EA9BF" w:rsidR="593E9EEC">
        <w:rPr>
          <w:rFonts w:ascii="Aptos" w:hAnsi="Aptos" w:eastAsia="Aptos" w:cs="Aptos"/>
          <w:noProof w:val="0"/>
          <w:sz w:val="22"/>
          <w:szCs w:val="22"/>
          <w:lang w:val="en-GB"/>
        </w:rPr>
        <w:t xml:space="preserve"> professional or social life that values looking put-together. However, the baby items were on sale, showing </w:t>
      </w:r>
      <w:r w:rsidRPr="738EA9BF" w:rsidR="593E9EEC">
        <w:rPr>
          <w:rFonts w:ascii="Aptos" w:hAnsi="Aptos" w:eastAsia="Aptos" w:cs="Aptos"/>
          <w:noProof w:val="0"/>
          <w:sz w:val="22"/>
          <w:szCs w:val="22"/>
          <w:lang w:val="en-GB"/>
        </w:rPr>
        <w:t>they’re</w:t>
      </w:r>
      <w:r w:rsidRPr="738EA9BF" w:rsidR="593E9EEC">
        <w:rPr>
          <w:rFonts w:ascii="Aptos" w:hAnsi="Aptos" w:eastAsia="Aptos" w:cs="Aptos"/>
          <w:noProof w:val="0"/>
          <w:sz w:val="22"/>
          <w:szCs w:val="22"/>
          <w:lang w:val="en-GB"/>
        </w:rPr>
        <w:t xml:space="preserve"> not careless with spending and tend to be smart about how they shop for non-essentials. This mix of quality and practicality is also seen in their choice to shop at Lidl, a budget-friendly store that also carries more “premium” items, something reflected in the matte black and gold packaging of both the muesli and coffee pods.</w:t>
      </w:r>
    </w:p>
    <w:p w:rsidR="593E9EEC" w:rsidP="738EA9BF" w:rsidRDefault="593E9EEC" w14:paraId="1D79C95B" w14:textId="638BDFA7">
      <w:pPr>
        <w:spacing w:before="240" w:beforeAutospacing="off" w:after="240" w:afterAutospacing="off"/>
      </w:pPr>
      <w:r w:rsidRPr="738EA9BF" w:rsidR="593E9EEC">
        <w:rPr>
          <w:rFonts w:ascii="Aptos" w:hAnsi="Aptos" w:eastAsia="Aptos" w:cs="Aptos"/>
          <w:noProof w:val="0"/>
          <w:sz w:val="22"/>
          <w:szCs w:val="22"/>
          <w:lang w:val="en-GB"/>
        </w:rPr>
        <w:t xml:space="preserve">Altogether, their rubbish gave us a surprisingly detailed picture. It points to a household that values quality but also keeps an eye on cost. Their food choices, along with German-branded packaging and some products sourced from China, suggest they may travel regularly or have international ties. Items like letters from </w:t>
      </w:r>
      <w:r w:rsidRPr="738EA9BF" w:rsidR="593E9EEC">
        <w:rPr>
          <w:rFonts w:ascii="Aptos" w:hAnsi="Aptos" w:eastAsia="Aptos" w:cs="Aptos"/>
          <w:i w:val="0"/>
          <w:iCs w:val="0"/>
          <w:noProof w:val="0"/>
          <w:sz w:val="22"/>
          <w:szCs w:val="22"/>
          <w:lang w:val="en-GB"/>
        </w:rPr>
        <w:t>The New York Review of Books</w:t>
      </w:r>
      <w:r w:rsidRPr="738EA9BF" w:rsidR="593E9EEC">
        <w:rPr>
          <w:rFonts w:ascii="Aptos" w:hAnsi="Aptos" w:eastAsia="Aptos" w:cs="Aptos"/>
          <w:noProof w:val="0"/>
          <w:sz w:val="22"/>
          <w:szCs w:val="22"/>
          <w:lang w:val="en-GB"/>
        </w:rPr>
        <w:t xml:space="preserve"> show that someone in the home is likely well-educated and enjoys reading, while the presence of food remnants in containers and bugs in the bin suggest they aren’t always strict with recycling routines, though this might be more about being busy than a lack of care.</w:t>
      </w:r>
    </w:p>
    <w:p w:rsidR="593E9EEC" w:rsidP="738EA9BF" w:rsidRDefault="593E9EEC" w14:paraId="5FD4EF52" w14:textId="6C9BB707">
      <w:pPr>
        <w:spacing w:before="240" w:beforeAutospacing="off" w:after="240" w:afterAutospacing="off"/>
      </w:pPr>
      <w:r w:rsidRPr="738EA9BF" w:rsidR="593E9EEC">
        <w:rPr>
          <w:rFonts w:ascii="Aptos" w:hAnsi="Aptos" w:eastAsia="Aptos" w:cs="Aptos"/>
          <w:noProof w:val="0"/>
          <w:sz w:val="22"/>
          <w:szCs w:val="22"/>
          <w:lang w:val="en-GB"/>
        </w:rPr>
        <w:t xml:space="preserve">Overall, these little clues helped us build a surprisingly full profile of a family who live a busy, practical life with hints of luxury, a connection to culture, and a thoughtful, if sometimes </w:t>
      </w:r>
      <w:r w:rsidRPr="738EA9BF" w:rsidR="593E9EEC">
        <w:rPr>
          <w:rFonts w:ascii="Aptos" w:hAnsi="Aptos" w:eastAsia="Aptos" w:cs="Aptos"/>
          <w:noProof w:val="0"/>
          <w:sz w:val="22"/>
          <w:szCs w:val="22"/>
          <w:lang w:val="en-GB"/>
        </w:rPr>
        <w:t>imperfect, approach</w:t>
      </w:r>
      <w:r w:rsidRPr="738EA9BF" w:rsidR="593E9EEC">
        <w:rPr>
          <w:rFonts w:ascii="Aptos" w:hAnsi="Aptos" w:eastAsia="Aptos" w:cs="Aptos"/>
          <w:noProof w:val="0"/>
          <w:sz w:val="22"/>
          <w:szCs w:val="22"/>
          <w:lang w:val="en-GB"/>
        </w:rPr>
        <w:t xml:space="preserve"> to everyday living.</w:t>
      </w:r>
    </w:p>
    <w:p w:rsidR="2CB3B27E" w:rsidP="738EA9BF" w:rsidRDefault="2CB3B27E" w14:paraId="387CB99D" w14:textId="1B81AA7F">
      <w:pPr>
        <w:spacing w:before="240" w:beforeAutospacing="off" w:after="240" w:afterAutospacing="off"/>
      </w:pPr>
      <w:r w:rsidRPr="738EA9BF" w:rsidR="2CB3B27E">
        <w:rPr>
          <w:rFonts w:ascii="Aptos" w:hAnsi="Aptos" w:eastAsia="Aptos" w:cs="Aptos"/>
          <w:noProof w:val="0"/>
          <w:sz w:val="22"/>
          <w:szCs w:val="22"/>
          <w:lang w:val="en-GB"/>
        </w:rPr>
        <w:t>these</w:t>
      </w:r>
      <w:r w:rsidRPr="738EA9BF" w:rsidR="2CB3B27E">
        <w:rPr>
          <w:rFonts w:ascii="Aptos" w:hAnsi="Aptos" w:eastAsia="Aptos" w:cs="Aptos"/>
          <w:noProof w:val="0"/>
          <w:sz w:val="22"/>
          <w:szCs w:val="22"/>
          <w:lang w:val="en-GB"/>
        </w:rPr>
        <w:t xml:space="preserve"> observations offer a glimpse into a well-travelled, culturally aware, and intellectually curious couple who take pride in their appearance and personal tastes. While they seem thoughtful and selective in what they buy, they may not be overly meticulous when it comes to household routines like cleaning or recycling, suggesting a busy lifestyle where some details occasionally slip through the cracks.</w:t>
      </w:r>
    </w:p>
    <w:p w:rsidR="738EA9BF" w:rsidP="738EA9BF" w:rsidRDefault="738EA9BF" w14:paraId="33FA7881" w14:textId="4A360DCB">
      <w:pPr>
        <w:spacing w:before="240" w:beforeAutospacing="off" w:after="240" w:afterAutospacing="off"/>
        <w:rPr>
          <w:rFonts w:ascii="Aptos" w:hAnsi="Aptos" w:eastAsia="Aptos" w:cs="Aptos"/>
          <w:noProof w:val="0"/>
          <w:sz w:val="22"/>
          <w:szCs w:val="22"/>
          <w:lang w:val="en-GB"/>
        </w:rPr>
      </w:pPr>
    </w:p>
    <w:p w:rsidR="738EA9BF" w:rsidP="738EA9BF" w:rsidRDefault="738EA9BF" w14:paraId="39C26B8E" w14:textId="2BF748BD">
      <w:pPr>
        <w:spacing w:before="240" w:beforeAutospacing="off" w:after="240" w:afterAutospacing="off"/>
        <w:rPr>
          <w:rFonts w:ascii="Aptos" w:hAnsi="Aptos" w:eastAsia="Aptos" w:cs="Aptos"/>
          <w:noProof w:val="0"/>
          <w:sz w:val="22"/>
          <w:szCs w:val="22"/>
          <w:lang w:val="en-GB"/>
        </w:rPr>
      </w:pPr>
    </w:p>
    <w:p w:rsidR="738EA9BF" w:rsidP="738EA9BF" w:rsidRDefault="738EA9BF" w14:paraId="141223DD" w14:textId="6DEDB2FA">
      <w:pPr>
        <w:spacing w:before="240" w:beforeAutospacing="off" w:after="240" w:afterAutospacing="off"/>
        <w:rPr>
          <w:rFonts w:ascii="Aptos" w:hAnsi="Aptos" w:eastAsia="Aptos" w:cs="Aptos"/>
          <w:noProof w:val="0"/>
          <w:sz w:val="22"/>
          <w:szCs w:val="22"/>
          <w:lang w:val="en-GB"/>
        </w:rPr>
      </w:pPr>
    </w:p>
    <w:p w:rsidR="738EA9BF" w:rsidP="738EA9BF" w:rsidRDefault="738EA9BF" w14:paraId="68053EE6" w14:textId="79811DD8">
      <w:pPr>
        <w:spacing w:before="240" w:beforeAutospacing="off" w:after="240" w:afterAutospacing="off"/>
        <w:rPr>
          <w:rFonts w:ascii="Aptos" w:hAnsi="Aptos" w:eastAsia="Aptos" w:cs="Aptos"/>
          <w:noProof w:val="0"/>
          <w:sz w:val="22"/>
          <w:szCs w:val="22"/>
          <w:lang w:val="en-GB"/>
        </w:rPr>
      </w:pPr>
    </w:p>
    <w:p w:rsidR="738EA9BF" w:rsidP="738EA9BF" w:rsidRDefault="738EA9BF" w14:paraId="4D446D1D" w14:textId="68B1CBB8">
      <w:pPr>
        <w:spacing w:before="240" w:beforeAutospacing="off" w:after="240" w:afterAutospacing="off"/>
        <w:rPr>
          <w:rFonts w:ascii="Aptos" w:hAnsi="Aptos" w:eastAsia="Aptos" w:cs="Aptos"/>
          <w:noProof w:val="0"/>
          <w:sz w:val="22"/>
          <w:szCs w:val="22"/>
          <w:lang w:val="en-GB"/>
        </w:rPr>
      </w:pPr>
    </w:p>
    <w:p w:rsidR="738EA9BF" w:rsidP="738EA9BF" w:rsidRDefault="738EA9BF" w14:paraId="72AC527E" w14:textId="1F7DEC75">
      <w:pPr>
        <w:spacing w:before="240" w:beforeAutospacing="off" w:after="240" w:afterAutospacing="off"/>
        <w:rPr>
          <w:rFonts w:ascii="Aptos" w:hAnsi="Aptos" w:eastAsia="Aptos" w:cs="Aptos"/>
          <w:noProof w:val="0"/>
          <w:sz w:val="22"/>
          <w:szCs w:val="22"/>
          <w:lang w:val="en-GB"/>
        </w:rPr>
      </w:pPr>
    </w:p>
    <w:p w:rsidR="738EA9BF" w:rsidP="738EA9BF" w:rsidRDefault="738EA9BF" w14:paraId="53209C01" w14:textId="5D54235D">
      <w:pPr>
        <w:spacing w:before="240" w:beforeAutospacing="off" w:after="240" w:afterAutospacing="off"/>
        <w:rPr>
          <w:rFonts w:ascii="Aptos" w:hAnsi="Aptos" w:eastAsia="Aptos" w:cs="Aptos"/>
          <w:noProof w:val="0"/>
          <w:sz w:val="22"/>
          <w:szCs w:val="22"/>
          <w:lang w:val="en-GB"/>
        </w:rPr>
      </w:pPr>
    </w:p>
    <w:p w:rsidR="738EA9BF" w:rsidP="738EA9BF" w:rsidRDefault="738EA9BF" w14:paraId="23203F12" w14:textId="0F52D42D">
      <w:pPr>
        <w:spacing w:before="240" w:beforeAutospacing="off" w:after="240" w:afterAutospacing="off"/>
        <w:rPr>
          <w:rFonts w:ascii="Aptos" w:hAnsi="Aptos" w:eastAsia="Aptos" w:cs="Aptos"/>
          <w:noProof w:val="0"/>
          <w:sz w:val="22"/>
          <w:szCs w:val="22"/>
          <w:lang w:val="en-GB"/>
        </w:rPr>
      </w:pPr>
    </w:p>
    <w:p w:rsidR="738EA9BF" w:rsidP="738EA9BF" w:rsidRDefault="738EA9BF" w14:paraId="544D1B54" w14:textId="746BAC78">
      <w:pPr>
        <w:spacing w:before="240" w:beforeAutospacing="off" w:after="240" w:afterAutospacing="off"/>
        <w:rPr>
          <w:rFonts w:ascii="Aptos" w:hAnsi="Aptos" w:eastAsia="Aptos" w:cs="Aptos"/>
          <w:noProof w:val="0"/>
          <w:sz w:val="22"/>
          <w:szCs w:val="22"/>
          <w:lang w:val="en-GB"/>
        </w:rPr>
      </w:pPr>
    </w:p>
    <w:p w:rsidR="738EA9BF" w:rsidP="738EA9BF" w:rsidRDefault="738EA9BF" w14:paraId="7C67EBF1" w14:textId="097538EE">
      <w:pPr>
        <w:spacing w:before="240" w:beforeAutospacing="off" w:after="240" w:afterAutospacing="off"/>
        <w:rPr>
          <w:rFonts w:ascii="Aptos" w:hAnsi="Aptos" w:eastAsia="Aptos" w:cs="Aptos"/>
          <w:noProof w:val="0"/>
          <w:sz w:val="22"/>
          <w:szCs w:val="22"/>
          <w:lang w:val="en-GB"/>
        </w:rPr>
      </w:pPr>
    </w:p>
    <w:p w:rsidR="738EA9BF" w:rsidP="738EA9BF" w:rsidRDefault="738EA9BF" w14:paraId="418E6DE8" w14:textId="5F9A9126">
      <w:pPr>
        <w:spacing w:before="240" w:beforeAutospacing="off" w:after="240" w:afterAutospacing="off"/>
        <w:rPr>
          <w:rFonts w:ascii="Aptos" w:hAnsi="Aptos" w:eastAsia="Aptos" w:cs="Aptos"/>
          <w:noProof w:val="0"/>
          <w:sz w:val="22"/>
          <w:szCs w:val="22"/>
          <w:lang w:val="en-GB"/>
        </w:rPr>
      </w:pPr>
    </w:p>
    <w:p w:rsidR="738EA9BF" w:rsidP="738EA9BF" w:rsidRDefault="738EA9BF" w14:paraId="42B9CDC5" w14:textId="143FE733">
      <w:pPr>
        <w:spacing w:before="240" w:beforeAutospacing="off" w:after="240" w:afterAutospacing="off"/>
        <w:rPr>
          <w:rFonts w:ascii="Aptos" w:hAnsi="Aptos" w:eastAsia="Aptos" w:cs="Aptos"/>
          <w:noProof w:val="0"/>
          <w:sz w:val="22"/>
          <w:szCs w:val="22"/>
          <w:lang w:val="en-GB"/>
        </w:rPr>
      </w:pPr>
    </w:p>
    <w:p w:rsidR="2CB3B27E" w:rsidP="738EA9BF" w:rsidRDefault="2CB3B27E" w14:paraId="3054D834" w14:textId="0C7F3860">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38EA9BF" w:rsidR="2CB3B27E">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GB"/>
        </w:rPr>
        <w:t>References</w:t>
      </w:r>
    </w:p>
    <w:p w:rsidR="2CB3B27E" w:rsidP="738EA9BF" w:rsidRDefault="2CB3B27E" w14:paraId="2A42934D" w14:textId="5BFF658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38EA9BF" w:rsidR="2CB3B27E">
        <w:rPr>
          <w:rFonts w:ascii="Calibri" w:hAnsi="Calibri" w:eastAsia="Calibri" w:cs="Calibri"/>
          <w:b w:val="0"/>
          <w:bCs w:val="0"/>
          <w:i w:val="1"/>
          <w:iCs w:val="1"/>
          <w:caps w:val="0"/>
          <w:smallCaps w:val="0"/>
          <w:noProof w:val="0"/>
          <w:color w:val="000000" w:themeColor="text1" w:themeTint="FF" w:themeShade="FF"/>
          <w:sz w:val="22"/>
          <w:szCs w:val="22"/>
          <w:lang w:val="en-GB"/>
        </w:rPr>
        <w:t>Rathje, W. and Cullen Murphy (1992) Rubbish! the archaeology of garbage. New York, Ny Harpercollins.</w:t>
      </w:r>
    </w:p>
    <w:p w:rsidR="2CB3B27E" w:rsidP="738EA9BF" w:rsidRDefault="2CB3B27E" w14:paraId="622D8AC2" w14:textId="1CD6DDD0">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38EA9BF" w:rsidR="2CB3B27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Márquez-Grant, N. (2017) ‘Archaeological and Environmental Forensic Science’, Archaeological and Environmental Forensic Science, 1(1), pp. 1–2. Available at: </w:t>
      </w:r>
      <w:hyperlink r:id="R6740c4b0855d4f18">
        <w:r w:rsidRPr="738EA9BF" w:rsidR="2CB3B27E">
          <w:rPr>
            <w:rStyle w:val="Hyperlink"/>
            <w:rFonts w:ascii="Calibri" w:hAnsi="Calibri" w:eastAsia="Calibri" w:cs="Calibri"/>
            <w:b w:val="0"/>
            <w:bCs w:val="0"/>
            <w:i w:val="1"/>
            <w:iCs w:val="1"/>
            <w:caps w:val="0"/>
            <w:smallCaps w:val="0"/>
            <w:noProof w:val="0"/>
            <w:sz w:val="22"/>
            <w:szCs w:val="22"/>
            <w:lang w:val="en-GB"/>
          </w:rPr>
          <w:t>https://doi.org/10.1558/aefs.34203</w:t>
        </w:r>
      </w:hyperlink>
      <w:r w:rsidRPr="738EA9BF" w:rsidR="2CB3B27E">
        <w:rPr>
          <w:rFonts w:ascii="Calibri" w:hAnsi="Calibri" w:eastAsia="Calibri" w:cs="Calibri"/>
          <w:b w:val="0"/>
          <w:bCs w:val="0"/>
          <w:i w:val="1"/>
          <w:iCs w:val="1"/>
          <w:caps w:val="0"/>
          <w:smallCaps w:val="0"/>
          <w:noProof w:val="0"/>
          <w:color w:val="000000" w:themeColor="text1" w:themeTint="FF" w:themeShade="FF"/>
          <w:sz w:val="22"/>
          <w:szCs w:val="22"/>
          <w:lang w:val="en-GB"/>
        </w:rPr>
        <w:t>.</w:t>
      </w:r>
    </w:p>
    <w:p w:rsidR="738EA9BF" w:rsidP="738EA9BF" w:rsidRDefault="738EA9BF" w14:paraId="326C9B66" w14:textId="3558F3A0">
      <w:pPr>
        <w:spacing w:before="240" w:beforeAutospacing="off" w:after="240" w:afterAutospacing="off"/>
        <w:rPr>
          <w:rFonts w:ascii="Aptos" w:hAnsi="Aptos" w:eastAsia="Aptos" w:cs="Aptos"/>
          <w:noProof w:val="0"/>
          <w:sz w:val="22"/>
          <w:szCs w:val="22"/>
          <w:lang w:val="en-GB"/>
        </w:rPr>
      </w:pPr>
    </w:p>
    <w:p w:rsidR="738EA9BF" w:rsidP="738EA9BF" w:rsidRDefault="738EA9BF" w14:paraId="6B0E315F" w14:textId="2EEBABB3">
      <w:pPr>
        <w:spacing w:before="240" w:beforeAutospacing="off" w:after="240" w:afterAutospacing="off"/>
        <w:rPr>
          <w:rFonts w:ascii="Aptos" w:hAnsi="Aptos" w:eastAsia="Aptos" w:cs="Aptos"/>
          <w:noProof w:val="0"/>
          <w:sz w:val="22"/>
          <w:szCs w:val="22"/>
          <w:lang w:val="en-GB"/>
        </w:rPr>
      </w:pPr>
    </w:p>
    <w:p w:rsidR="738EA9BF" w:rsidP="738EA9BF" w:rsidRDefault="738EA9BF" w14:paraId="5E4EEDA7" w14:textId="026F38F6">
      <w:pPr>
        <w:spacing w:before="240" w:beforeAutospacing="off" w:after="240" w:afterAutospacing="off"/>
        <w:rPr>
          <w:rFonts w:ascii="Aptos" w:hAnsi="Aptos" w:eastAsia="Aptos" w:cs="Aptos"/>
          <w:noProof w:val="0"/>
          <w:sz w:val="22"/>
          <w:szCs w:val="22"/>
          <w:lang w:val="en-GB"/>
        </w:rPr>
      </w:pPr>
    </w:p>
    <w:p w:rsidR="738EA9BF" w:rsidP="738EA9BF" w:rsidRDefault="738EA9BF" w14:paraId="20BF8407" w14:textId="11F2AD84">
      <w:pPr>
        <w:spacing w:before="240" w:beforeAutospacing="off" w:after="240" w:afterAutospacing="off"/>
        <w:rPr>
          <w:rFonts w:ascii="Aptos" w:hAnsi="Aptos" w:eastAsia="Aptos" w:cs="Aptos"/>
          <w:noProof w:val="0"/>
          <w:sz w:val="22"/>
          <w:szCs w:val="22"/>
          <w:lang w:val="en-GB"/>
        </w:rPr>
      </w:pPr>
    </w:p>
    <w:p w:rsidR="738EA9BF" w:rsidP="738EA9BF" w:rsidRDefault="738EA9BF" w14:paraId="5EB6E99E" w14:textId="1DA62991">
      <w:pPr>
        <w:spacing w:before="240" w:beforeAutospacing="off" w:after="240" w:afterAutospacing="off"/>
        <w:rPr>
          <w:rFonts w:ascii="Aptos" w:hAnsi="Aptos" w:eastAsia="Aptos" w:cs="Aptos"/>
          <w:noProof w:val="0"/>
          <w:sz w:val="22"/>
          <w:szCs w:val="22"/>
          <w:lang w:val="en-GB"/>
        </w:rPr>
      </w:pPr>
    </w:p>
    <w:p xmlns:wp14="http://schemas.microsoft.com/office/word/2010/wordml" w:rsidP="208B2825" wp14:paraId="6E67DAE6" wp14:textId="03485072">
      <w:pPr>
        <w:spacing w:before="240" w:beforeAutospacing="off" w:after="240" w:afterAutospacing="off"/>
      </w:pPr>
    </w:p>
    <w:p xmlns:wp14="http://schemas.microsoft.com/office/word/2010/wordml" w:rsidP="208B2825" wp14:paraId="4BBFD5F6" wp14:textId="5FEA12EC">
      <w:pPr>
        <w:spacing w:before="240" w:beforeAutospacing="off" w:after="240" w:afterAutospacing="off"/>
        <w:rPr>
          <w:rFonts w:ascii="Aptos" w:hAnsi="Aptos" w:eastAsia="Aptos" w:cs="Aptos"/>
          <w:noProof w:val="0"/>
          <w:sz w:val="22"/>
          <w:szCs w:val="22"/>
          <w:lang w:val="en-GB"/>
        </w:rPr>
      </w:pPr>
    </w:p>
    <w:p xmlns:wp14="http://schemas.microsoft.com/office/word/2010/wordml" w:rsidP="208B2825" wp14:paraId="26BA4A9A" wp14:textId="12C97BBF">
      <w:pPr>
        <w:spacing w:before="240" w:beforeAutospacing="off" w:after="240" w:afterAutospacing="off"/>
        <w:rPr>
          <w:rFonts w:ascii="Aptos" w:hAnsi="Aptos" w:eastAsia="Aptos" w:cs="Aptos"/>
          <w:noProof w:val="0"/>
          <w:sz w:val="22"/>
          <w:szCs w:val="22"/>
          <w:lang w:val="en-GB"/>
        </w:rPr>
      </w:pPr>
    </w:p>
    <w:p xmlns:wp14="http://schemas.microsoft.com/office/word/2010/wordml" w:rsidP="208B2825" wp14:paraId="546CA2D8" wp14:textId="57BF12B5">
      <w:pPr>
        <w:spacing w:before="240" w:beforeAutospacing="off" w:after="240" w:afterAutospacing="off"/>
        <w:rPr>
          <w:rFonts w:ascii="Aptos" w:hAnsi="Aptos" w:eastAsia="Aptos" w:cs="Aptos"/>
          <w:noProof w:val="0"/>
          <w:sz w:val="22"/>
          <w:szCs w:val="22"/>
          <w:lang w:val="en-GB"/>
        </w:rPr>
      </w:pPr>
    </w:p>
    <w:p xmlns:wp14="http://schemas.microsoft.com/office/word/2010/wordml" w:rsidP="208B2825" wp14:paraId="45D5F945" wp14:textId="3B440CA1">
      <w:pPr>
        <w:spacing w:before="240" w:beforeAutospacing="off" w:after="240" w:afterAutospacing="off"/>
        <w:rPr>
          <w:rFonts w:ascii="Aptos" w:hAnsi="Aptos" w:eastAsia="Aptos" w:cs="Aptos"/>
          <w:noProof w:val="0"/>
          <w:sz w:val="22"/>
          <w:szCs w:val="22"/>
          <w:lang w:val="en-GB"/>
        </w:rPr>
      </w:pPr>
    </w:p>
    <w:p xmlns:wp14="http://schemas.microsoft.com/office/word/2010/wordml" w:rsidP="208B2825" wp14:paraId="3B2B99E7" wp14:textId="3A2BEFBE">
      <w:pPr>
        <w:spacing w:before="240" w:beforeAutospacing="off" w:after="240" w:afterAutospacing="off"/>
        <w:rPr>
          <w:rFonts w:ascii="Aptos" w:hAnsi="Aptos" w:eastAsia="Aptos" w:cs="Aptos"/>
          <w:noProof w:val="0"/>
          <w:sz w:val="22"/>
          <w:szCs w:val="22"/>
          <w:lang w:val="en-GB"/>
        </w:rPr>
      </w:pPr>
    </w:p>
    <w:p xmlns:wp14="http://schemas.microsoft.com/office/word/2010/wordml" w:rsidP="208B2825" wp14:paraId="28CE0912" wp14:textId="6092956B">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79A6369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MzxeNIAA" int2:invalidationBookmarkName="" int2:hashCode="sPTyhpLx97h3KI" int2:id="ccQuMBoJ">
      <int2:state int2:type="gram" int2:value="Rejected"/>
    </int2:bookmark>
    <int2:bookmark int2:bookmarkName="_Int_CONnw0zQ" int2:invalidationBookmarkName="" int2:hashCode="GaQu0lBI8uAqWX" int2:id="vpEUXj9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985F01"/>
    <w:rsid w:val="00C85DA9"/>
    <w:rsid w:val="01A7DFF8"/>
    <w:rsid w:val="01FE8547"/>
    <w:rsid w:val="0632873C"/>
    <w:rsid w:val="0B951B0C"/>
    <w:rsid w:val="0E9CA72B"/>
    <w:rsid w:val="1353E896"/>
    <w:rsid w:val="162BC4B2"/>
    <w:rsid w:val="1924FC8A"/>
    <w:rsid w:val="208B2825"/>
    <w:rsid w:val="244A95FB"/>
    <w:rsid w:val="281E4847"/>
    <w:rsid w:val="2CB3B27E"/>
    <w:rsid w:val="31985F01"/>
    <w:rsid w:val="32046DDA"/>
    <w:rsid w:val="38CBB173"/>
    <w:rsid w:val="3EF63C2E"/>
    <w:rsid w:val="3FC15AC2"/>
    <w:rsid w:val="44E1AC5C"/>
    <w:rsid w:val="4E8CD0A5"/>
    <w:rsid w:val="4F2985CA"/>
    <w:rsid w:val="4F4267D5"/>
    <w:rsid w:val="54A43C21"/>
    <w:rsid w:val="593E9EEC"/>
    <w:rsid w:val="5AD95EA1"/>
    <w:rsid w:val="5AE363CE"/>
    <w:rsid w:val="5B1335CE"/>
    <w:rsid w:val="5BF45C88"/>
    <w:rsid w:val="60C5723D"/>
    <w:rsid w:val="6EE8698B"/>
    <w:rsid w:val="6FDEC14B"/>
    <w:rsid w:val="738EA9BF"/>
    <w:rsid w:val="7782E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85F01"/>
  <w15:chartTrackingRefBased/>
  <w15:docId w15:val="{87FCB3CF-4086-4F5C-8DBD-D8088F4757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38EA9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1a70cfb3bd24088" /><Relationship Type="http://schemas.openxmlformats.org/officeDocument/2006/relationships/image" Target="/media/image2.jpg" Id="R6505be939fef4630" /><Relationship Type="http://schemas.openxmlformats.org/officeDocument/2006/relationships/image" Target="/media/image3.jpg" Id="R87bb077d28e74188" /><Relationship Type="http://schemas.microsoft.com/office/2020/10/relationships/intelligence" Target="/word/intelligence2.xml" Id="R9ddc2bd3db4040e4" /><Relationship Type="http://schemas.openxmlformats.org/officeDocument/2006/relationships/image" Target="/media/image4.jpg" Id="R43c036e4493c40b6" /><Relationship Type="http://schemas.openxmlformats.org/officeDocument/2006/relationships/image" Target="/media/image.png" Id="Rc0d3c30b73284692" /><Relationship Type="http://schemas.openxmlformats.org/officeDocument/2006/relationships/hyperlink" Target="https://doi.org/10.1558/aefs.34203" TargetMode="External" Id="R6740c4b0855d4f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3</revision>
  <dcterms:created xsi:type="dcterms:W3CDTF">2025-07-10T13:26:13.8065597Z</dcterms:created>
  <dcterms:modified xsi:type="dcterms:W3CDTF">2025-07-11T15:43:20.9744607Z</dcterms:modified>
</coreProperties>
</file>