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4EAE6" w14:textId="77777777" w:rsidR="00B93ED5" w:rsidRDefault="00B93ED5" w:rsidP="00B93ED5">
      <w:pPr>
        <w:shd w:val="clear" w:color="auto" w:fill="FFFFFF"/>
        <w:spacing w:line="240" w:lineRule="auto"/>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HARMONY: THEORY AND PRACTICE</w:t>
      </w:r>
    </w:p>
    <w:p w14:paraId="16C45352" w14:textId="77777777" w:rsidR="00B93ED5" w:rsidRDefault="00B93ED5" w:rsidP="00B93ED5">
      <w:pPr>
        <w:shd w:val="clear" w:color="auto" w:fill="FFFFFF"/>
        <w:spacing w:line="240" w:lineRule="auto"/>
        <w:contextualSpacing/>
        <w:rPr>
          <w:rFonts w:ascii="Arial" w:eastAsia="Times New Roman" w:hAnsi="Arial" w:cs="Arial"/>
          <w:b/>
          <w:bCs/>
          <w:color w:val="222222"/>
          <w:kern w:val="0"/>
          <w:lang w:eastAsia="en-GB"/>
          <w14:ligatures w14:val="none"/>
        </w:rPr>
      </w:pPr>
    </w:p>
    <w:p w14:paraId="04BD3B7F" w14:textId="77777777" w:rsidR="00B93ED5" w:rsidRDefault="00B93ED5" w:rsidP="00B93ED5">
      <w:pPr>
        <w:shd w:val="clear" w:color="auto" w:fill="FFFFFF"/>
        <w:spacing w:line="240" w:lineRule="auto"/>
        <w:contextualSpacing/>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WEEK 5 DESCRIPTION: POLITICS</w:t>
      </w:r>
    </w:p>
    <w:p w14:paraId="6AA02E48" w14:textId="77777777" w:rsidR="00B93ED5" w:rsidRDefault="00B93ED5" w:rsidP="00B93ED5">
      <w:pPr>
        <w:shd w:val="clear" w:color="auto" w:fill="FFFFFF"/>
        <w:spacing w:line="240" w:lineRule="auto"/>
        <w:contextualSpacing/>
        <w:rPr>
          <w:rFonts w:ascii="Arial" w:eastAsia="Times New Roman" w:hAnsi="Arial" w:cs="Arial"/>
          <w:b/>
          <w:bCs/>
          <w:color w:val="222222"/>
          <w:kern w:val="0"/>
          <w:lang w:eastAsia="en-GB"/>
          <w14:ligatures w14:val="none"/>
        </w:rPr>
      </w:pPr>
    </w:p>
    <w:p w14:paraId="1E1C745F" w14:textId="77777777" w:rsidR="00B93ED5" w:rsidRDefault="00B93ED5" w:rsidP="00B93ED5">
      <w:pPr>
        <w:shd w:val="clear" w:color="auto" w:fill="FFFFFF"/>
        <w:spacing w:line="240" w:lineRule="auto"/>
        <w:contextualSpacing/>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NICK CAMPION</w:t>
      </w:r>
    </w:p>
    <w:p w14:paraId="44A92FC9" w14:textId="77777777" w:rsidR="00B93ED5" w:rsidRDefault="00B93ED5" w:rsidP="00B93ED5">
      <w:pPr>
        <w:shd w:val="clear" w:color="auto" w:fill="FFFFFF"/>
        <w:spacing w:line="240" w:lineRule="auto"/>
        <w:contextualSpacing/>
        <w:rPr>
          <w:rFonts w:ascii="Arial" w:eastAsia="Times New Roman" w:hAnsi="Arial" w:cs="Arial"/>
          <w:color w:val="222222"/>
          <w:kern w:val="0"/>
          <w:lang w:eastAsia="en-GB"/>
          <w14:ligatures w14:val="none"/>
        </w:rPr>
      </w:pPr>
    </w:p>
    <w:p w14:paraId="299B129B" w14:textId="77777777" w:rsidR="00B93ED5" w:rsidRDefault="00B93ED5" w:rsidP="00B93ED5">
      <w:pPr>
        <w:shd w:val="clear" w:color="auto" w:fill="FFFFFF"/>
        <w:spacing w:line="240" w:lineRule="auto"/>
        <w:contextualSpacing/>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Tasks for this week.</w:t>
      </w:r>
    </w:p>
    <w:p w14:paraId="3D257CF4" w14:textId="77777777" w:rsidR="00B93ED5" w:rsidRDefault="00B93ED5" w:rsidP="00B93ED5">
      <w:pPr>
        <w:shd w:val="clear" w:color="auto" w:fill="FFFFFF"/>
        <w:spacing w:line="240" w:lineRule="auto"/>
        <w:contextualSpacing/>
        <w:rPr>
          <w:rFonts w:ascii="Arial" w:eastAsia="Times New Roman" w:hAnsi="Arial" w:cs="Arial"/>
          <w:color w:val="222222"/>
          <w:kern w:val="0"/>
          <w:lang w:eastAsia="en-GB"/>
          <w14:ligatures w14:val="none"/>
        </w:rPr>
      </w:pPr>
    </w:p>
    <w:p w14:paraId="623782C4" w14:textId="77777777" w:rsidR="00B93ED5" w:rsidRDefault="00B93ED5" w:rsidP="00B93ED5">
      <w:pPr>
        <w:pStyle w:val="ListParagraph"/>
        <w:numPr>
          <w:ilvl w:val="0"/>
          <w:numId w:val="1"/>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Download the Required Reading:</w:t>
      </w:r>
    </w:p>
    <w:p w14:paraId="06A08926" w14:textId="77777777" w:rsidR="00B93ED5" w:rsidRDefault="00B93ED5" w:rsidP="00B93ED5">
      <w:pPr>
        <w:pStyle w:val="ListParagraph"/>
        <w:numPr>
          <w:ilvl w:val="0"/>
          <w:numId w:val="1"/>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Post on the Forum</w:t>
      </w:r>
    </w:p>
    <w:p w14:paraId="57BA3884" w14:textId="77777777" w:rsidR="00B93ED5" w:rsidRDefault="00B93ED5" w:rsidP="00B93ED5">
      <w:pPr>
        <w:pStyle w:val="ListParagraph"/>
        <w:numPr>
          <w:ilvl w:val="0"/>
          <w:numId w:val="1"/>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Work on your final draft of essay </w:t>
      </w:r>
      <w:proofErr w:type="gramStart"/>
      <w:r>
        <w:rPr>
          <w:rFonts w:ascii="Arial" w:eastAsia="Times New Roman" w:hAnsi="Arial" w:cs="Arial"/>
          <w:color w:val="222222"/>
          <w:kern w:val="0"/>
          <w:lang w:eastAsia="en-GB"/>
          <w14:ligatures w14:val="none"/>
        </w:rPr>
        <w:t>1</w:t>
      </w:r>
      <w:proofErr w:type="gramEnd"/>
    </w:p>
    <w:p w14:paraId="1E170542" w14:textId="77777777" w:rsidR="00B93ED5" w:rsidRDefault="00B93ED5" w:rsidP="00B93ED5">
      <w:pPr>
        <w:shd w:val="clear" w:color="auto" w:fill="FFFFFF"/>
        <w:spacing w:line="240" w:lineRule="auto"/>
        <w:rPr>
          <w:rFonts w:ascii="Arial" w:eastAsia="Times New Roman" w:hAnsi="Arial" w:cs="Arial"/>
          <w:color w:val="222222"/>
          <w:kern w:val="0"/>
          <w:lang w:eastAsia="en-GB"/>
          <w14:ligatures w14:val="none"/>
        </w:rPr>
      </w:pPr>
    </w:p>
    <w:p w14:paraId="74317EA1" w14:textId="77777777" w:rsidR="00B93ED5" w:rsidRDefault="00B93ED5" w:rsidP="00B93ED5">
      <w:pPr>
        <w:shd w:val="clear" w:color="auto" w:fill="FFFFFF"/>
        <w:spacing w:line="240" w:lineRule="auto"/>
        <w:contextualSpacing/>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Themes for the Week</w:t>
      </w:r>
    </w:p>
    <w:p w14:paraId="29D3D589" w14:textId="77777777" w:rsidR="00B93ED5" w:rsidRDefault="00B93ED5" w:rsidP="00B93ED5">
      <w:pPr>
        <w:shd w:val="clear" w:color="auto" w:fill="FFFFFF"/>
        <w:spacing w:line="240" w:lineRule="auto"/>
        <w:contextualSpacing/>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This week we deal with politics. There are two major questions. The first is whether Harmony, as the theory of interconnectedness of all things, has an identifiable political theory and practice. The second is whether Green political theory is a credible application of Harmony principles and, if so, how.</w:t>
      </w:r>
    </w:p>
    <w:p w14:paraId="3EB3A3BD" w14:textId="77777777" w:rsidR="00B93ED5" w:rsidRDefault="00B93ED5" w:rsidP="00B93ED5">
      <w:pPr>
        <w:shd w:val="clear" w:color="auto" w:fill="FFFFFF"/>
        <w:spacing w:line="240" w:lineRule="auto"/>
        <w:contextualSpacing/>
        <w:rPr>
          <w:rFonts w:ascii="Arial" w:eastAsia="Times New Roman" w:hAnsi="Arial" w:cs="Arial"/>
          <w:color w:val="222222"/>
          <w:kern w:val="0"/>
          <w:lang w:eastAsia="en-GB"/>
          <w14:ligatures w14:val="none"/>
        </w:rPr>
      </w:pPr>
    </w:p>
    <w:p w14:paraId="0C9D61A1" w14:textId="77777777" w:rsidR="00B93ED5" w:rsidRDefault="00B93ED5" w:rsidP="00B93ED5">
      <w:pPr>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shd w:val="clear" w:color="auto" w:fill="FFFFFF"/>
          <w:lang w:eastAsia="en-GB"/>
          <w14:ligatures w14:val="none"/>
        </w:rPr>
        <w:t>In medieval and Renaissance Europe, the concept of society as a single entity was conceptualised as the ‘Body Politic’ in which society functions as a single body. We can ask whether this a meaningful analogy in a modern sense. Relying on classical texts, Harmony was also explicitly linked to cosmology in the sense that, if everything is interconnected, then by promoting Harmonious activities (music, art, architecture) Harmony is maintained throughout the whole universe (the philosopher Marsilio Ficino and the astronomer Johannes Kepler were leading exponents of this view).</w:t>
      </w:r>
    </w:p>
    <w:p w14:paraId="0CB71A69" w14:textId="77777777" w:rsidR="00B93ED5" w:rsidRDefault="00B93ED5" w:rsidP="00B93ED5">
      <w:pPr>
        <w:shd w:val="clear" w:color="auto" w:fill="FFFFFF"/>
        <w:spacing w:line="240" w:lineRule="auto"/>
        <w:contextualSpacing/>
        <w:rPr>
          <w:rFonts w:ascii="Arial" w:eastAsia="Times New Roman" w:hAnsi="Arial" w:cs="Arial"/>
          <w:color w:val="222222"/>
          <w:kern w:val="0"/>
          <w:lang w:eastAsia="en-GB"/>
          <w14:ligatures w14:val="none"/>
        </w:rPr>
      </w:pPr>
    </w:p>
    <w:p w14:paraId="677CD51B" w14:textId="77777777" w:rsidR="00B93ED5" w:rsidRDefault="00B93ED5" w:rsidP="00B93ED5">
      <w:pPr>
        <w:spacing w:line="240" w:lineRule="auto"/>
        <w:rPr>
          <w:rFonts w:ascii="Arial" w:hAnsi="Arial" w:cs="Arial"/>
          <w:b/>
          <w:bCs/>
        </w:rPr>
      </w:pPr>
      <w:r>
        <w:rPr>
          <w:rFonts w:ascii="Arial" w:hAnsi="Arial" w:cs="Arial"/>
          <w:b/>
          <w:bCs/>
        </w:rPr>
        <w:t>Introduction</w:t>
      </w:r>
    </w:p>
    <w:p w14:paraId="3B085808" w14:textId="77777777" w:rsidR="00B93ED5" w:rsidRDefault="00B93ED5" w:rsidP="00B93ED5">
      <w:pPr>
        <w:spacing w:line="240" w:lineRule="auto"/>
        <w:rPr>
          <w:rFonts w:ascii="Arial" w:hAnsi="Arial" w:cs="Arial"/>
        </w:rPr>
      </w:pPr>
      <w:r>
        <w:rPr>
          <w:rFonts w:ascii="Arial" w:hAnsi="Arial" w:cs="Arial"/>
        </w:rPr>
        <w:t xml:space="preserve">The question of the relationship between politics and Harmony depends on </w:t>
      </w:r>
      <w:proofErr w:type="gramStart"/>
      <w:r>
        <w:rPr>
          <w:rFonts w:ascii="Arial" w:hAnsi="Arial" w:cs="Arial"/>
        </w:rPr>
        <w:t>a number of</w:t>
      </w:r>
      <w:proofErr w:type="gramEnd"/>
      <w:r>
        <w:rPr>
          <w:rFonts w:ascii="Arial" w:hAnsi="Arial" w:cs="Arial"/>
        </w:rPr>
        <w:t xml:space="preserve"> variables. Is Harmony is recognised as an underlying structure in the universe resulting in interconnectedness and aspiring to balance, or is harmony achieved when we have peace between people?</w:t>
      </w:r>
    </w:p>
    <w:p w14:paraId="4A2601F9" w14:textId="77777777" w:rsidR="00B93ED5" w:rsidRDefault="00B93ED5" w:rsidP="00B93ED5">
      <w:pPr>
        <w:spacing w:after="0" w:line="240" w:lineRule="auto"/>
        <w:rPr>
          <w:rFonts w:ascii="Arial" w:eastAsia="Times New Roman" w:hAnsi="Arial" w:cs="Arial"/>
          <w:color w:val="222222"/>
          <w:kern w:val="0"/>
          <w:shd w:val="clear" w:color="auto" w:fill="FFFFFF"/>
          <w:lang w:eastAsia="en-GB"/>
          <w14:ligatures w14:val="none"/>
        </w:rPr>
      </w:pPr>
      <w:r>
        <w:rPr>
          <w:rFonts w:ascii="Arial" w:hAnsi="Arial" w:cs="Arial"/>
        </w:rPr>
        <w:t>A first question is whether the emphasis is on people living in harmony with each other and/or in harmony with nature. The former does not require concern for the natural environment and can be judged successful by an absence of conflict. The latter requires a high regard of the natural environment. For example, if</w:t>
      </w:r>
      <w:r>
        <w:rPr>
          <w:rFonts w:ascii="Arial" w:eastAsia="Times New Roman" w:hAnsi="Arial" w:cs="Arial"/>
          <w:color w:val="222222"/>
          <w:kern w:val="0"/>
          <w:shd w:val="clear" w:color="auto" w:fill="FFFFFF"/>
          <w:lang w:eastAsia="en-GB"/>
          <w14:ligatures w14:val="none"/>
        </w:rPr>
        <w:t xml:space="preserve"> conflict is caused by environmental problems, such as drought or crop failure, then these need to be addressed </w:t>
      </w:r>
      <w:proofErr w:type="gramStart"/>
      <w:r>
        <w:rPr>
          <w:rFonts w:ascii="Arial" w:eastAsia="Times New Roman" w:hAnsi="Arial" w:cs="Arial"/>
          <w:color w:val="222222"/>
          <w:kern w:val="0"/>
          <w:shd w:val="clear" w:color="auto" w:fill="FFFFFF"/>
          <w:lang w:eastAsia="en-GB"/>
          <w14:ligatures w14:val="none"/>
        </w:rPr>
        <w:t>in order to</w:t>
      </w:r>
      <w:proofErr w:type="gramEnd"/>
      <w:r>
        <w:rPr>
          <w:rFonts w:ascii="Arial" w:eastAsia="Times New Roman" w:hAnsi="Arial" w:cs="Arial"/>
          <w:color w:val="222222"/>
          <w:kern w:val="0"/>
          <w:shd w:val="clear" w:color="auto" w:fill="FFFFFF"/>
          <w:lang w:eastAsia="en-GB"/>
          <w14:ligatures w14:val="none"/>
        </w:rPr>
        <w:t xml:space="preserve"> reduce conflict. Or it might go further into deep ecological territory and argue that animals, </w:t>
      </w:r>
      <w:proofErr w:type="gramStart"/>
      <w:r>
        <w:rPr>
          <w:rFonts w:ascii="Arial" w:eastAsia="Times New Roman" w:hAnsi="Arial" w:cs="Arial"/>
          <w:color w:val="222222"/>
          <w:kern w:val="0"/>
          <w:shd w:val="clear" w:color="auto" w:fill="FFFFFF"/>
          <w:lang w:eastAsia="en-GB"/>
          <w14:ligatures w14:val="none"/>
        </w:rPr>
        <w:t>plants</w:t>
      </w:r>
      <w:proofErr w:type="gramEnd"/>
      <w:r>
        <w:rPr>
          <w:rFonts w:ascii="Arial" w:eastAsia="Times New Roman" w:hAnsi="Arial" w:cs="Arial"/>
          <w:color w:val="222222"/>
          <w:kern w:val="0"/>
          <w:shd w:val="clear" w:color="auto" w:fill="FFFFFF"/>
          <w:lang w:eastAsia="en-GB"/>
          <w14:ligatures w14:val="none"/>
        </w:rPr>
        <w:t xml:space="preserve"> or the land have rights that need to be balanced against human rights.</w:t>
      </w:r>
    </w:p>
    <w:p w14:paraId="2F2689D8" w14:textId="77777777" w:rsidR="00B93ED5" w:rsidRDefault="00B93ED5" w:rsidP="00B93ED5">
      <w:pPr>
        <w:spacing w:after="0" w:line="240" w:lineRule="auto"/>
        <w:rPr>
          <w:rFonts w:ascii="Arial" w:eastAsia="Times New Roman" w:hAnsi="Arial" w:cs="Arial"/>
          <w:color w:val="222222"/>
          <w:kern w:val="0"/>
          <w:shd w:val="clear" w:color="auto" w:fill="FFFFFF"/>
          <w:lang w:eastAsia="en-GB"/>
          <w14:ligatures w14:val="none"/>
        </w:rPr>
      </w:pPr>
    </w:p>
    <w:p w14:paraId="7482FBE2" w14:textId="77777777" w:rsidR="00B93ED5" w:rsidRDefault="00B93ED5" w:rsidP="00B93ED5">
      <w:pPr>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A second, related, question is to what extent harmony emphasises the rights of the individual as opposed to the collective. If the individual is prioritised then democratic processes and individual rights will be emphasised, and at the extreme, we may encounter anarchist theory. If the collective is emphasised, then the inclination will be towards social democracy, or socialism, or forms of authoritarian government which emphasise collectivism whether socialist or not. </w:t>
      </w:r>
      <w:r>
        <w:rPr>
          <w:rFonts w:ascii="Arial" w:hAnsi="Arial" w:cs="Arial"/>
          <w:kern w:val="0"/>
          <w14:ligatures w14:val="none"/>
        </w:rPr>
        <w:t>One important issue in contemporary China arises from the critique of the government’s concept of ‘Harmonisation’ as authoritarian.</w:t>
      </w:r>
      <w:r>
        <w:rPr>
          <w:rFonts w:ascii="Arial" w:hAnsi="Arial" w:cs="Arial"/>
          <w:kern w:val="0"/>
          <w:vertAlign w:val="superscript"/>
          <w14:ligatures w14:val="none"/>
        </w:rPr>
        <w:footnoteReference w:id="1"/>
      </w:r>
    </w:p>
    <w:p w14:paraId="6005F3D4"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lastRenderedPageBreak/>
        <w:t>Any of these positions can be argued. For example, does Confucian social theory emphasise the requirement of individuals to observe collective norms, or does it view the collective as made up of individuals who then require respect?</w:t>
      </w:r>
    </w:p>
    <w:p w14:paraId="5F67E70D"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p>
    <w:p w14:paraId="3017D22A"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In the western version of Harmony, Platonic political theory as outlined in his texts, </w:t>
      </w:r>
      <w:r>
        <w:rPr>
          <w:rFonts w:ascii="Arial" w:eastAsia="Times New Roman" w:hAnsi="Arial" w:cs="Arial"/>
          <w:i/>
          <w:iCs/>
          <w:color w:val="222222"/>
          <w:kern w:val="0"/>
          <w:lang w:eastAsia="en-GB"/>
          <w14:ligatures w14:val="none"/>
        </w:rPr>
        <w:t>Republic</w:t>
      </w:r>
      <w:r>
        <w:rPr>
          <w:rFonts w:ascii="Arial" w:eastAsia="Times New Roman" w:hAnsi="Arial" w:cs="Arial"/>
          <w:color w:val="222222"/>
          <w:kern w:val="0"/>
          <w:lang w:eastAsia="en-GB"/>
          <w14:ligatures w14:val="none"/>
        </w:rPr>
        <w:t xml:space="preserve">, </w:t>
      </w:r>
      <w:r>
        <w:rPr>
          <w:rFonts w:ascii="Arial" w:eastAsia="Times New Roman" w:hAnsi="Arial" w:cs="Arial"/>
          <w:i/>
          <w:iCs/>
          <w:color w:val="222222"/>
          <w:kern w:val="0"/>
          <w:lang w:eastAsia="en-GB"/>
          <w14:ligatures w14:val="none"/>
        </w:rPr>
        <w:t>Statesman</w:t>
      </w:r>
      <w:r>
        <w:rPr>
          <w:rFonts w:ascii="Arial" w:eastAsia="Times New Roman" w:hAnsi="Arial" w:cs="Arial"/>
          <w:color w:val="222222"/>
          <w:kern w:val="0"/>
          <w:lang w:eastAsia="en-GB"/>
          <w14:ligatures w14:val="none"/>
        </w:rPr>
        <w:t xml:space="preserve"> and</w:t>
      </w:r>
      <w:r>
        <w:rPr>
          <w:rFonts w:ascii="Arial" w:eastAsia="Times New Roman" w:hAnsi="Arial" w:cs="Arial"/>
          <w:i/>
          <w:iCs/>
          <w:color w:val="222222"/>
          <w:kern w:val="0"/>
          <w:lang w:eastAsia="en-GB"/>
          <w14:ligatures w14:val="none"/>
        </w:rPr>
        <w:t xml:space="preserve"> Laws</w:t>
      </w:r>
      <w:r>
        <w:rPr>
          <w:rFonts w:ascii="Arial" w:eastAsia="Times New Roman" w:hAnsi="Arial" w:cs="Arial"/>
          <w:color w:val="222222"/>
          <w:kern w:val="0"/>
          <w:lang w:eastAsia="en-GB"/>
          <w14:ligatures w14:val="none"/>
        </w:rPr>
        <w:t>, is key. A dominant perspective views Platonism as essentially authoritarian. The political philosopher Karl Popper, blamed Plato’s political theory (including his desire for harmony), for the authoritarian lineage which manifested in the modern world in those forms of Marxism which comprised the ideology of Soviet communism.</w:t>
      </w:r>
      <w:r>
        <w:rPr>
          <w:rStyle w:val="FootnoteReference"/>
          <w:rFonts w:ascii="Arial" w:eastAsia="Times New Roman" w:hAnsi="Arial" w:cs="Arial"/>
          <w:color w:val="222222"/>
          <w:kern w:val="0"/>
          <w:lang w:eastAsia="en-GB"/>
          <w14:ligatures w14:val="none"/>
        </w:rPr>
        <w:footnoteReference w:id="2"/>
      </w:r>
    </w:p>
    <w:p w14:paraId="1CE65313"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p>
    <w:p w14:paraId="4B0DD41F"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It is true that Plato was suspicious of democracy and preferred the rule of a philosophically educated elite. However, a counter view can be put based on the importance Plato gave to the individual soul in which every person contains an incarnated soul which potentially allows them individual responsibility and autonomy.</w:t>
      </w:r>
      <w:r>
        <w:rPr>
          <w:rStyle w:val="FootnoteReference"/>
          <w:rFonts w:ascii="Arial" w:eastAsia="Times New Roman" w:hAnsi="Arial" w:cs="Arial"/>
          <w:color w:val="222222"/>
          <w:kern w:val="0"/>
          <w:lang w:eastAsia="en-GB"/>
          <w14:ligatures w14:val="none"/>
        </w:rPr>
        <w:footnoteReference w:id="3"/>
      </w:r>
      <w:r>
        <w:rPr>
          <w:rFonts w:ascii="Arial" w:eastAsia="Times New Roman" w:hAnsi="Arial" w:cs="Arial"/>
          <w:color w:val="222222"/>
          <w:kern w:val="0"/>
          <w:lang w:eastAsia="en-GB"/>
          <w14:ligatures w14:val="none"/>
        </w:rPr>
        <w:t xml:space="preserve"> Plato’s proviso was that people should be educated as philosophers, and develop the virtues of reason (which does not just mean, being rational in a modern reductive sense, but means drawing close to the divine consciousness, which is the origin of the universe), and overcoming ones emotional and physical instincts, or at least preventing them from controlling one’s life. This later idea is a feature of most religious traditions platonic political philosophy can therefore be taken as justification for democracy as much as for authoritarian rule. And for a functioning democracy to work, it requires an educational system which educates the whole person. This was the explicit goal of Rudolf Steiner (1861-1925). Steiner’s educational theories have been influential in all those teaching and learning theories which emphasise the importance of listening to pupils and </w:t>
      </w:r>
      <w:proofErr w:type="gramStart"/>
      <w:r>
        <w:rPr>
          <w:rFonts w:ascii="Arial" w:eastAsia="Times New Roman" w:hAnsi="Arial" w:cs="Arial"/>
          <w:color w:val="222222"/>
          <w:kern w:val="0"/>
          <w:lang w:eastAsia="en-GB"/>
          <w14:ligatures w14:val="none"/>
        </w:rPr>
        <w:t>students, and</w:t>
      </w:r>
      <w:proofErr w:type="gramEnd"/>
      <w:r>
        <w:rPr>
          <w:rFonts w:ascii="Arial" w:eastAsia="Times New Roman" w:hAnsi="Arial" w:cs="Arial"/>
          <w:color w:val="222222"/>
          <w:kern w:val="0"/>
          <w:lang w:eastAsia="en-GB"/>
          <w14:ligatures w14:val="none"/>
        </w:rPr>
        <w:t xml:space="preserve"> encouraging them to express themselves.</w:t>
      </w:r>
    </w:p>
    <w:p w14:paraId="6C8F8964" w14:textId="77777777" w:rsidR="00B93ED5" w:rsidRDefault="00B93ED5" w:rsidP="00B93ED5">
      <w:pPr>
        <w:spacing w:after="0" w:line="240" w:lineRule="auto"/>
        <w:rPr>
          <w:rFonts w:ascii="Arial" w:eastAsia="Times New Roman" w:hAnsi="Arial" w:cs="Arial"/>
          <w:color w:val="222222"/>
          <w:kern w:val="0"/>
          <w:shd w:val="clear" w:color="auto" w:fill="FFFFFF"/>
          <w:lang w:eastAsia="en-GB"/>
          <w14:ligatures w14:val="none"/>
        </w:rPr>
      </w:pPr>
    </w:p>
    <w:p w14:paraId="5996C341" w14:textId="77777777" w:rsidR="00B93ED5" w:rsidRDefault="00B93ED5" w:rsidP="00B93ED5">
      <w:pPr>
        <w:spacing w:after="0" w:line="240" w:lineRule="auto"/>
        <w:rPr>
          <w:rFonts w:ascii="Arial" w:eastAsia="Times New Roman" w:hAnsi="Arial" w:cs="Arial"/>
          <w:kern w:val="0"/>
          <w:lang w:eastAsia="en-GB"/>
          <w14:ligatures w14:val="none"/>
        </w:rPr>
      </w:pPr>
      <w:r>
        <w:rPr>
          <w:rFonts w:ascii="Arial" w:eastAsia="Times New Roman" w:hAnsi="Arial" w:cs="Arial"/>
          <w:color w:val="222222"/>
          <w:kern w:val="0"/>
          <w:shd w:val="clear" w:color="auto" w:fill="FFFFFF"/>
          <w:lang w:eastAsia="en-GB"/>
          <w14:ligatures w14:val="none"/>
        </w:rPr>
        <w:t xml:space="preserve">It is possible to find elements of Harmony’s emphasis on balance and interconnection in most political theory. For example, neoliberal economics, articulated in the work of Adam Smith (1723-1790), assumes that if markets are unregulated, that is, if the political system does not interfere in financial activity, then all systems of trade and production will find their natural, balanced, level, with positive consequences for the whole of society. Recent disruptions in financial </w:t>
      </w:r>
      <w:proofErr w:type="spellStart"/>
      <w:r>
        <w:rPr>
          <w:rFonts w:ascii="Arial" w:eastAsia="Times New Roman" w:hAnsi="Arial" w:cs="Arial"/>
          <w:color w:val="222222"/>
          <w:kern w:val="0"/>
          <w:shd w:val="clear" w:color="auto" w:fill="FFFFFF"/>
          <w:lang w:eastAsia="en-GB"/>
          <w14:ligatures w14:val="none"/>
        </w:rPr>
        <w:t>makets</w:t>
      </w:r>
      <w:proofErr w:type="spellEnd"/>
      <w:r>
        <w:rPr>
          <w:rFonts w:ascii="Arial" w:eastAsia="Times New Roman" w:hAnsi="Arial" w:cs="Arial"/>
          <w:color w:val="222222"/>
          <w:kern w:val="0"/>
          <w:shd w:val="clear" w:color="auto" w:fill="FFFFFF"/>
          <w:lang w:eastAsia="en-GB"/>
          <w14:ligatures w14:val="none"/>
        </w:rPr>
        <w:t>, not least those of the Banking Crisis of 2008/9 suggest that this may not always be so.</w:t>
      </w:r>
    </w:p>
    <w:p w14:paraId="07CD6D42"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p>
    <w:p w14:paraId="6EE52BE1"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In practice, most political systems </w:t>
      </w:r>
      <w:proofErr w:type="gramStart"/>
      <w:r>
        <w:rPr>
          <w:rFonts w:ascii="Arial" w:eastAsia="Times New Roman" w:hAnsi="Arial" w:cs="Arial"/>
          <w:color w:val="222222"/>
          <w:kern w:val="0"/>
          <w:lang w:eastAsia="en-GB"/>
          <w14:ligatures w14:val="none"/>
        </w:rPr>
        <w:t>have to</w:t>
      </w:r>
      <w:proofErr w:type="gramEnd"/>
      <w:r>
        <w:rPr>
          <w:rFonts w:ascii="Arial" w:eastAsia="Times New Roman" w:hAnsi="Arial" w:cs="Arial"/>
          <w:color w:val="222222"/>
          <w:kern w:val="0"/>
          <w:lang w:eastAsia="en-GB"/>
          <w14:ligatures w14:val="none"/>
        </w:rPr>
        <w:t xml:space="preserve"> find a balance between the </w:t>
      </w:r>
      <w:proofErr w:type="spellStart"/>
      <w:r>
        <w:rPr>
          <w:rFonts w:ascii="Arial" w:eastAsia="Times New Roman" w:hAnsi="Arial" w:cs="Arial"/>
          <w:color w:val="222222"/>
          <w:kern w:val="0"/>
          <w:lang w:eastAsia="en-GB"/>
          <w14:ligatures w14:val="none"/>
        </w:rPr>
        <w:t>the</w:t>
      </w:r>
      <w:proofErr w:type="spellEnd"/>
      <w:r>
        <w:rPr>
          <w:rFonts w:ascii="Arial" w:eastAsia="Times New Roman" w:hAnsi="Arial" w:cs="Arial"/>
          <w:color w:val="222222"/>
          <w:kern w:val="0"/>
          <w:lang w:eastAsia="en-GB"/>
          <w14:ligatures w14:val="none"/>
        </w:rPr>
        <w:t xml:space="preserve"> rights of the individual and the rights of the collective. Often, this balance is couched in terms of rights and responsibilities. In legal terms, one person’s rights may be judged to have </w:t>
      </w:r>
      <w:proofErr w:type="gramStart"/>
      <w:r>
        <w:rPr>
          <w:rFonts w:ascii="Arial" w:eastAsia="Times New Roman" w:hAnsi="Arial" w:cs="Arial"/>
          <w:color w:val="222222"/>
          <w:kern w:val="0"/>
          <w:lang w:eastAsia="en-GB"/>
          <w14:ligatures w14:val="none"/>
        </w:rPr>
        <w:t>more or less priority</w:t>
      </w:r>
      <w:proofErr w:type="gramEnd"/>
      <w:r>
        <w:rPr>
          <w:rFonts w:ascii="Arial" w:eastAsia="Times New Roman" w:hAnsi="Arial" w:cs="Arial"/>
          <w:color w:val="222222"/>
          <w:kern w:val="0"/>
          <w:lang w:eastAsia="en-GB"/>
          <w14:ligatures w14:val="none"/>
        </w:rPr>
        <w:t xml:space="preserve"> than another’s.</w:t>
      </w:r>
    </w:p>
    <w:p w14:paraId="68D14BB3"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p>
    <w:p w14:paraId="405200B2"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It is therefore very difficult to say what exactly constitutes a political system that conforms to harmony as an organising force of interconnection and balance.</w:t>
      </w:r>
    </w:p>
    <w:p w14:paraId="24F1915F"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p>
    <w:p w14:paraId="6262A1C8"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However, in that harmony is equated with peace, </w:t>
      </w:r>
      <w:proofErr w:type="spellStart"/>
      <w:r>
        <w:rPr>
          <w:rFonts w:ascii="Arial" w:eastAsia="Times New Roman" w:hAnsi="Arial" w:cs="Arial"/>
          <w:color w:val="222222"/>
          <w:kern w:val="0"/>
          <w:lang w:eastAsia="en-GB"/>
          <w14:ligatures w14:val="none"/>
        </w:rPr>
        <w:t>cooporation</w:t>
      </w:r>
      <w:proofErr w:type="spellEnd"/>
      <w:r>
        <w:rPr>
          <w:rFonts w:ascii="Arial" w:eastAsia="Times New Roman" w:hAnsi="Arial" w:cs="Arial"/>
          <w:color w:val="222222"/>
          <w:kern w:val="0"/>
          <w:lang w:eastAsia="en-GB"/>
          <w14:ligatures w14:val="none"/>
        </w:rPr>
        <w:t xml:space="preserve"> and collaboration, the fundamentals of a Harmony, political system should be care, consideration, for others, kindness, to strangers, and a willingness to listen before condemning other people.</w:t>
      </w:r>
    </w:p>
    <w:p w14:paraId="7CE55F4D"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p>
    <w:p w14:paraId="06861186"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We could repeat David Cadman’s Harmony principles from Week 1:</w:t>
      </w:r>
    </w:p>
    <w:p w14:paraId="605B0198" w14:textId="77777777" w:rsidR="00B93ED5" w:rsidRDefault="00B93ED5" w:rsidP="00B93ED5">
      <w:pPr>
        <w:shd w:val="clear" w:color="auto" w:fill="FFFFFF"/>
        <w:spacing w:after="0" w:line="240" w:lineRule="auto"/>
        <w:rPr>
          <w:rFonts w:ascii="Arial" w:hAnsi="Arial" w:cs="Arial"/>
          <w:color w:val="000000" w:themeColor="text1"/>
        </w:rPr>
      </w:pPr>
    </w:p>
    <w:p w14:paraId="1E58FBBD" w14:textId="77777777" w:rsidR="00B93ED5" w:rsidRDefault="00B93ED5" w:rsidP="00B93ED5">
      <w:pPr>
        <w:spacing w:after="0" w:line="240" w:lineRule="auto"/>
        <w:ind w:left="720"/>
        <w:contextualSpacing/>
        <w:rPr>
          <w:rFonts w:ascii="Arial" w:hAnsi="Arial" w:cs="Arial"/>
        </w:rPr>
      </w:pPr>
      <w:r>
        <w:rPr>
          <w:rFonts w:ascii="Arial" w:hAnsi="Arial" w:cs="Arial"/>
        </w:rPr>
        <w:t xml:space="preserve">wholeness, </w:t>
      </w:r>
    </w:p>
    <w:p w14:paraId="56BE3B21" w14:textId="77777777" w:rsidR="00B93ED5" w:rsidRDefault="00B93ED5" w:rsidP="00B93ED5">
      <w:pPr>
        <w:spacing w:after="0" w:line="240" w:lineRule="auto"/>
        <w:ind w:left="720"/>
        <w:contextualSpacing/>
        <w:rPr>
          <w:rFonts w:ascii="Arial" w:hAnsi="Arial" w:cs="Arial"/>
        </w:rPr>
      </w:pPr>
      <w:r>
        <w:rPr>
          <w:rFonts w:ascii="Arial" w:hAnsi="Arial" w:cs="Arial"/>
        </w:rPr>
        <w:lastRenderedPageBreak/>
        <w:t xml:space="preserve">connection and interdependence, </w:t>
      </w:r>
    </w:p>
    <w:p w14:paraId="5AEF470A" w14:textId="77777777" w:rsidR="00B93ED5" w:rsidRDefault="00B93ED5" w:rsidP="00B93ED5">
      <w:pPr>
        <w:spacing w:after="0" w:line="240" w:lineRule="auto"/>
        <w:ind w:left="720"/>
        <w:contextualSpacing/>
        <w:rPr>
          <w:rFonts w:ascii="Arial" w:hAnsi="Arial" w:cs="Arial"/>
        </w:rPr>
      </w:pPr>
      <w:r>
        <w:rPr>
          <w:rFonts w:ascii="Arial" w:hAnsi="Arial" w:cs="Arial"/>
        </w:rPr>
        <w:t xml:space="preserve">diversity within wholeness, </w:t>
      </w:r>
    </w:p>
    <w:p w14:paraId="2885339C" w14:textId="77777777" w:rsidR="00B93ED5" w:rsidRDefault="00B93ED5" w:rsidP="00B93ED5">
      <w:pPr>
        <w:spacing w:after="0" w:line="240" w:lineRule="auto"/>
        <w:ind w:left="720"/>
        <w:contextualSpacing/>
        <w:rPr>
          <w:rFonts w:ascii="Arial" w:hAnsi="Arial" w:cs="Arial"/>
        </w:rPr>
      </w:pPr>
      <w:r>
        <w:rPr>
          <w:rFonts w:ascii="Arial" w:hAnsi="Arial" w:cs="Arial"/>
        </w:rPr>
        <w:t xml:space="preserve">cycles of time and season, </w:t>
      </w:r>
    </w:p>
    <w:p w14:paraId="1919AD82" w14:textId="77777777" w:rsidR="00B93ED5" w:rsidRDefault="00B93ED5" w:rsidP="00B93ED5">
      <w:pPr>
        <w:spacing w:after="0" w:line="240" w:lineRule="auto"/>
        <w:ind w:left="720"/>
        <w:contextualSpacing/>
        <w:rPr>
          <w:rFonts w:ascii="Arial" w:hAnsi="Arial" w:cs="Arial"/>
        </w:rPr>
      </w:pPr>
      <w:r>
        <w:rPr>
          <w:rFonts w:ascii="Arial" w:hAnsi="Arial" w:cs="Arial"/>
        </w:rPr>
        <w:t xml:space="preserve">patterns and rhythms, </w:t>
      </w:r>
    </w:p>
    <w:p w14:paraId="092212CC" w14:textId="77777777" w:rsidR="00B93ED5" w:rsidRDefault="00B93ED5" w:rsidP="00B93ED5">
      <w:pPr>
        <w:spacing w:after="0" w:line="240" w:lineRule="auto"/>
        <w:ind w:left="720"/>
        <w:contextualSpacing/>
        <w:rPr>
          <w:rFonts w:ascii="Arial" w:hAnsi="Arial" w:cs="Arial"/>
        </w:rPr>
      </w:pPr>
      <w:r>
        <w:rPr>
          <w:rFonts w:ascii="Arial" w:hAnsi="Arial" w:cs="Arial"/>
        </w:rPr>
        <w:t xml:space="preserve">reciprocity and mutuality </w:t>
      </w:r>
    </w:p>
    <w:p w14:paraId="7B37C2EB" w14:textId="77777777" w:rsidR="00B93ED5" w:rsidRDefault="00B93ED5" w:rsidP="00B93ED5">
      <w:pPr>
        <w:spacing w:after="0" w:line="240" w:lineRule="auto"/>
        <w:ind w:left="720"/>
        <w:contextualSpacing/>
        <w:rPr>
          <w:rFonts w:ascii="Arial" w:hAnsi="Arial" w:cs="Arial"/>
          <w:color w:val="000000" w:themeColor="text1"/>
        </w:rPr>
      </w:pPr>
      <w:r>
        <w:rPr>
          <w:rFonts w:ascii="Arial" w:hAnsi="Arial" w:cs="Arial"/>
        </w:rPr>
        <w:t>justice and lawfulness.</w:t>
      </w:r>
      <w:r>
        <w:rPr>
          <w:rStyle w:val="FootnoteReference"/>
          <w:rFonts w:ascii="Arial" w:hAnsi="Arial" w:cs="Arial"/>
        </w:rPr>
        <w:footnoteReference w:id="4"/>
      </w:r>
    </w:p>
    <w:p w14:paraId="253DB506"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p>
    <w:p w14:paraId="4B566033" w14:textId="77777777" w:rsidR="00B93ED5" w:rsidRDefault="00B93ED5" w:rsidP="00B93ED5">
      <w:pPr>
        <w:shd w:val="clear" w:color="auto" w:fill="FFFFFF"/>
        <w:spacing w:after="0" w:line="240" w:lineRule="auto"/>
        <w:rPr>
          <w:rFonts w:ascii="Arial" w:hAnsi="Arial" w:cs="Arial"/>
          <w:kern w:val="0"/>
          <w14:ligatures w14:val="none"/>
        </w:rPr>
      </w:pPr>
      <w:r>
        <w:rPr>
          <w:rFonts w:ascii="Arial" w:eastAsia="Times New Roman" w:hAnsi="Arial" w:cs="Arial"/>
          <w:color w:val="222222"/>
          <w:kern w:val="0"/>
          <w:lang w:eastAsia="en-GB"/>
          <w14:ligatures w14:val="none"/>
        </w:rPr>
        <w:t>We may then point to individual political forms or theories, which are more compatible with these principles, for example, Citizens’ Assemblies promoted as a way for difficult and polarised political debates to be resolved through consensus.</w:t>
      </w:r>
      <w:r>
        <w:rPr>
          <w:rStyle w:val="FootnoteReference"/>
          <w:rFonts w:ascii="Arial" w:eastAsia="Times New Roman" w:hAnsi="Arial" w:cs="Arial"/>
          <w:color w:val="222222"/>
          <w:kern w:val="0"/>
          <w:lang w:eastAsia="en-GB"/>
          <w14:ligatures w14:val="none"/>
        </w:rPr>
        <w:footnoteReference w:id="5"/>
      </w:r>
      <w:r>
        <w:rPr>
          <w:rFonts w:ascii="Arial" w:eastAsia="Times New Roman" w:hAnsi="Arial" w:cs="Arial"/>
          <w:color w:val="222222"/>
          <w:kern w:val="0"/>
          <w:lang w:eastAsia="en-GB"/>
          <w14:ligatures w14:val="none"/>
        </w:rPr>
        <w:t xml:space="preserve"> The radical middle, or radical centrism has been advocated as a means of promoting social fairness, justice and reform, without occupying political extremes, and instead attempting to draw people together.</w:t>
      </w:r>
      <w:r>
        <w:rPr>
          <w:rStyle w:val="FootnoteReference"/>
          <w:rFonts w:ascii="Arial" w:eastAsia="Times New Roman" w:hAnsi="Arial" w:cs="Arial"/>
          <w:color w:val="222222"/>
          <w:kern w:val="0"/>
          <w:lang w:eastAsia="en-GB"/>
          <w14:ligatures w14:val="none"/>
        </w:rPr>
        <w:footnoteReference w:id="6"/>
      </w:r>
      <w:r>
        <w:rPr>
          <w:rFonts w:ascii="Arial" w:eastAsia="Times New Roman" w:hAnsi="Arial" w:cs="Arial"/>
          <w:color w:val="222222"/>
          <w:kern w:val="0"/>
          <w:lang w:eastAsia="en-GB"/>
          <w14:ligatures w14:val="none"/>
        </w:rPr>
        <w:t xml:space="preserve"> Generally radical centrism rejects ideological positions and favours pragmatic solutions. The Radical Middle Newsletter carries the aphorism ‘Idealism without Illusions’. A search shows some online texts which connect the Radical Middle and harmony, including one by Ali Gomaa, the Grand Mufti of Egypt.</w:t>
      </w:r>
      <w:r>
        <w:rPr>
          <w:rStyle w:val="FootnoteReference"/>
          <w:rFonts w:ascii="Arial" w:eastAsia="Times New Roman" w:hAnsi="Arial" w:cs="Arial"/>
          <w:color w:val="222222"/>
          <w:kern w:val="0"/>
          <w:lang w:eastAsia="en-GB"/>
          <w14:ligatures w14:val="none"/>
        </w:rPr>
        <w:footnoteReference w:id="7"/>
      </w:r>
      <w:r>
        <w:rPr>
          <w:rFonts w:ascii="Arial" w:eastAsia="Times New Roman" w:hAnsi="Arial" w:cs="Arial"/>
          <w:color w:val="222222"/>
          <w:kern w:val="0"/>
          <w:lang w:eastAsia="en-GB"/>
          <w14:ligatures w14:val="none"/>
        </w:rPr>
        <w:t xml:space="preserve"> A good summary by </w:t>
      </w:r>
      <w:r>
        <w:rPr>
          <w:rFonts w:ascii="Arial" w:hAnsi="Arial" w:cs="Arial"/>
          <w:kern w:val="0"/>
          <w14:ligatures w14:val="none"/>
        </w:rPr>
        <w:t>Stephanie LeMenager and Marsha Weisiger summarises the origins of the Radical Middle with practical examples, but discusses whether it is over.</w:t>
      </w:r>
      <w:r>
        <w:rPr>
          <w:rStyle w:val="FootnoteReference"/>
          <w:rFonts w:ascii="Arial" w:hAnsi="Arial" w:cs="Arial"/>
          <w:kern w:val="0"/>
          <w14:ligatures w14:val="none"/>
        </w:rPr>
        <w:footnoteReference w:id="8"/>
      </w:r>
    </w:p>
    <w:p w14:paraId="4BB56722" w14:textId="77777777" w:rsidR="00B93ED5" w:rsidRDefault="00B93ED5" w:rsidP="00B93ED5">
      <w:pPr>
        <w:shd w:val="clear" w:color="auto" w:fill="FFFFFF"/>
        <w:spacing w:after="0" w:line="240" w:lineRule="auto"/>
        <w:rPr>
          <w:rFonts w:ascii="Arial" w:hAnsi="Arial" w:cs="Arial"/>
          <w:kern w:val="0"/>
          <w14:ligatures w14:val="none"/>
        </w:rPr>
      </w:pPr>
    </w:p>
    <w:p w14:paraId="09425EB1"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hAnsi="Arial" w:cs="Arial"/>
          <w:kern w:val="0"/>
          <w14:ligatures w14:val="none"/>
        </w:rPr>
        <w:t>Other recent interlinked political theories include the Just Transition and Social Justice.</w:t>
      </w:r>
      <w:r>
        <w:rPr>
          <w:rStyle w:val="FootnoteReference"/>
          <w:rFonts w:ascii="Arial" w:hAnsi="Arial" w:cs="Arial"/>
          <w:kern w:val="0"/>
          <w14:ligatures w14:val="none"/>
        </w:rPr>
        <w:footnoteReference w:id="9"/>
      </w:r>
      <w:r>
        <w:rPr>
          <w:rFonts w:ascii="Arial" w:hAnsi="Arial" w:cs="Arial"/>
          <w:kern w:val="0"/>
          <w14:ligatures w14:val="none"/>
        </w:rPr>
        <w:t xml:space="preserve"> Just Transition requires that policies for promoting sustainability and net zero require that the interests of affected populations (such as farmers) be included and respected. </w:t>
      </w:r>
      <w:r>
        <w:rPr>
          <w:rFonts w:ascii="Arial" w:eastAsia="Times New Roman" w:hAnsi="Arial" w:cs="Arial"/>
          <w:color w:val="222222"/>
          <w:kern w:val="0"/>
          <w:lang w:eastAsia="en-GB"/>
          <w14:ligatures w14:val="none"/>
        </w:rPr>
        <w:t xml:space="preserve">Just </w:t>
      </w:r>
      <w:r>
        <w:rPr>
          <w:rFonts w:ascii="Arial" w:eastAsia="Times New Roman" w:hAnsi="Arial" w:cs="Arial"/>
          <w:color w:val="222222"/>
          <w:kern w:val="0"/>
          <w:lang w:eastAsia="en-GB"/>
          <w14:ligatures w14:val="none"/>
        </w:rPr>
        <w:lastRenderedPageBreak/>
        <w:t>Transition is proposed as a necessary solution to the political tensions arising from any tendency of climate or environmental action to overlook the welfare of communities.</w:t>
      </w:r>
      <w:r>
        <w:rPr>
          <w:rStyle w:val="FootnoteReference"/>
          <w:rFonts w:ascii="Arial" w:eastAsia="Times New Roman" w:hAnsi="Arial" w:cs="Arial"/>
          <w:color w:val="222222"/>
          <w:kern w:val="0"/>
          <w:lang w:eastAsia="en-GB"/>
          <w14:ligatures w14:val="none"/>
        </w:rPr>
        <w:footnoteReference w:id="10"/>
      </w:r>
    </w:p>
    <w:p w14:paraId="52376FE3" w14:textId="77777777" w:rsidR="00B93ED5" w:rsidRDefault="00B93ED5" w:rsidP="00B93ED5">
      <w:pPr>
        <w:shd w:val="clear" w:color="auto" w:fill="FFFFFF"/>
        <w:spacing w:after="0" w:line="240" w:lineRule="auto"/>
        <w:rPr>
          <w:rFonts w:ascii="Arial" w:hAnsi="Arial" w:cs="Arial"/>
          <w:kern w:val="0"/>
          <w14:ligatures w14:val="none"/>
        </w:rPr>
      </w:pPr>
    </w:p>
    <w:p w14:paraId="33CC2B29"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hAnsi="Arial" w:cs="Arial"/>
          <w:kern w:val="0"/>
          <w14:ligatures w14:val="none"/>
        </w:rPr>
        <w:t xml:space="preserve">If we consult standard definitions of Social </w:t>
      </w:r>
      <w:proofErr w:type="gramStart"/>
      <w:r>
        <w:rPr>
          <w:rFonts w:ascii="Arial" w:hAnsi="Arial" w:cs="Arial"/>
          <w:kern w:val="0"/>
          <w14:ligatures w14:val="none"/>
        </w:rPr>
        <w:t>Justice</w:t>
      </w:r>
      <w:proofErr w:type="gramEnd"/>
      <w:r>
        <w:rPr>
          <w:rFonts w:ascii="Arial" w:hAnsi="Arial" w:cs="Arial"/>
          <w:kern w:val="0"/>
          <w14:ligatures w14:val="none"/>
        </w:rPr>
        <w:t xml:space="preserve"> then the following is typical:</w:t>
      </w:r>
    </w:p>
    <w:p w14:paraId="3AA0999D" w14:textId="77777777" w:rsidR="00B93ED5" w:rsidRDefault="00B93ED5" w:rsidP="00B93ED5">
      <w:pPr>
        <w:shd w:val="clear" w:color="auto" w:fill="FFFFFF"/>
        <w:spacing w:after="0" w:line="240" w:lineRule="auto"/>
        <w:ind w:left="720"/>
        <w:rPr>
          <w:rStyle w:val="Strong"/>
          <w:color w:val="1A1A1A"/>
          <w:shd w:val="clear" w:color="auto" w:fill="FFFFFF"/>
        </w:rPr>
      </w:pPr>
    </w:p>
    <w:p w14:paraId="3E31EE15" w14:textId="77777777" w:rsidR="00B93ED5" w:rsidRDefault="00B93ED5" w:rsidP="00B93ED5">
      <w:pPr>
        <w:shd w:val="clear" w:color="auto" w:fill="FFFFFF"/>
        <w:spacing w:after="0" w:line="240" w:lineRule="auto"/>
        <w:ind w:left="720"/>
      </w:pPr>
      <w:r>
        <w:rPr>
          <w:rStyle w:val="Strong"/>
          <w:rFonts w:ascii="Arial" w:hAnsi="Arial" w:cs="Arial"/>
          <w:color w:val="1A1A1A"/>
          <w:shd w:val="clear" w:color="auto" w:fill="FFFFFF"/>
        </w:rPr>
        <w:t>Social justice</w:t>
      </w:r>
      <w:r>
        <w:rPr>
          <w:rFonts w:ascii="Arial" w:hAnsi="Arial" w:cs="Arial"/>
          <w:color w:val="1A1A1A"/>
          <w:shd w:val="clear" w:color="auto" w:fill="FFFFFF"/>
        </w:rPr>
        <w:t>, in contemporary politics, social science, and political philosophy, the fair treatment and equitable status of all individuals and social groups within a state or society. The term also is used to refer to social, political, and economic institutions, laws, or policies that collectively afford such fairness and equity and is commonly applied to movements that seek fairness, equity, inclusion, self-determination, or other goals for currently or historically oppressed, exploited, or marginalized populations.</w:t>
      </w:r>
      <w:r>
        <w:rPr>
          <w:rStyle w:val="FootnoteReference"/>
          <w:rFonts w:ascii="Arial" w:hAnsi="Arial" w:cs="Arial"/>
          <w:color w:val="1A1A1A"/>
          <w:shd w:val="clear" w:color="auto" w:fill="FFFFFF"/>
        </w:rPr>
        <w:footnoteReference w:id="11"/>
      </w:r>
    </w:p>
    <w:p w14:paraId="1C877180" w14:textId="77777777" w:rsidR="00B93ED5" w:rsidRDefault="00B93ED5" w:rsidP="00B93ED5">
      <w:pPr>
        <w:shd w:val="clear" w:color="auto" w:fill="FFFFFF"/>
        <w:spacing w:after="0" w:line="240" w:lineRule="auto"/>
        <w:rPr>
          <w:rFonts w:ascii="Arial" w:hAnsi="Arial" w:cs="Arial"/>
          <w:color w:val="1A1A1A"/>
          <w:shd w:val="clear" w:color="auto" w:fill="FFFFFF"/>
        </w:rPr>
      </w:pPr>
    </w:p>
    <w:p w14:paraId="1319F51F"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As a search of social media quickly shows, though, Social Justice can become a highly divisive and polarising model, as the rights or interests of one group compete with those of another, particularly when it becomes entangled with concepts of Intersectionality, Critical Race Theory and Gender Theory. Arguments focus on who is more marginalised or oppressed, and how this can be judged, what evidence is </w:t>
      </w:r>
      <w:proofErr w:type="gramStart"/>
      <w:r>
        <w:rPr>
          <w:rFonts w:ascii="Arial" w:eastAsia="Times New Roman" w:hAnsi="Arial" w:cs="Arial"/>
          <w:color w:val="222222"/>
          <w:kern w:val="0"/>
          <w:lang w:eastAsia="en-GB"/>
          <w14:ligatures w14:val="none"/>
        </w:rPr>
        <w:t>used</w:t>
      </w:r>
      <w:proofErr w:type="gramEnd"/>
      <w:r>
        <w:rPr>
          <w:rFonts w:ascii="Arial" w:eastAsia="Times New Roman" w:hAnsi="Arial" w:cs="Arial"/>
          <w:color w:val="222222"/>
          <w:kern w:val="0"/>
          <w:lang w:eastAsia="en-GB"/>
          <w14:ligatures w14:val="none"/>
        </w:rPr>
        <w:t xml:space="preserve"> or criteria employed. and whether the model breaks down when ultimately it prioritises the individual over the collective and results in conflict rather than reconciliation. The question then becomes how can the positive aspiration of social justice be maintained?</w:t>
      </w:r>
    </w:p>
    <w:p w14:paraId="65DD73E3"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p>
    <w:p w14:paraId="7BB3AC32"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A rejection of ideology in favour of pragmatism and evidence-based solutions still requires that a judgment </w:t>
      </w:r>
      <w:proofErr w:type="gramStart"/>
      <w:r>
        <w:rPr>
          <w:rFonts w:ascii="Arial" w:eastAsia="Times New Roman" w:hAnsi="Arial" w:cs="Arial"/>
          <w:color w:val="222222"/>
          <w:kern w:val="0"/>
          <w:lang w:eastAsia="en-GB"/>
          <w14:ligatures w14:val="none"/>
        </w:rPr>
        <w:t>has to</w:t>
      </w:r>
      <w:proofErr w:type="gramEnd"/>
      <w:r>
        <w:rPr>
          <w:rFonts w:ascii="Arial" w:eastAsia="Times New Roman" w:hAnsi="Arial" w:cs="Arial"/>
          <w:color w:val="222222"/>
          <w:kern w:val="0"/>
          <w:lang w:eastAsia="en-GB"/>
          <w14:ligatures w14:val="none"/>
        </w:rPr>
        <w:t xml:space="preserve"> be made in terms of how many interconnected phenomena are taken into account before a political choice is made. </w:t>
      </w:r>
    </w:p>
    <w:p w14:paraId="36E1E71C"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p>
    <w:p w14:paraId="136BFB36"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A further important distinction concerns the varying emphases that are placed on either collective and external action or individual and internal development. The former emphasises social reform and often socialism. The latter focuses on personal growth and self-awareness as expressed through many spiritual, </w:t>
      </w:r>
      <w:proofErr w:type="gramStart"/>
      <w:r>
        <w:rPr>
          <w:rFonts w:ascii="Arial" w:eastAsia="Times New Roman" w:hAnsi="Arial" w:cs="Arial"/>
          <w:color w:val="222222"/>
          <w:kern w:val="0"/>
          <w:lang w:eastAsia="en-GB"/>
          <w14:ligatures w14:val="none"/>
        </w:rPr>
        <w:t>religious</w:t>
      </w:r>
      <w:proofErr w:type="gramEnd"/>
      <w:r>
        <w:rPr>
          <w:rFonts w:ascii="Arial" w:eastAsia="Times New Roman" w:hAnsi="Arial" w:cs="Arial"/>
          <w:color w:val="222222"/>
          <w:kern w:val="0"/>
          <w:lang w:eastAsia="en-GB"/>
          <w14:ligatures w14:val="none"/>
        </w:rPr>
        <w:t xml:space="preserve"> and psychotherapeutic movements. The argument for a prioritising economic and political change is that the internal life is off less importance, while the argument for promoting inner and personal reform and self-awareness is that any economic and politic al revolution will fail if people remain the same.</w:t>
      </w:r>
    </w:p>
    <w:p w14:paraId="3090F885"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 </w:t>
      </w:r>
    </w:p>
    <w:p w14:paraId="449ADF1B"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p>
    <w:p w14:paraId="046DF205"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A key question this week is to what extent Harmony can provide a philosophical rational for Green political theory which is deeply based in classical Greek and Chinese theory of nature, politics and the cosmos which were articulated over two thousand years ago and have a continuous lineage down to the present.</w:t>
      </w:r>
    </w:p>
    <w:p w14:paraId="08EA49D1"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p>
    <w:p w14:paraId="1F1E798C" w14:textId="77777777" w:rsidR="00B93ED5" w:rsidRDefault="00B93ED5" w:rsidP="00B93ED5">
      <w:pPr>
        <w:shd w:val="clear" w:color="auto" w:fill="FFFFFF"/>
        <w:spacing w:line="240" w:lineRule="auto"/>
        <w:contextualSpacing/>
        <w:rPr>
          <w:rFonts w:ascii="Arial" w:eastAsia="Times New Roman" w:hAnsi="Arial" w:cs="Arial"/>
          <w:b/>
          <w:bCs/>
          <w:lang w:eastAsia="en-GB"/>
        </w:rPr>
      </w:pPr>
    </w:p>
    <w:p w14:paraId="6F29A030" w14:textId="77777777" w:rsidR="00B93ED5" w:rsidRDefault="00B93ED5" w:rsidP="00B93ED5">
      <w:pPr>
        <w:shd w:val="clear" w:color="auto" w:fill="FFFFFF"/>
        <w:spacing w:line="240" w:lineRule="auto"/>
        <w:contextualSpacing/>
        <w:rPr>
          <w:rFonts w:ascii="Arial" w:eastAsia="Times New Roman" w:hAnsi="Arial" w:cs="Arial"/>
          <w:b/>
          <w:bCs/>
          <w:lang w:eastAsia="en-GB"/>
        </w:rPr>
      </w:pPr>
      <w:r>
        <w:rPr>
          <w:rFonts w:ascii="Arial" w:eastAsia="Times New Roman" w:hAnsi="Arial" w:cs="Arial"/>
          <w:b/>
          <w:bCs/>
          <w:lang w:eastAsia="en-GB"/>
        </w:rPr>
        <w:t>READING</w:t>
      </w:r>
    </w:p>
    <w:p w14:paraId="2AF33159" w14:textId="77777777" w:rsidR="00B93ED5" w:rsidRDefault="00B93ED5" w:rsidP="00B93ED5">
      <w:pPr>
        <w:shd w:val="clear" w:color="auto" w:fill="FFFFFF"/>
        <w:spacing w:line="240" w:lineRule="auto"/>
        <w:contextualSpacing/>
        <w:rPr>
          <w:rFonts w:ascii="Arial" w:eastAsia="Times New Roman" w:hAnsi="Arial" w:cs="Arial"/>
          <w:b/>
          <w:bCs/>
          <w:lang w:eastAsia="en-GB"/>
        </w:rPr>
      </w:pPr>
    </w:p>
    <w:p w14:paraId="4EB8E9FD" w14:textId="77777777" w:rsidR="00B93ED5" w:rsidRDefault="00B93ED5" w:rsidP="00B93ED5">
      <w:p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The reading for this week is potentially huge. Our list is mostly restricted to texts which explicitly reference Harmony but please feel free to search more widely looking at Green political theory more widely, or political </w:t>
      </w:r>
      <w:proofErr w:type="gramStart"/>
      <w:r>
        <w:rPr>
          <w:rFonts w:ascii="Arial" w:eastAsia="Times New Roman" w:hAnsi="Arial" w:cs="Arial"/>
          <w:color w:val="222222"/>
          <w:kern w:val="0"/>
          <w:lang w:eastAsia="en-GB"/>
          <w14:ligatures w14:val="none"/>
        </w:rPr>
        <w:t>theory as a whole, search</w:t>
      </w:r>
      <w:proofErr w:type="gramEnd"/>
      <w:r>
        <w:rPr>
          <w:rFonts w:ascii="Arial" w:eastAsia="Times New Roman" w:hAnsi="Arial" w:cs="Arial"/>
          <w:color w:val="222222"/>
          <w:kern w:val="0"/>
          <w:lang w:eastAsia="en-GB"/>
          <w14:ligatures w14:val="none"/>
        </w:rPr>
        <w:t xml:space="preserve"> the library. Searching for ‘western political thought’ produces a lot of results, for Asian political thought produces less, </w:t>
      </w:r>
      <w:r>
        <w:rPr>
          <w:rFonts w:ascii="Arial" w:eastAsia="Times New Roman" w:hAnsi="Arial" w:cs="Arial"/>
          <w:color w:val="222222"/>
          <w:kern w:val="0"/>
          <w:lang w:eastAsia="en-GB"/>
          <w14:ligatures w14:val="none"/>
        </w:rPr>
        <w:lastRenderedPageBreak/>
        <w:t>but see what you can find. Web searches can focus on any key issues highlighted in the week description.</w:t>
      </w:r>
    </w:p>
    <w:p w14:paraId="26F573C4" w14:textId="77777777" w:rsidR="00B93ED5" w:rsidRDefault="00B93ED5" w:rsidP="00B93ED5">
      <w:pPr>
        <w:spacing w:line="240" w:lineRule="auto"/>
        <w:contextualSpacing/>
        <w:rPr>
          <w:rFonts w:ascii="Arial" w:hAnsi="Arial" w:cs="Arial"/>
          <w:b/>
          <w:bCs/>
        </w:rPr>
      </w:pPr>
    </w:p>
    <w:p w14:paraId="3166EC6A" w14:textId="77777777" w:rsidR="00B93ED5" w:rsidRDefault="00B93ED5" w:rsidP="00B93ED5">
      <w:pPr>
        <w:spacing w:line="240" w:lineRule="auto"/>
        <w:contextualSpacing/>
        <w:rPr>
          <w:rFonts w:ascii="Arial" w:hAnsi="Arial" w:cs="Arial"/>
          <w:b/>
          <w:bCs/>
        </w:rPr>
      </w:pPr>
      <w:r>
        <w:rPr>
          <w:rFonts w:ascii="Arial" w:hAnsi="Arial" w:cs="Arial"/>
          <w:b/>
          <w:bCs/>
        </w:rPr>
        <w:t>FOR DISCUSSION ON THE FORUM</w:t>
      </w:r>
    </w:p>
    <w:p w14:paraId="5488598D" w14:textId="77777777" w:rsidR="00B93ED5" w:rsidRDefault="00B93ED5" w:rsidP="00B93ED5">
      <w:pPr>
        <w:spacing w:line="240" w:lineRule="auto"/>
        <w:rPr>
          <w:rFonts w:ascii="Arial" w:hAnsi="Arial" w:cs="Arial"/>
        </w:rPr>
      </w:pPr>
      <w:r>
        <w:rPr>
          <w:rFonts w:ascii="Arial" w:hAnsi="Arial" w:cs="Arial"/>
        </w:rPr>
        <w:t xml:space="preserve">Vincent, Andrew. ‘Green Political Theory’. In </w:t>
      </w:r>
      <w:r>
        <w:rPr>
          <w:rFonts w:ascii="Arial" w:hAnsi="Arial" w:cs="Arial"/>
          <w:i/>
        </w:rPr>
        <w:t>The Cambridge History of Twentieth Century Thought</w:t>
      </w:r>
      <w:r>
        <w:rPr>
          <w:rFonts w:ascii="Arial" w:hAnsi="Arial" w:cs="Arial"/>
        </w:rPr>
        <w:t xml:space="preserve">, edited by Terence Ball and Richard Bellamy, pp. 534–50. Cambridge: Cambridge University Press, 2003. </w:t>
      </w:r>
    </w:p>
    <w:p w14:paraId="0DE05529" w14:textId="77777777" w:rsidR="00B93ED5" w:rsidRDefault="00B93ED5" w:rsidP="00B93ED5">
      <w:pPr>
        <w:spacing w:line="240" w:lineRule="auto"/>
        <w:rPr>
          <w:rFonts w:ascii="Arial" w:hAnsi="Arial" w:cs="Arial"/>
          <w:b/>
          <w:bCs/>
        </w:rPr>
      </w:pPr>
      <w:r>
        <w:rPr>
          <w:rFonts w:ascii="Arial" w:hAnsi="Arial" w:cs="Arial"/>
          <w:b/>
          <w:bCs/>
        </w:rPr>
        <w:t>REQUIRED READING</w:t>
      </w:r>
    </w:p>
    <w:p w14:paraId="722FBEB0" w14:textId="77777777" w:rsidR="00B93ED5" w:rsidRDefault="00B93ED5" w:rsidP="00B93ED5">
      <w:pPr>
        <w:spacing w:line="240" w:lineRule="auto"/>
        <w:rPr>
          <w:rFonts w:ascii="Arial" w:hAnsi="Arial" w:cs="Arial"/>
        </w:rPr>
      </w:pPr>
      <w:r>
        <w:rPr>
          <w:rFonts w:ascii="Arial" w:hAnsi="Arial" w:cs="Arial"/>
        </w:rPr>
        <w:t xml:space="preserve">Barry, John, ‘Green Political Theory’. In </w:t>
      </w:r>
      <w:r>
        <w:rPr>
          <w:rFonts w:ascii="Arial" w:hAnsi="Arial" w:cs="Arial"/>
          <w:i/>
          <w:iCs/>
        </w:rPr>
        <w:t>Political Ideologies: An Introduction</w:t>
      </w:r>
      <w:r>
        <w:rPr>
          <w:rFonts w:ascii="Arial" w:hAnsi="Arial" w:cs="Arial"/>
        </w:rPr>
        <w:t>, 4</w:t>
      </w:r>
      <w:r>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edited by Vincent Geoghegan and Rick Wilford, pp. 153–178. London: Routledge, 2014.</w:t>
      </w:r>
    </w:p>
    <w:p w14:paraId="2CB35A01" w14:textId="77777777" w:rsidR="00B93ED5" w:rsidRDefault="00B93ED5" w:rsidP="00B93ED5">
      <w:pPr>
        <w:spacing w:line="240" w:lineRule="auto"/>
        <w:rPr>
          <w:rFonts w:ascii="Arial" w:hAnsi="Arial" w:cs="Arial"/>
        </w:rPr>
      </w:pPr>
      <w:r>
        <w:rPr>
          <w:rFonts w:ascii="Arial" w:hAnsi="Arial" w:cs="Arial"/>
        </w:rPr>
        <w:t xml:space="preserve">Cadman, David, </w:t>
      </w:r>
      <w:r>
        <w:rPr>
          <w:rFonts w:ascii="Arial" w:hAnsi="Arial" w:cs="Arial"/>
          <w:i/>
          <w:iCs/>
        </w:rPr>
        <w:t>The Recovery of Love: Living in Troubled Times</w:t>
      </w:r>
      <w:r>
        <w:rPr>
          <w:rFonts w:ascii="Arial" w:hAnsi="Arial" w:cs="Arial"/>
        </w:rPr>
        <w:t xml:space="preserve">, Zig </w:t>
      </w:r>
      <w:proofErr w:type="spellStart"/>
      <w:r>
        <w:rPr>
          <w:rFonts w:ascii="Arial" w:hAnsi="Arial" w:cs="Arial"/>
        </w:rPr>
        <w:t>Pubplishing</w:t>
      </w:r>
      <w:proofErr w:type="spellEnd"/>
      <w:r>
        <w:rPr>
          <w:rFonts w:ascii="Arial" w:hAnsi="Arial" w:cs="Arial"/>
        </w:rPr>
        <w:t>, 2022.</w:t>
      </w:r>
    </w:p>
    <w:p w14:paraId="779099C6" w14:textId="77777777" w:rsidR="00B93ED5" w:rsidRDefault="00B93ED5" w:rsidP="00B93ED5">
      <w:pPr>
        <w:spacing w:line="240" w:lineRule="auto"/>
        <w:rPr>
          <w:rFonts w:ascii="Arial" w:hAnsi="Arial" w:cs="Arial"/>
        </w:rPr>
      </w:pPr>
      <w:r>
        <w:rPr>
          <w:rFonts w:ascii="Arial" w:eastAsia="Times New Roman" w:hAnsi="Arial" w:cs="Arial"/>
          <w:lang w:eastAsia="en-GB"/>
        </w:rPr>
        <w:t>Campion,</w:t>
      </w:r>
      <w:r>
        <w:rPr>
          <w:rFonts w:ascii="Arial" w:hAnsi="Arial" w:cs="Arial"/>
        </w:rPr>
        <w:t xml:space="preserve"> Nicholas</w:t>
      </w:r>
      <w:r>
        <w:rPr>
          <w:rFonts w:ascii="Arial" w:eastAsia="Times New Roman" w:hAnsi="Arial" w:cs="Arial"/>
          <w:lang w:eastAsia="en-GB"/>
        </w:rPr>
        <w:t>. ‘</w:t>
      </w:r>
      <w:r>
        <w:rPr>
          <w:rFonts w:ascii="Arial" w:hAnsi="Arial" w:cs="Arial"/>
        </w:rPr>
        <w:t>Harmony, Cosmos, Ecology and Politics’, i</w:t>
      </w:r>
      <w:r>
        <w:rPr>
          <w:rFonts w:ascii="Arial" w:hAnsi="Arial" w:cs="Arial"/>
          <w:kern w:val="36"/>
          <w:lang w:eastAsia="en-GB"/>
        </w:rPr>
        <w:t xml:space="preserve">n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xml:space="preserve">, edited by Nicholas Campion (Lampeter: Sophia Centre Press, 2020), </w:t>
      </w:r>
      <w:r>
        <w:rPr>
          <w:rFonts w:ascii="Arial" w:hAnsi="Arial" w:cs="Arial"/>
        </w:rPr>
        <w:t xml:space="preserve">pp. 351–78. </w:t>
      </w:r>
    </w:p>
    <w:p w14:paraId="016830BA" w14:textId="77777777" w:rsidR="00B93ED5" w:rsidRDefault="00B93ED5" w:rsidP="00B93ED5">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Chakraborty, </w:t>
      </w:r>
      <w:proofErr w:type="spellStart"/>
      <w:r>
        <w:rPr>
          <w:rFonts w:ascii="Arial" w:eastAsia="Times New Roman" w:hAnsi="Arial" w:cs="Arial"/>
          <w:lang w:eastAsia="en-GB"/>
        </w:rPr>
        <w:t>Debarun</w:t>
      </w:r>
      <w:proofErr w:type="spellEnd"/>
      <w:r>
        <w:rPr>
          <w:rFonts w:ascii="Arial" w:eastAsia="Times New Roman" w:hAnsi="Arial" w:cs="Arial"/>
          <w:lang w:eastAsia="en-GB"/>
        </w:rPr>
        <w:t xml:space="preserve"> and Biswas, </w:t>
      </w:r>
      <w:proofErr w:type="spellStart"/>
      <w:r>
        <w:rPr>
          <w:rFonts w:ascii="Arial" w:eastAsia="Times New Roman" w:hAnsi="Arial" w:cs="Arial"/>
          <w:lang w:eastAsia="en-GB"/>
        </w:rPr>
        <w:t>Wendrila</w:t>
      </w:r>
      <w:proofErr w:type="spellEnd"/>
      <w:r>
        <w:rPr>
          <w:rFonts w:ascii="Arial" w:eastAsia="Times New Roman" w:hAnsi="Arial" w:cs="Arial"/>
          <w:lang w:eastAsia="en-GB"/>
        </w:rPr>
        <w:t xml:space="preserve">, ‘Think Love, Think Peace, Think Harmony: Rethinking on Industrial </w:t>
      </w:r>
      <w:proofErr w:type="spellStart"/>
      <w:r>
        <w:rPr>
          <w:rFonts w:ascii="Arial" w:eastAsia="Times New Roman" w:hAnsi="Arial" w:cs="Arial"/>
          <w:lang w:eastAsia="en-GB"/>
        </w:rPr>
        <w:t>Tranquility</w:t>
      </w:r>
      <w:proofErr w:type="spellEnd"/>
      <w:r>
        <w:rPr>
          <w:rFonts w:ascii="Arial" w:eastAsia="Times New Roman" w:hAnsi="Arial" w:cs="Arial"/>
          <w:lang w:eastAsia="en-GB"/>
        </w:rPr>
        <w:t>’,</w:t>
      </w:r>
      <w:r>
        <w:rPr>
          <w:rFonts w:ascii="Arial" w:eastAsia="Times New Roman" w:hAnsi="Arial" w:cs="Arial"/>
          <w:i/>
          <w:iCs/>
          <w:lang w:eastAsia="en-GB"/>
        </w:rPr>
        <w:t xml:space="preserve"> Business perspectives and research</w:t>
      </w:r>
      <w:r>
        <w:rPr>
          <w:rFonts w:ascii="Arial" w:eastAsia="Times New Roman" w:hAnsi="Arial" w:cs="Arial"/>
          <w:lang w:eastAsia="en-GB"/>
        </w:rPr>
        <w:t>, 2021, Vol.9 (1), p.92-</w:t>
      </w:r>
      <w:proofErr w:type="gramStart"/>
      <w:r>
        <w:rPr>
          <w:rFonts w:ascii="Arial" w:eastAsia="Times New Roman" w:hAnsi="Arial" w:cs="Arial"/>
          <w:lang w:eastAsia="en-GB"/>
        </w:rPr>
        <w:t>110</w:t>
      </w:r>
      <w:proofErr w:type="gramEnd"/>
    </w:p>
    <w:p w14:paraId="15220359" w14:textId="77777777" w:rsidR="00B93ED5" w:rsidRDefault="00B93ED5" w:rsidP="00B93ED5">
      <w:pPr>
        <w:shd w:val="clear" w:color="auto" w:fill="FFFFFF"/>
        <w:spacing w:after="0" w:line="240" w:lineRule="auto"/>
        <w:rPr>
          <w:rFonts w:ascii="Arial" w:hAnsi="Arial" w:cs="Arial"/>
        </w:rPr>
      </w:pPr>
    </w:p>
    <w:p w14:paraId="54E73484" w14:textId="77777777" w:rsidR="00B93ED5" w:rsidRDefault="00B93ED5" w:rsidP="00B93ED5">
      <w:pPr>
        <w:spacing w:line="240" w:lineRule="auto"/>
        <w:rPr>
          <w:rFonts w:ascii="Arial" w:hAnsi="Arial" w:cs="Arial"/>
          <w:kern w:val="0"/>
          <w14:ligatures w14:val="none"/>
        </w:rPr>
      </w:pPr>
      <w:r>
        <w:rPr>
          <w:rFonts w:ascii="Arial" w:hAnsi="Arial" w:cs="Arial"/>
        </w:rPr>
        <w:t xml:space="preserve">Gill, </w:t>
      </w:r>
      <w:proofErr w:type="spellStart"/>
      <w:r>
        <w:rPr>
          <w:rFonts w:ascii="Arial" w:hAnsi="Arial" w:cs="Arial"/>
        </w:rPr>
        <w:t>Scherto</w:t>
      </w:r>
      <w:proofErr w:type="spellEnd"/>
      <w:r>
        <w:rPr>
          <w:rFonts w:ascii="Arial" w:hAnsi="Arial" w:cs="Arial"/>
        </w:rPr>
        <w:t>. ‘Peace from the Perspectives of Harmony’, i</w:t>
      </w:r>
      <w:r>
        <w:rPr>
          <w:rFonts w:ascii="Arial" w:hAnsi="Arial" w:cs="Arial"/>
          <w:kern w:val="36"/>
          <w:lang w:eastAsia="en-GB"/>
        </w:rPr>
        <w:t xml:space="preserve">n </w:t>
      </w:r>
      <w:r>
        <w:rPr>
          <w:rFonts w:ascii="Arial" w:hAnsi="Arial" w:cs="Arial"/>
          <w:i/>
          <w:kern w:val="36"/>
          <w:lang w:eastAsia="en-GB"/>
        </w:rPr>
        <w:t xml:space="preserve">The Harmony Debates: </w:t>
      </w:r>
      <w:r>
        <w:rPr>
          <w:rFonts w:ascii="Arial" w:hAnsi="Arial" w:cs="Arial"/>
          <w:i/>
          <w:kern w:val="36"/>
          <w:shd w:val="clear" w:color="auto" w:fill="FFFFFF"/>
          <w:lang w:eastAsia="en-GB"/>
        </w:rPr>
        <w:t>Exploring a practical philosophy for a sustainable future</w:t>
      </w:r>
      <w:r>
        <w:rPr>
          <w:rFonts w:ascii="Arial" w:hAnsi="Arial" w:cs="Arial"/>
          <w:kern w:val="36"/>
          <w:lang w:eastAsia="en-GB"/>
        </w:rPr>
        <w:t xml:space="preserve">, edited by Nicholas Campion, </w:t>
      </w:r>
      <w:r>
        <w:rPr>
          <w:rFonts w:ascii="Arial" w:hAnsi="Arial" w:cs="Arial"/>
        </w:rPr>
        <w:t>(</w:t>
      </w:r>
      <w:r>
        <w:rPr>
          <w:rFonts w:ascii="Arial" w:hAnsi="Arial" w:cs="Arial"/>
          <w:kern w:val="36"/>
          <w:lang w:eastAsia="en-GB"/>
        </w:rPr>
        <w:t>Lampeter: Sophia Centre Press, 2020)</w:t>
      </w:r>
      <w:r>
        <w:rPr>
          <w:rFonts w:ascii="Arial" w:hAnsi="Arial" w:cs="Arial"/>
          <w:kern w:val="0"/>
          <w14:ligatures w14:val="none"/>
        </w:rPr>
        <w:t xml:space="preserve"> pp. 289–302.</w:t>
      </w:r>
    </w:p>
    <w:p w14:paraId="44D6805C" w14:textId="77777777" w:rsidR="00B93ED5" w:rsidRDefault="00B93ED5" w:rsidP="00B93ED5">
      <w:pPr>
        <w:spacing w:line="240" w:lineRule="auto"/>
        <w:rPr>
          <w:rFonts w:ascii="Arial" w:eastAsia="Times New Roman" w:hAnsi="Arial" w:cs="Arial"/>
          <w:lang w:eastAsia="en-GB"/>
        </w:rPr>
      </w:pPr>
      <w:r>
        <w:rPr>
          <w:rFonts w:ascii="Arial" w:eastAsia="Times New Roman" w:hAnsi="Arial" w:cs="Arial"/>
          <w:lang w:eastAsia="en-GB"/>
        </w:rPr>
        <w:t xml:space="preserve">Holliday, Ian, ‘National Unity Struggles in Myanmar: A Degenerate Case of Governance for Harmony in Asia’. </w:t>
      </w:r>
      <w:r>
        <w:rPr>
          <w:rFonts w:ascii="Arial" w:eastAsia="Times New Roman" w:hAnsi="Arial" w:cs="Arial"/>
          <w:i/>
          <w:iCs/>
          <w:lang w:eastAsia="en-GB"/>
        </w:rPr>
        <w:t>Asian Survey</w:t>
      </w:r>
      <w:r>
        <w:rPr>
          <w:rFonts w:ascii="Arial" w:eastAsia="Times New Roman" w:hAnsi="Arial" w:cs="Arial"/>
          <w:lang w:eastAsia="en-GB"/>
        </w:rPr>
        <w:t xml:space="preserve"> 47, no. 3 (2007), pp. 374–92. </w:t>
      </w:r>
      <w:r>
        <w:rPr>
          <w:rFonts w:ascii="Arial" w:eastAsia="Times New Roman" w:hAnsi="Arial" w:cs="Arial"/>
          <w:i/>
          <w:iCs/>
          <w:lang w:eastAsia="en-GB"/>
        </w:rPr>
        <w:t>JSTOR</w:t>
      </w:r>
      <w:r>
        <w:rPr>
          <w:rFonts w:ascii="Arial" w:eastAsia="Times New Roman" w:hAnsi="Arial" w:cs="Arial"/>
          <w:lang w:eastAsia="en-GB"/>
        </w:rPr>
        <w:t xml:space="preserve">, </w:t>
      </w:r>
      <w:hyperlink r:id="rId7" w:history="1">
        <w:r>
          <w:rPr>
            <w:rStyle w:val="Hyperlink"/>
            <w:rFonts w:ascii="Arial" w:eastAsia="Times New Roman" w:hAnsi="Arial" w:cs="Arial"/>
            <w:lang w:eastAsia="en-GB"/>
          </w:rPr>
          <w:t>https://doi.org/10.1525/as.2007.47.3.374</w:t>
        </w:r>
      </w:hyperlink>
      <w:r>
        <w:rPr>
          <w:rFonts w:ascii="Arial" w:eastAsia="Times New Roman" w:hAnsi="Arial" w:cs="Arial"/>
          <w:lang w:eastAsia="en-GB"/>
        </w:rPr>
        <w:t xml:space="preserve"> [accessed 18 Dec. 2023].</w:t>
      </w:r>
    </w:p>
    <w:p w14:paraId="740727D4" w14:textId="77777777" w:rsidR="00B93ED5" w:rsidRDefault="00B93ED5" w:rsidP="00B93ED5">
      <w:pPr>
        <w:shd w:val="clear" w:color="auto" w:fill="FFFFFF"/>
        <w:spacing w:line="240" w:lineRule="auto"/>
        <w:textAlignment w:val="baseline"/>
        <w:rPr>
          <w:rStyle w:val="Hyperlink"/>
          <w:bdr w:val="none" w:sz="0" w:space="0" w:color="auto" w:frame="1"/>
        </w:rPr>
      </w:pPr>
      <w:r>
        <w:rPr>
          <w:rFonts w:ascii="Arial" w:eastAsia="Times New Roman" w:hAnsi="Arial" w:cs="Arial"/>
          <w:kern w:val="36"/>
          <w:lang w:eastAsia="en-GB"/>
        </w:rPr>
        <w:t>Son, Key-young. ‘Harmony, the Supremacy of Human Agency and East Asia’s Mega-Discourses for Governance</w:t>
      </w:r>
      <w:proofErr w:type="gramStart"/>
      <w:r>
        <w:rPr>
          <w:rFonts w:ascii="Arial" w:eastAsia="Times New Roman" w:hAnsi="Arial" w:cs="Arial"/>
          <w:kern w:val="36"/>
          <w:lang w:eastAsia="en-GB"/>
        </w:rPr>
        <w:t>’,  </w:t>
      </w:r>
      <w:r>
        <w:rPr>
          <w:rFonts w:ascii="Arial" w:eastAsia="Times New Roman" w:hAnsi="Arial" w:cs="Arial"/>
          <w:i/>
          <w:iCs/>
          <w:bdr w:val="none" w:sz="0" w:space="0" w:color="auto" w:frame="1"/>
          <w:lang w:eastAsia="en-GB"/>
        </w:rPr>
        <w:t>The</w:t>
      </w:r>
      <w:proofErr w:type="gramEnd"/>
      <w:r>
        <w:rPr>
          <w:rFonts w:ascii="Arial" w:eastAsia="Times New Roman" w:hAnsi="Arial" w:cs="Arial"/>
          <w:i/>
          <w:iCs/>
          <w:bdr w:val="none" w:sz="0" w:space="0" w:color="auto" w:frame="1"/>
          <w:lang w:eastAsia="en-GB"/>
        </w:rPr>
        <w:t xml:space="preserve"> Chinese Journal of International Politics </w:t>
      </w:r>
      <w:r>
        <w:rPr>
          <w:rFonts w:ascii="Arial" w:eastAsia="Times New Roman" w:hAnsi="Arial" w:cs="Arial"/>
          <w:lang w:eastAsia="en-GB"/>
        </w:rPr>
        <w:t>5, Issue 4 (Winter 2012), pp. 395–423, </w:t>
      </w:r>
      <w:hyperlink r:id="rId8" w:history="1">
        <w:r>
          <w:rPr>
            <w:rStyle w:val="Hyperlink"/>
            <w:rFonts w:ascii="Arial" w:hAnsi="Arial" w:cs="Arial"/>
            <w:bdr w:val="none" w:sz="0" w:space="0" w:color="auto" w:frame="1"/>
          </w:rPr>
          <w:t>https://doi.org/10.1093/cjip/pos015</w:t>
        </w:r>
      </w:hyperlink>
      <w:r>
        <w:rPr>
          <w:rStyle w:val="Hyperlink"/>
          <w:rFonts w:ascii="Arial" w:hAnsi="Arial" w:cs="Arial"/>
          <w:bdr w:val="none" w:sz="0" w:space="0" w:color="auto" w:frame="1"/>
        </w:rPr>
        <w:t xml:space="preserve">. </w:t>
      </w:r>
    </w:p>
    <w:p w14:paraId="518FEB1F" w14:textId="77777777" w:rsidR="00B93ED5" w:rsidRDefault="00B93ED5" w:rsidP="00B93ED5">
      <w:pPr>
        <w:shd w:val="clear" w:color="auto" w:fill="FFFFFF"/>
        <w:spacing w:line="240" w:lineRule="auto"/>
        <w:textAlignment w:val="baseline"/>
      </w:pPr>
    </w:p>
    <w:p w14:paraId="193BEEE3" w14:textId="77777777" w:rsidR="00B93ED5" w:rsidRDefault="00B93ED5" w:rsidP="00B93ED5">
      <w:pPr>
        <w:spacing w:line="240" w:lineRule="auto"/>
        <w:rPr>
          <w:rFonts w:ascii="Arial" w:eastAsia="Times New Roman" w:hAnsi="Arial" w:cs="Arial"/>
          <w:b/>
          <w:bCs/>
          <w:lang w:eastAsia="en-GB"/>
        </w:rPr>
      </w:pPr>
      <w:r>
        <w:rPr>
          <w:rFonts w:ascii="Arial" w:eastAsia="Times New Roman" w:hAnsi="Arial" w:cs="Arial"/>
          <w:b/>
          <w:bCs/>
          <w:lang w:eastAsia="en-GB"/>
        </w:rPr>
        <w:t>OPTIONAL READING</w:t>
      </w:r>
    </w:p>
    <w:p w14:paraId="2B484026" w14:textId="77777777" w:rsidR="00B93ED5" w:rsidRDefault="00B93ED5" w:rsidP="00B93ED5">
      <w:pPr>
        <w:spacing w:line="240" w:lineRule="auto"/>
        <w:rPr>
          <w:rFonts w:ascii="Arial" w:hAnsi="Arial" w:cs="Arial"/>
          <w:spacing w:val="-5"/>
          <w:shd w:val="clear" w:color="auto" w:fill="FFFFFF"/>
        </w:rPr>
      </w:pPr>
      <w:r>
        <w:rPr>
          <w:rFonts w:ascii="Arial" w:hAnsi="Arial" w:cs="Arial"/>
          <w:spacing w:val="-5"/>
          <w:shd w:val="clear" w:color="auto" w:fill="FFFFFF"/>
        </w:rPr>
        <w:t>Angle, Stephen C. ‘Human Rights and Harmony’, </w:t>
      </w:r>
      <w:r>
        <w:rPr>
          <w:rFonts w:ascii="Arial" w:hAnsi="Arial" w:cs="Arial"/>
          <w:i/>
          <w:iCs/>
          <w:spacing w:val="-5"/>
          <w:shd w:val="clear" w:color="auto" w:fill="FFFFFF"/>
        </w:rPr>
        <w:t>Human Rights Quarterly</w:t>
      </w:r>
      <w:r>
        <w:rPr>
          <w:rFonts w:ascii="Arial" w:hAnsi="Arial" w:cs="Arial"/>
          <w:spacing w:val="-5"/>
          <w:shd w:val="clear" w:color="auto" w:fill="FFFFFF"/>
        </w:rPr>
        <w:t xml:space="preserve"> 30, no. 1 (2008), pp. 76–94. </w:t>
      </w:r>
    </w:p>
    <w:p w14:paraId="0DD1C8CD" w14:textId="77777777" w:rsidR="00B93ED5" w:rsidRDefault="00B93ED5" w:rsidP="00B93ED5">
      <w:pPr>
        <w:spacing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Gries, Peter Hays, ‘Harmony, Hegemony, &amp; U.S.-China Relations’, </w:t>
      </w:r>
      <w:r>
        <w:rPr>
          <w:rFonts w:ascii="Arial" w:eastAsia="Times New Roman" w:hAnsi="Arial" w:cs="Arial"/>
          <w:i/>
          <w:iCs/>
          <w:color w:val="000000" w:themeColor="text1"/>
          <w:lang w:eastAsia="en-GB"/>
        </w:rPr>
        <w:t>World Literature Today</w:t>
      </w:r>
      <w:r>
        <w:rPr>
          <w:rFonts w:ascii="Arial" w:eastAsia="Times New Roman" w:hAnsi="Arial" w:cs="Arial"/>
          <w:color w:val="000000" w:themeColor="text1"/>
          <w:lang w:eastAsia="en-GB"/>
        </w:rPr>
        <w:t xml:space="preserve"> 81, no. 4 (2007), pp. 44–47. </w:t>
      </w:r>
      <w:r>
        <w:rPr>
          <w:rFonts w:ascii="Arial" w:eastAsia="Times New Roman" w:hAnsi="Arial" w:cs="Arial"/>
          <w:i/>
          <w:iCs/>
          <w:color w:val="000000" w:themeColor="text1"/>
          <w:lang w:eastAsia="en-GB"/>
        </w:rPr>
        <w:t>JSTOR</w:t>
      </w:r>
      <w:r>
        <w:rPr>
          <w:rFonts w:ascii="Arial" w:eastAsia="Times New Roman" w:hAnsi="Arial" w:cs="Arial"/>
          <w:color w:val="000000" w:themeColor="text1"/>
          <w:lang w:eastAsia="en-GB"/>
        </w:rPr>
        <w:t xml:space="preserve">, </w:t>
      </w:r>
      <w:hyperlink r:id="rId9" w:history="1">
        <w:r>
          <w:rPr>
            <w:rStyle w:val="Hyperlink"/>
            <w:rFonts w:ascii="Arial" w:eastAsia="Times New Roman" w:hAnsi="Arial" w:cs="Arial"/>
            <w:color w:val="000000" w:themeColor="text1"/>
            <w:lang w:eastAsia="en-GB"/>
          </w:rPr>
          <w:t>http://www.jstor.org/stable/40159469</w:t>
        </w:r>
      </w:hyperlink>
      <w:r>
        <w:rPr>
          <w:rFonts w:ascii="Arial" w:eastAsia="Times New Roman" w:hAnsi="Arial" w:cs="Arial"/>
          <w:color w:val="000000" w:themeColor="text1"/>
          <w:lang w:eastAsia="en-GB"/>
        </w:rPr>
        <w:t xml:space="preserve"> [accessed 5 Oct. 2023].</w:t>
      </w:r>
    </w:p>
    <w:p w14:paraId="44110F87" w14:textId="77777777" w:rsidR="00B93ED5" w:rsidRDefault="00B93ED5" w:rsidP="00B93ED5">
      <w:pPr>
        <w:spacing w:line="240" w:lineRule="auto"/>
        <w:rPr>
          <w:rFonts w:ascii="Arial" w:eastAsia="Times New Roman" w:hAnsi="Arial" w:cs="Arial"/>
          <w:lang w:eastAsia="en-GB"/>
        </w:rPr>
      </w:pPr>
      <w:r>
        <w:rPr>
          <w:rFonts w:ascii="Arial" w:eastAsia="Times New Roman" w:hAnsi="Arial" w:cs="Arial"/>
          <w:lang w:eastAsia="en-GB"/>
        </w:rPr>
        <w:t xml:space="preserve">Jordan, David Starr, and Amos W. Butler. ‘New Harmony’, </w:t>
      </w:r>
      <w:r>
        <w:rPr>
          <w:rFonts w:ascii="Arial" w:eastAsia="Times New Roman" w:hAnsi="Arial" w:cs="Arial"/>
          <w:i/>
          <w:iCs/>
          <w:lang w:eastAsia="en-GB"/>
        </w:rPr>
        <w:t>The Scientific Monthly</w:t>
      </w:r>
      <w:r>
        <w:rPr>
          <w:rFonts w:ascii="Arial" w:eastAsia="Times New Roman" w:hAnsi="Arial" w:cs="Arial"/>
          <w:lang w:eastAsia="en-GB"/>
        </w:rPr>
        <w:t xml:space="preserve"> 25, no. 5 (1927), pp. 468–70. </w:t>
      </w:r>
      <w:r>
        <w:rPr>
          <w:rFonts w:ascii="Arial" w:eastAsia="Times New Roman" w:hAnsi="Arial" w:cs="Arial"/>
          <w:i/>
          <w:iCs/>
          <w:lang w:eastAsia="en-GB"/>
        </w:rPr>
        <w:t>JSTOR</w:t>
      </w:r>
      <w:r>
        <w:rPr>
          <w:rFonts w:ascii="Arial" w:eastAsia="Times New Roman" w:hAnsi="Arial" w:cs="Arial"/>
          <w:lang w:eastAsia="en-GB"/>
        </w:rPr>
        <w:t xml:space="preserve">, </w:t>
      </w:r>
      <w:hyperlink r:id="rId10" w:history="1">
        <w:r>
          <w:rPr>
            <w:rStyle w:val="Hyperlink"/>
            <w:rFonts w:ascii="Arial" w:eastAsia="Times New Roman" w:hAnsi="Arial" w:cs="Arial"/>
            <w:lang w:eastAsia="en-GB"/>
          </w:rPr>
          <w:t>http://www.jstor.org/stable/7936</w:t>
        </w:r>
      </w:hyperlink>
      <w:r>
        <w:rPr>
          <w:rFonts w:ascii="Arial" w:eastAsia="Times New Roman" w:hAnsi="Arial" w:cs="Arial"/>
          <w:lang w:eastAsia="en-GB"/>
        </w:rPr>
        <w:t xml:space="preserve"> [accessed 18 Dec. 2023].</w:t>
      </w:r>
    </w:p>
    <w:p w14:paraId="5D8D8A94" w14:textId="77777777" w:rsidR="00B93ED5" w:rsidRDefault="00B93ED5" w:rsidP="00B93ED5">
      <w:pPr>
        <w:shd w:val="clear" w:color="auto" w:fill="FFFFFF"/>
        <w:spacing w:line="240" w:lineRule="auto"/>
        <w:rPr>
          <w:rFonts w:ascii="Arial" w:hAnsi="Arial" w:cs="Arial"/>
        </w:rPr>
      </w:pPr>
      <w:r>
        <w:rPr>
          <w:rFonts w:ascii="Arial" w:hAnsi="Arial" w:cs="Arial"/>
        </w:rPr>
        <w:t xml:space="preserve">Lau, Wai Kwan, Lam D. Nguyen, Loan N. T. Pham &amp; Daniel A. Cernas-Ortiz, ‘The mediating role of harmony in effective leadership in China: from a Confucianism perspective’, </w:t>
      </w:r>
      <w:r>
        <w:rPr>
          <w:rFonts w:ascii="Arial" w:hAnsi="Arial" w:cs="Arial"/>
          <w:i/>
          <w:iCs/>
        </w:rPr>
        <w:t>Asia Pacific Business Review</w:t>
      </w:r>
      <w:r>
        <w:rPr>
          <w:rFonts w:ascii="Arial" w:hAnsi="Arial" w:cs="Arial"/>
        </w:rPr>
        <w:t xml:space="preserve"> 29, no. 3 (2023), pp. 546–69.</w:t>
      </w:r>
    </w:p>
    <w:p w14:paraId="1A0A361F" w14:textId="77777777" w:rsidR="00B93ED5" w:rsidRDefault="00B93ED5" w:rsidP="00B93ED5">
      <w:pPr>
        <w:spacing w:line="240" w:lineRule="auto"/>
        <w:rPr>
          <w:rFonts w:ascii="Arial" w:eastAsia="Times New Roman" w:hAnsi="Arial" w:cs="Arial"/>
          <w:lang w:eastAsia="en-GB"/>
        </w:rPr>
      </w:pPr>
      <w:r>
        <w:rPr>
          <w:rFonts w:ascii="Arial" w:eastAsia="Times New Roman" w:hAnsi="Arial" w:cs="Arial"/>
          <w:lang w:eastAsia="en-GB"/>
        </w:rPr>
        <w:t xml:space="preserve">Menon, Nandagopal R. ‘Communal Harmony as Governmentality: Reciprocity, </w:t>
      </w:r>
      <w:proofErr w:type="gramStart"/>
      <w:r>
        <w:rPr>
          <w:rFonts w:ascii="Arial" w:eastAsia="Times New Roman" w:hAnsi="Arial" w:cs="Arial"/>
          <w:lang w:eastAsia="en-GB"/>
        </w:rPr>
        <w:t>Peace-Keeping</w:t>
      </w:r>
      <w:proofErr w:type="gramEnd"/>
      <w:r>
        <w:rPr>
          <w:rFonts w:ascii="Arial" w:eastAsia="Times New Roman" w:hAnsi="Arial" w:cs="Arial"/>
          <w:lang w:eastAsia="en-GB"/>
        </w:rPr>
        <w:t xml:space="preserve">, State Legitimacy, and Citizenship in Contemporary India’. </w:t>
      </w:r>
      <w:r>
        <w:rPr>
          <w:rFonts w:ascii="Arial" w:eastAsia="Times New Roman" w:hAnsi="Arial" w:cs="Arial"/>
          <w:i/>
          <w:iCs/>
          <w:lang w:eastAsia="en-GB"/>
        </w:rPr>
        <w:t>Modern Asian Studies</w:t>
      </w:r>
      <w:r>
        <w:rPr>
          <w:rFonts w:ascii="Arial" w:eastAsia="Times New Roman" w:hAnsi="Arial" w:cs="Arial"/>
          <w:lang w:eastAsia="en-GB"/>
        </w:rPr>
        <w:t xml:space="preserve"> 49, no. 2 (2015): pp. 393–429. </w:t>
      </w:r>
      <w:r>
        <w:rPr>
          <w:rFonts w:ascii="Arial" w:eastAsia="Times New Roman" w:hAnsi="Arial" w:cs="Arial"/>
          <w:i/>
          <w:iCs/>
          <w:lang w:eastAsia="en-GB"/>
        </w:rPr>
        <w:t>JSTOR</w:t>
      </w:r>
      <w:r>
        <w:rPr>
          <w:rFonts w:ascii="Arial" w:eastAsia="Times New Roman" w:hAnsi="Arial" w:cs="Arial"/>
          <w:lang w:eastAsia="en-GB"/>
        </w:rPr>
        <w:t xml:space="preserve">, </w:t>
      </w:r>
      <w:hyperlink r:id="rId11" w:history="1">
        <w:r>
          <w:rPr>
            <w:rStyle w:val="Hyperlink"/>
            <w:rFonts w:ascii="Arial" w:eastAsia="Times New Roman" w:hAnsi="Arial" w:cs="Arial"/>
            <w:lang w:eastAsia="en-GB"/>
          </w:rPr>
          <w:t>http://www.jstor.org/stable/24495407</w:t>
        </w:r>
      </w:hyperlink>
      <w:r>
        <w:rPr>
          <w:rFonts w:ascii="Arial" w:eastAsia="Times New Roman" w:hAnsi="Arial" w:cs="Arial"/>
          <w:lang w:eastAsia="en-GB"/>
        </w:rPr>
        <w:t xml:space="preserve"> [accessed 18 Dec. 2023].</w:t>
      </w:r>
    </w:p>
    <w:p w14:paraId="14CAFB63" w14:textId="77777777" w:rsidR="00B93ED5" w:rsidRDefault="00B93ED5" w:rsidP="00B93ED5">
      <w:pPr>
        <w:pStyle w:val="FootnoteText"/>
        <w:spacing w:after="160"/>
        <w:rPr>
          <w:rFonts w:ascii="Arial" w:hAnsi="Arial" w:cs="Arial"/>
          <w:sz w:val="22"/>
          <w:szCs w:val="22"/>
        </w:rPr>
      </w:pPr>
      <w:proofErr w:type="spellStart"/>
      <w:r>
        <w:rPr>
          <w:rFonts w:ascii="Arial" w:hAnsi="Arial" w:cs="Arial"/>
          <w:sz w:val="22"/>
          <w:szCs w:val="22"/>
        </w:rPr>
        <w:lastRenderedPageBreak/>
        <w:t>Muschert</w:t>
      </w:r>
      <w:proofErr w:type="spellEnd"/>
      <w:r>
        <w:rPr>
          <w:rFonts w:ascii="Arial" w:hAnsi="Arial" w:cs="Arial"/>
          <w:sz w:val="22"/>
          <w:szCs w:val="22"/>
        </w:rPr>
        <w:t xml:space="preserve">, Glenn W., Kristen M. Budd, Michelle Christian, and Robert Perrucci, eds., </w:t>
      </w:r>
      <w:r>
        <w:rPr>
          <w:rFonts w:ascii="Arial" w:hAnsi="Arial" w:cs="Arial"/>
          <w:i/>
          <w:iCs/>
          <w:sz w:val="22"/>
          <w:szCs w:val="22"/>
        </w:rPr>
        <w:t>Agenda for social justice: solutions for 2020</w:t>
      </w:r>
      <w:r>
        <w:rPr>
          <w:rFonts w:ascii="Arial" w:hAnsi="Arial" w:cs="Arial"/>
          <w:sz w:val="22"/>
          <w:szCs w:val="22"/>
        </w:rPr>
        <w:t xml:space="preserve"> (Bristol: Policy Press, 2020).</w:t>
      </w:r>
    </w:p>
    <w:p w14:paraId="4A1ABA50" w14:textId="77777777" w:rsidR="00B93ED5" w:rsidRDefault="00B93ED5" w:rsidP="00B93ED5">
      <w:pPr>
        <w:shd w:val="clear" w:color="auto" w:fill="FFFFFF"/>
        <w:spacing w:line="240" w:lineRule="auto"/>
        <w:rPr>
          <w:rFonts w:ascii="Arial" w:hAnsi="Arial" w:cs="Arial"/>
        </w:rPr>
      </w:pPr>
      <w:r>
        <w:rPr>
          <w:rFonts w:ascii="Arial" w:eastAsia="Times New Roman" w:hAnsi="Arial" w:cs="Arial"/>
          <w:lang w:eastAsia="en-GB"/>
        </w:rPr>
        <w:t xml:space="preserve">People's Daily, Department of Commentary. ‘Narrating China’s Governance Stories in Xi Jinping’s Speeches, People's Daily’. </w:t>
      </w:r>
      <w:r>
        <w:rPr>
          <w:rFonts w:ascii="Arial" w:hAnsi="Arial" w:cs="Arial"/>
        </w:rPr>
        <w:t xml:space="preserve">Dordrecht: </w:t>
      </w:r>
      <w:r>
        <w:rPr>
          <w:rFonts w:ascii="Arial" w:eastAsia="Times New Roman" w:hAnsi="Arial" w:cs="Arial"/>
          <w:lang w:eastAsia="en-GB"/>
        </w:rPr>
        <w:t xml:space="preserve">Springer Nature, 2020. </w:t>
      </w:r>
      <w:r>
        <w:rPr>
          <w:rFonts w:ascii="Arial" w:hAnsi="Arial" w:cs="Arial"/>
        </w:rPr>
        <w:t xml:space="preserve">Chapter 6 (and on Newton), </w:t>
      </w:r>
      <w:r>
        <w:rPr>
          <w:rFonts w:ascii="Arial" w:eastAsia="Times New Roman" w:hAnsi="Arial" w:cs="Arial"/>
          <w:lang w:eastAsia="en-GB"/>
        </w:rPr>
        <w:t>Online</w:t>
      </w:r>
      <w:r>
        <w:rPr>
          <w:rFonts w:ascii="Arial" w:eastAsia="Times New Roman" w:hAnsi="Arial" w:cs="Arial"/>
          <w:b/>
          <w:bCs/>
          <w:lang w:eastAsia="en-GB"/>
        </w:rPr>
        <w:t xml:space="preserve"> </w:t>
      </w:r>
      <w:r>
        <w:rPr>
          <w:rFonts w:ascii="Arial" w:hAnsi="Arial" w:cs="Arial"/>
        </w:rPr>
        <w:t>University Library</w:t>
      </w:r>
    </w:p>
    <w:p w14:paraId="7E6A757C" w14:textId="77777777" w:rsidR="00B93ED5" w:rsidRDefault="00B93ED5" w:rsidP="00B93ED5">
      <w:pPr>
        <w:spacing w:line="240" w:lineRule="auto"/>
        <w:rPr>
          <w:rFonts w:ascii="Arial" w:hAnsi="Arial" w:cs="Arial"/>
        </w:rPr>
      </w:pPr>
      <w:r>
        <w:rPr>
          <w:rFonts w:ascii="Arial" w:hAnsi="Arial" w:cs="Arial"/>
        </w:rPr>
        <w:t xml:space="preserve">Roy, Sneha. ‘Rethinking Women and Leadership in Myanmar: A prerequisite of a harmonious society’, </w:t>
      </w:r>
      <w:r>
        <w:rPr>
          <w:rFonts w:ascii="Arial" w:hAnsi="Arial" w:cs="Arial"/>
          <w:kern w:val="0"/>
          <w14:ligatures w14:val="none"/>
        </w:rPr>
        <w:t>i</w:t>
      </w:r>
      <w:r>
        <w:rPr>
          <w:rFonts w:ascii="Arial" w:hAnsi="Arial" w:cs="Arial"/>
          <w:kern w:val="36"/>
          <w:lang w:eastAsia="en-GB"/>
          <w14:ligatures w14:val="none"/>
        </w:rPr>
        <w:t xml:space="preserve">n </w:t>
      </w:r>
      <w:r>
        <w:rPr>
          <w:rFonts w:ascii="Arial" w:hAnsi="Arial" w:cs="Arial"/>
          <w:i/>
          <w:kern w:val="36"/>
          <w:lang w:eastAsia="en-GB"/>
          <w14:ligatures w14:val="none"/>
        </w:rPr>
        <w:t xml:space="preserve">The Harmony Debates: </w:t>
      </w:r>
      <w:r>
        <w:rPr>
          <w:rFonts w:ascii="Arial" w:hAnsi="Arial" w:cs="Arial"/>
          <w:i/>
          <w:kern w:val="36"/>
          <w:shd w:val="clear" w:color="auto" w:fill="FFFFFF"/>
          <w:lang w:eastAsia="en-GB"/>
          <w14:ligatures w14:val="none"/>
        </w:rPr>
        <w:t>Exploring a practical philosophy for a sustainable future</w:t>
      </w:r>
      <w:r>
        <w:rPr>
          <w:rFonts w:ascii="Arial" w:hAnsi="Arial" w:cs="Arial"/>
          <w:kern w:val="36"/>
          <w:lang w:eastAsia="en-GB"/>
          <w14:ligatures w14:val="none"/>
        </w:rPr>
        <w:t xml:space="preserve">, edited by Nicholas Campion, </w:t>
      </w:r>
      <w:r>
        <w:rPr>
          <w:rFonts w:ascii="Arial" w:hAnsi="Arial" w:cs="Arial"/>
          <w:kern w:val="0"/>
          <w14:ligatures w14:val="none"/>
        </w:rPr>
        <w:t>(</w:t>
      </w:r>
      <w:r>
        <w:rPr>
          <w:rFonts w:ascii="Arial" w:hAnsi="Arial" w:cs="Arial"/>
          <w:kern w:val="36"/>
          <w:lang w:eastAsia="en-GB"/>
          <w14:ligatures w14:val="none"/>
        </w:rPr>
        <w:t xml:space="preserve">Lampeter: Sophia Centre Press, 2020) </w:t>
      </w:r>
      <w:r>
        <w:rPr>
          <w:rFonts w:ascii="Arial" w:hAnsi="Arial" w:cs="Arial"/>
        </w:rPr>
        <w:t>pp. 303–14.</w:t>
      </w:r>
    </w:p>
    <w:p w14:paraId="552A21DD" w14:textId="77777777" w:rsidR="00B93ED5" w:rsidRDefault="00B93ED5" w:rsidP="00B93ED5">
      <w:pPr>
        <w:pStyle w:val="Heading1"/>
        <w:shd w:val="clear" w:color="auto" w:fill="FFFFFF"/>
        <w:spacing w:before="0" w:after="160" w:line="240" w:lineRule="auto"/>
        <w:rPr>
          <w:rFonts w:ascii="Arial" w:hAnsi="Arial" w:cs="Arial"/>
          <w:bCs/>
          <w:color w:val="auto"/>
          <w:spacing w:val="4"/>
          <w:sz w:val="22"/>
          <w:szCs w:val="22"/>
        </w:rPr>
      </w:pPr>
      <w:r>
        <w:rPr>
          <w:rStyle w:val="product-banner-author-name"/>
          <w:rFonts w:ascii="Arial" w:hAnsi="Arial" w:cs="Arial"/>
          <w:bCs/>
          <w:iCs/>
          <w:color w:val="auto"/>
          <w:spacing w:val="3"/>
          <w:sz w:val="22"/>
          <w:szCs w:val="22"/>
          <w:shd w:val="clear" w:color="auto" w:fill="FFFFFF"/>
        </w:rPr>
        <w:t xml:space="preserve">Tao, Julia, Anthony B. L. Cheung, Martin </w:t>
      </w:r>
      <w:proofErr w:type="gramStart"/>
      <w:r>
        <w:rPr>
          <w:rStyle w:val="product-banner-author-name"/>
          <w:rFonts w:ascii="Arial" w:hAnsi="Arial" w:cs="Arial"/>
          <w:bCs/>
          <w:iCs/>
          <w:color w:val="auto"/>
          <w:spacing w:val="3"/>
          <w:sz w:val="22"/>
          <w:szCs w:val="22"/>
          <w:shd w:val="clear" w:color="auto" w:fill="FFFFFF"/>
        </w:rPr>
        <w:t>Painter</w:t>
      </w:r>
      <w:proofErr w:type="gramEnd"/>
      <w:r>
        <w:rPr>
          <w:rStyle w:val="product-banner-author-name"/>
          <w:rFonts w:ascii="Arial" w:hAnsi="Arial" w:cs="Arial"/>
          <w:bCs/>
          <w:iCs/>
          <w:color w:val="auto"/>
          <w:spacing w:val="3"/>
          <w:sz w:val="22"/>
          <w:szCs w:val="22"/>
          <w:shd w:val="clear" w:color="auto" w:fill="FFFFFF"/>
        </w:rPr>
        <w:t xml:space="preserve"> and </w:t>
      </w:r>
      <w:proofErr w:type="spellStart"/>
      <w:r>
        <w:rPr>
          <w:rStyle w:val="product-banner-author-name"/>
          <w:rFonts w:ascii="Arial" w:hAnsi="Arial" w:cs="Arial"/>
          <w:bCs/>
          <w:iCs/>
          <w:color w:val="auto"/>
          <w:spacing w:val="3"/>
          <w:sz w:val="22"/>
          <w:szCs w:val="22"/>
          <w:shd w:val="clear" w:color="auto" w:fill="FFFFFF"/>
        </w:rPr>
        <w:t>Chenyang</w:t>
      </w:r>
      <w:proofErr w:type="spellEnd"/>
      <w:r>
        <w:rPr>
          <w:rStyle w:val="product-banner-author-name"/>
          <w:rFonts w:ascii="Arial" w:hAnsi="Arial" w:cs="Arial"/>
          <w:bCs/>
          <w:iCs/>
          <w:color w:val="auto"/>
          <w:spacing w:val="3"/>
          <w:sz w:val="22"/>
          <w:szCs w:val="22"/>
          <w:shd w:val="clear" w:color="auto" w:fill="FFFFFF"/>
        </w:rPr>
        <w:t xml:space="preserve"> Li. ‘Why governance for harmony?’. In </w:t>
      </w:r>
      <w:r>
        <w:rPr>
          <w:rFonts w:ascii="Arial" w:hAnsi="Arial" w:cs="Arial"/>
          <w:bCs/>
          <w:i/>
          <w:color w:val="auto"/>
          <w:spacing w:val="4"/>
          <w:sz w:val="22"/>
          <w:szCs w:val="22"/>
        </w:rPr>
        <w:t>Governance for Harmony in Asia and Beyond</w:t>
      </w:r>
      <w:r>
        <w:rPr>
          <w:rFonts w:ascii="Arial" w:hAnsi="Arial" w:cs="Arial"/>
          <w:bCs/>
          <w:color w:val="auto"/>
          <w:spacing w:val="4"/>
          <w:sz w:val="22"/>
          <w:szCs w:val="22"/>
        </w:rPr>
        <w:t xml:space="preserve">, edited by </w:t>
      </w:r>
      <w:r>
        <w:rPr>
          <w:rStyle w:val="product-banner-author-name"/>
          <w:rFonts w:ascii="Arial" w:hAnsi="Arial" w:cs="Arial"/>
          <w:bCs/>
          <w:iCs/>
          <w:color w:val="auto"/>
          <w:spacing w:val="3"/>
          <w:sz w:val="22"/>
          <w:szCs w:val="22"/>
          <w:shd w:val="clear" w:color="auto" w:fill="FFFFFF"/>
        </w:rPr>
        <w:t xml:space="preserve">Julia Tao, Anthony B. L. Cheung, Martin Painter and </w:t>
      </w:r>
      <w:proofErr w:type="spellStart"/>
      <w:r>
        <w:rPr>
          <w:rStyle w:val="product-banner-author-name"/>
          <w:rFonts w:ascii="Arial" w:hAnsi="Arial" w:cs="Arial"/>
          <w:bCs/>
          <w:iCs/>
          <w:color w:val="auto"/>
          <w:spacing w:val="3"/>
          <w:sz w:val="22"/>
          <w:szCs w:val="22"/>
          <w:shd w:val="clear" w:color="auto" w:fill="FFFFFF"/>
        </w:rPr>
        <w:t>Chenyang</w:t>
      </w:r>
      <w:proofErr w:type="spellEnd"/>
      <w:r>
        <w:rPr>
          <w:rStyle w:val="product-banner-author-name"/>
          <w:rFonts w:ascii="Arial" w:hAnsi="Arial" w:cs="Arial"/>
          <w:bCs/>
          <w:iCs/>
          <w:color w:val="auto"/>
          <w:spacing w:val="3"/>
          <w:sz w:val="22"/>
          <w:szCs w:val="22"/>
          <w:shd w:val="clear" w:color="auto" w:fill="FFFFFF"/>
        </w:rPr>
        <w:t xml:space="preserve"> Li,</w:t>
      </w:r>
      <w:r>
        <w:rPr>
          <w:rFonts w:ascii="Arial" w:hAnsi="Arial" w:cs="Arial"/>
          <w:bCs/>
          <w:color w:val="auto"/>
          <w:spacing w:val="4"/>
          <w:sz w:val="22"/>
          <w:szCs w:val="22"/>
        </w:rPr>
        <w:t xml:space="preserve"> pp. 3-11. London: Routledge, 2010. </w:t>
      </w:r>
    </w:p>
    <w:p w14:paraId="266FC330" w14:textId="2382E464" w:rsidR="0035419F" w:rsidRDefault="00B93ED5" w:rsidP="00B93ED5">
      <w:pPr>
        <w:shd w:val="clear" w:color="auto" w:fill="FFFFFF"/>
        <w:spacing w:line="240" w:lineRule="auto"/>
      </w:pPr>
      <w:proofErr w:type="spellStart"/>
      <w:r>
        <w:rPr>
          <w:rFonts w:ascii="Arial" w:hAnsi="Arial" w:cs="Arial"/>
          <w:spacing w:val="-5"/>
          <w:shd w:val="clear" w:color="auto" w:fill="FFFFFF"/>
        </w:rPr>
        <w:t>Tey</w:t>
      </w:r>
      <w:proofErr w:type="spellEnd"/>
      <w:r>
        <w:rPr>
          <w:rFonts w:ascii="Arial" w:hAnsi="Arial" w:cs="Arial"/>
          <w:spacing w:val="-5"/>
          <w:shd w:val="clear" w:color="auto" w:fill="FFFFFF"/>
        </w:rPr>
        <w:t xml:space="preserve">, Tsun Hang. ‘Excluding Religion </w:t>
      </w:r>
      <w:proofErr w:type="gramStart"/>
      <w:r>
        <w:rPr>
          <w:rFonts w:ascii="Arial" w:hAnsi="Arial" w:cs="Arial"/>
          <w:spacing w:val="-5"/>
          <w:shd w:val="clear" w:color="auto" w:fill="FFFFFF"/>
        </w:rPr>
        <w:t>From</w:t>
      </w:r>
      <w:proofErr w:type="gramEnd"/>
      <w:r>
        <w:rPr>
          <w:rFonts w:ascii="Arial" w:hAnsi="Arial" w:cs="Arial"/>
          <w:spacing w:val="-5"/>
          <w:shd w:val="clear" w:color="auto" w:fill="FFFFFF"/>
        </w:rPr>
        <w:t xml:space="preserve"> Politics And Enforcing Religious Harmony—Singapore-Style’. </w:t>
      </w:r>
      <w:r>
        <w:rPr>
          <w:rFonts w:ascii="Arial" w:hAnsi="Arial" w:cs="Arial"/>
          <w:i/>
          <w:iCs/>
          <w:spacing w:val="-5"/>
          <w:shd w:val="clear" w:color="auto" w:fill="FFFFFF"/>
        </w:rPr>
        <w:t>Singapore Journal of Legal Studies</w:t>
      </w:r>
      <w:r>
        <w:rPr>
          <w:rFonts w:ascii="Arial" w:hAnsi="Arial" w:cs="Arial"/>
          <w:spacing w:val="-5"/>
          <w:shd w:val="clear" w:color="auto" w:fill="FFFFFF"/>
        </w:rPr>
        <w:t xml:space="preserve"> (2008): pp. 118–42. </w:t>
      </w:r>
    </w:p>
    <w:sectPr w:rsidR="003541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7302E" w14:textId="77777777" w:rsidR="00B93ED5" w:rsidRDefault="00B93ED5" w:rsidP="00B93ED5">
      <w:pPr>
        <w:spacing w:after="0" w:line="240" w:lineRule="auto"/>
      </w:pPr>
      <w:r>
        <w:separator/>
      </w:r>
    </w:p>
  </w:endnote>
  <w:endnote w:type="continuationSeparator" w:id="0">
    <w:p w14:paraId="0792EB2E" w14:textId="77777777" w:rsidR="00B93ED5" w:rsidRDefault="00B93ED5" w:rsidP="00B93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3A34B" w14:textId="77777777" w:rsidR="00B93ED5" w:rsidRDefault="00B93ED5" w:rsidP="00B93ED5">
      <w:pPr>
        <w:spacing w:after="0" w:line="240" w:lineRule="auto"/>
      </w:pPr>
      <w:r>
        <w:separator/>
      </w:r>
    </w:p>
  </w:footnote>
  <w:footnote w:type="continuationSeparator" w:id="0">
    <w:p w14:paraId="22D8A43E" w14:textId="77777777" w:rsidR="00B93ED5" w:rsidRDefault="00B93ED5" w:rsidP="00B93ED5">
      <w:pPr>
        <w:spacing w:after="0" w:line="240" w:lineRule="auto"/>
      </w:pPr>
      <w:r>
        <w:continuationSeparator/>
      </w:r>
    </w:p>
  </w:footnote>
  <w:footnote w:id="1">
    <w:p w14:paraId="089F3F8D" w14:textId="77777777" w:rsidR="00B93ED5" w:rsidRDefault="00B93ED5" w:rsidP="00B93ED5">
      <w:pPr>
        <w:spacing w:before="120"/>
      </w:pPr>
      <w:r>
        <w:rPr>
          <w:rStyle w:val="FootnoteReference"/>
          <w:rFonts w:ascii="Arial" w:hAnsi="Arial" w:cs="Arial"/>
        </w:rPr>
        <w:footnoteRef/>
      </w:r>
      <w:r>
        <w:rPr>
          <w:rFonts w:ascii="Arial" w:hAnsi="Arial" w:cs="Arial"/>
        </w:rPr>
        <w:t xml:space="preserve"> See </w:t>
      </w:r>
      <w:r>
        <w:rPr>
          <w:rFonts w:ascii="Arial" w:hAnsi="Arial" w:cs="Arial"/>
          <w:color w:val="000000"/>
        </w:rPr>
        <w:t xml:space="preserve">Strittmatter, Kai, </w:t>
      </w:r>
      <w:r>
        <w:rPr>
          <w:rFonts w:ascii="Arial" w:hAnsi="Arial" w:cs="Arial"/>
          <w:i/>
          <w:iCs/>
          <w:color w:val="000000"/>
        </w:rPr>
        <w:t>We have been Harmonised: Life in China’s Surveillance State</w:t>
      </w:r>
      <w:r>
        <w:rPr>
          <w:rFonts w:ascii="Arial" w:hAnsi="Arial" w:cs="Arial"/>
          <w:color w:val="000000"/>
        </w:rPr>
        <w:t xml:space="preserve"> (Exeter: Old Street Publishing, 2019), esp. pp 20-21.</w:t>
      </w:r>
    </w:p>
  </w:footnote>
  <w:footnote w:id="2">
    <w:p w14:paraId="6055BF7D" w14:textId="77777777" w:rsidR="00B93ED5" w:rsidRDefault="00B93ED5" w:rsidP="00B93ED5">
      <w:pPr>
        <w:pStyle w:val="PlainText"/>
        <w:spacing w:before="120"/>
        <w:rPr>
          <w:rFonts w:ascii="Arial" w:eastAsia="MS Mincho" w:hAnsi="Arial" w:cs="Arial"/>
          <w:color w:val="000000"/>
          <w:sz w:val="22"/>
          <w:szCs w:val="22"/>
        </w:rPr>
      </w:pPr>
      <w:r>
        <w:rPr>
          <w:rStyle w:val="FootnoteReference"/>
          <w:rFonts w:ascii="Arial" w:hAnsi="Arial" w:cs="Arial"/>
          <w:sz w:val="22"/>
          <w:szCs w:val="22"/>
        </w:rPr>
        <w:footnoteRef/>
      </w:r>
      <w:r>
        <w:rPr>
          <w:rFonts w:ascii="Arial" w:hAnsi="Arial" w:cs="Arial"/>
          <w:sz w:val="22"/>
          <w:szCs w:val="22"/>
        </w:rPr>
        <w:t xml:space="preserve"> </w:t>
      </w:r>
      <w:r>
        <w:rPr>
          <w:rFonts w:ascii="Arial" w:eastAsia="MS Mincho" w:hAnsi="Arial" w:cs="Arial"/>
          <w:color w:val="000000"/>
          <w:sz w:val="22"/>
          <w:szCs w:val="22"/>
        </w:rPr>
        <w:t xml:space="preserve">Popper, Karl, </w:t>
      </w:r>
      <w:r>
        <w:rPr>
          <w:rFonts w:ascii="Arial" w:eastAsia="MS Mincho" w:hAnsi="Arial" w:cs="Arial"/>
          <w:i/>
          <w:iCs/>
          <w:color w:val="000000"/>
          <w:sz w:val="22"/>
          <w:szCs w:val="22"/>
        </w:rPr>
        <w:t>The Open Society and its Enemies</w:t>
      </w:r>
      <w:r>
        <w:rPr>
          <w:rFonts w:ascii="Arial" w:eastAsia="MS Mincho" w:hAnsi="Arial" w:cs="Arial"/>
          <w:color w:val="000000"/>
          <w:sz w:val="22"/>
          <w:szCs w:val="22"/>
        </w:rPr>
        <w:t>, rev. edn (2 vols, London and New York: Routledge, 1986 [1945, 1957]), pp. 108, 197, 313.</w:t>
      </w:r>
    </w:p>
    <w:p w14:paraId="54A01240" w14:textId="77777777" w:rsidR="00B93ED5" w:rsidRDefault="00B93ED5" w:rsidP="00B93ED5">
      <w:pPr>
        <w:pStyle w:val="FootnoteText"/>
        <w:rPr>
          <w:rFonts w:ascii="Arial" w:hAnsi="Arial" w:cs="Arial"/>
          <w:sz w:val="22"/>
          <w:szCs w:val="22"/>
        </w:rPr>
      </w:pPr>
    </w:p>
  </w:footnote>
  <w:footnote w:id="3">
    <w:p w14:paraId="1BE8F40C" w14:textId="77777777" w:rsidR="00B93ED5" w:rsidRDefault="00B93ED5" w:rsidP="00B93ED5">
      <w:pPr>
        <w:rPr>
          <w:rFonts w:ascii="Arial" w:hAnsi="Arial" w:cs="Arial"/>
        </w:rPr>
      </w:pPr>
      <w:r>
        <w:rPr>
          <w:rStyle w:val="FootnoteReference"/>
          <w:rFonts w:ascii="Arial" w:hAnsi="Arial" w:cs="Arial"/>
        </w:rPr>
        <w:footnoteRef/>
      </w:r>
      <w:r>
        <w:rPr>
          <w:rFonts w:ascii="Arial" w:hAnsi="Arial" w:cs="Arial"/>
        </w:rPr>
        <w:t xml:space="preserve"> Hall, Robert William, </w:t>
      </w:r>
      <w:r>
        <w:rPr>
          <w:rFonts w:ascii="Arial" w:hAnsi="Arial" w:cs="Arial"/>
          <w:i/>
          <w:iCs/>
        </w:rPr>
        <w:t>Plato and the Individual</w:t>
      </w:r>
      <w:r>
        <w:rPr>
          <w:rFonts w:ascii="Arial" w:hAnsi="Arial" w:cs="Arial"/>
        </w:rPr>
        <w:t xml:space="preserve"> (The Hague: Martinus Nijhoff, I963).</w:t>
      </w:r>
    </w:p>
    <w:p w14:paraId="52E73F2F" w14:textId="77777777" w:rsidR="00B93ED5" w:rsidRDefault="00B93ED5" w:rsidP="00B93ED5">
      <w:pPr>
        <w:pStyle w:val="FootnoteText"/>
        <w:rPr>
          <w:rFonts w:ascii="Arial" w:hAnsi="Arial" w:cs="Arial"/>
          <w:sz w:val="22"/>
          <w:szCs w:val="22"/>
        </w:rPr>
      </w:pPr>
    </w:p>
  </w:footnote>
  <w:footnote w:id="4">
    <w:p w14:paraId="0C6FCB37" w14:textId="77777777" w:rsidR="00B93ED5" w:rsidRDefault="00B93ED5" w:rsidP="00B93ED5">
      <w:pPr>
        <w:spacing w:line="240" w:lineRule="auto"/>
        <w:rPr>
          <w:rFonts w:ascii="Arial" w:hAnsi="Arial" w:cs="Arial"/>
        </w:rPr>
      </w:pPr>
    </w:p>
    <w:p w14:paraId="37D3A7FD" w14:textId="77777777" w:rsidR="00B93ED5" w:rsidRDefault="00B93ED5" w:rsidP="00B93ED5">
      <w:pPr>
        <w:spacing w:line="240" w:lineRule="auto"/>
        <w:contextualSpacing/>
        <w:rPr>
          <w:rFonts w:ascii="Arial" w:hAnsi="Arial" w:cs="Arial"/>
        </w:rPr>
      </w:pPr>
    </w:p>
    <w:p w14:paraId="4DE078CA" w14:textId="77777777" w:rsidR="00B93ED5" w:rsidRDefault="00B93ED5" w:rsidP="00B93ED5">
      <w:pPr>
        <w:spacing w:line="240" w:lineRule="auto"/>
        <w:contextualSpacing/>
        <w:rPr>
          <w:rFonts w:ascii="Arial" w:hAnsi="Arial" w:cs="Arial"/>
          <w:kern w:val="0"/>
          <w14:ligatures w14:val="none"/>
        </w:rPr>
      </w:pPr>
      <w:r>
        <w:rPr>
          <w:rStyle w:val="FootnoteReference"/>
          <w:rFonts w:ascii="Arial" w:hAnsi="Arial" w:cs="Arial"/>
        </w:rPr>
        <w:footnoteRef/>
      </w:r>
      <w:r>
        <w:rPr>
          <w:rFonts w:ascii="Arial" w:hAnsi="Arial" w:cs="Arial"/>
        </w:rPr>
        <w:t xml:space="preserve"> David </w:t>
      </w:r>
      <w:r>
        <w:rPr>
          <w:rFonts w:ascii="Arial" w:hAnsi="Arial" w:cs="Arial"/>
          <w:kern w:val="0"/>
          <w14:ligatures w14:val="none"/>
        </w:rPr>
        <w:t>Cadman, ‘Principles of Harmony’, i</w:t>
      </w:r>
      <w:r>
        <w:rPr>
          <w:rFonts w:ascii="Arial" w:hAnsi="Arial" w:cs="Arial"/>
          <w:kern w:val="36"/>
          <w:lang w:eastAsia="en-GB"/>
          <w14:ligatures w14:val="none"/>
        </w:rPr>
        <w:t xml:space="preserve">n </w:t>
      </w:r>
      <w:r>
        <w:rPr>
          <w:rFonts w:ascii="Arial" w:hAnsi="Arial" w:cs="Arial"/>
          <w:i/>
          <w:kern w:val="36"/>
          <w:lang w:eastAsia="en-GB"/>
          <w14:ligatures w14:val="none"/>
        </w:rPr>
        <w:t>The Harmony Debates:</w:t>
      </w:r>
      <w:r>
        <w:rPr>
          <w:rFonts w:ascii="Arial" w:hAnsi="Arial" w:cs="Arial"/>
          <w:kern w:val="36"/>
          <w:lang w:eastAsia="en-GB"/>
          <w14:ligatures w14:val="none"/>
        </w:rPr>
        <w:t xml:space="preserve"> </w:t>
      </w:r>
      <w:r>
        <w:rPr>
          <w:rFonts w:ascii="Arial" w:hAnsi="Arial" w:cs="Arial"/>
          <w:i/>
          <w:kern w:val="36"/>
          <w:shd w:val="clear" w:color="auto" w:fill="FFFFFF"/>
          <w:lang w:eastAsia="en-GB"/>
          <w14:ligatures w14:val="none"/>
        </w:rPr>
        <w:t>Exploring a practical philosophy for a sustainable future</w:t>
      </w:r>
      <w:r>
        <w:rPr>
          <w:rFonts w:ascii="Arial" w:hAnsi="Arial" w:cs="Arial"/>
          <w:kern w:val="36"/>
          <w:lang w:eastAsia="en-GB"/>
          <w14:ligatures w14:val="none"/>
        </w:rPr>
        <w:t xml:space="preserve">, edited by Nicholas Campion </w:t>
      </w:r>
      <w:r>
        <w:rPr>
          <w:rFonts w:ascii="Arial" w:hAnsi="Arial" w:cs="Arial"/>
          <w:kern w:val="0"/>
          <w14:ligatures w14:val="none"/>
        </w:rPr>
        <w:t>(</w:t>
      </w:r>
      <w:r>
        <w:rPr>
          <w:rFonts w:ascii="Arial" w:hAnsi="Arial" w:cs="Arial"/>
          <w:kern w:val="36"/>
          <w:lang w:eastAsia="en-GB"/>
          <w14:ligatures w14:val="none"/>
        </w:rPr>
        <w:t xml:space="preserve">Lampeter: Sophia Centre Press, 2020), </w:t>
      </w:r>
      <w:r>
        <w:rPr>
          <w:rFonts w:ascii="Arial" w:hAnsi="Arial" w:cs="Arial"/>
          <w:kern w:val="0"/>
          <w14:ligatures w14:val="none"/>
        </w:rPr>
        <w:t xml:space="preserve">pp. 43–5 (p. 43). </w:t>
      </w:r>
    </w:p>
  </w:footnote>
  <w:footnote w:id="5">
    <w:p w14:paraId="3786BC18" w14:textId="77777777" w:rsidR="00B93ED5" w:rsidRDefault="00B93ED5" w:rsidP="00B93ED5">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Citzens Assembly, </w:t>
      </w:r>
      <w:hyperlink r:id="rId1" w:history="1">
        <w:r>
          <w:rPr>
            <w:rStyle w:val="Hyperlink"/>
            <w:rFonts w:ascii="Arial" w:hAnsi="Arial" w:cs="Arial"/>
            <w:sz w:val="22"/>
            <w:szCs w:val="22"/>
          </w:rPr>
          <w:t>https://citizensassembly.co.uk/</w:t>
        </w:r>
      </w:hyperlink>
      <w:r>
        <w:rPr>
          <w:rFonts w:ascii="Arial" w:hAnsi="Arial" w:cs="Arial"/>
          <w:sz w:val="22"/>
          <w:szCs w:val="22"/>
        </w:rPr>
        <w:t xml:space="preserve"> [accessed 31 Jan 2024].</w:t>
      </w:r>
    </w:p>
  </w:footnote>
  <w:footnote w:id="6">
    <w:p w14:paraId="46EAAEF9" w14:textId="77777777" w:rsidR="00B93ED5" w:rsidRDefault="00B93ED5" w:rsidP="00B93ED5">
      <w:pPr>
        <w:spacing w:before="120"/>
        <w:rPr>
          <w:rFonts w:ascii="Arial" w:hAnsi="Arial" w:cs="Arial"/>
        </w:rPr>
      </w:pPr>
      <w:r>
        <w:rPr>
          <w:rStyle w:val="FootnoteReference"/>
          <w:rFonts w:ascii="Arial" w:hAnsi="Arial" w:cs="Arial"/>
        </w:rPr>
        <w:footnoteRef/>
      </w:r>
      <w:r>
        <w:rPr>
          <w:rFonts w:ascii="Arial" w:hAnsi="Arial" w:cs="Arial"/>
        </w:rPr>
        <w:t xml:space="preserve"> </w:t>
      </w:r>
      <w:r>
        <w:rPr>
          <w:rFonts w:ascii="Arial" w:eastAsia="MS Mincho" w:hAnsi="Arial" w:cs="Arial"/>
        </w:rPr>
        <w:t xml:space="preserve">Adler, Renata, </w:t>
      </w:r>
      <w:r>
        <w:rPr>
          <w:rFonts w:ascii="Arial" w:eastAsia="MS Mincho" w:hAnsi="Arial" w:cs="Arial"/>
          <w:i/>
          <w:iCs/>
        </w:rPr>
        <w:t>Toward a Radical Middle: Fourteen Pieces of Reporting and Criticism</w:t>
      </w:r>
      <w:r>
        <w:rPr>
          <w:rFonts w:ascii="Arial" w:eastAsia="MS Mincho" w:hAnsi="Arial" w:cs="Arial"/>
        </w:rPr>
        <w:t xml:space="preserve"> (New York: Random House, 1963); </w:t>
      </w:r>
      <w:r>
        <w:rPr>
          <w:rFonts w:ascii="Arial" w:hAnsi="Arial" w:cs="Arial"/>
        </w:rPr>
        <w:t xml:space="preserve">Satin, Mark, </w:t>
      </w:r>
      <w:r>
        <w:rPr>
          <w:rFonts w:ascii="Arial" w:hAnsi="Arial" w:cs="Arial"/>
          <w:i/>
          <w:iCs/>
        </w:rPr>
        <w:t xml:space="preserve">Radical Middle: The Politics We Need Now </w:t>
      </w:r>
      <w:r>
        <w:rPr>
          <w:rFonts w:ascii="Arial" w:hAnsi="Arial" w:cs="Arial"/>
        </w:rPr>
        <w:t>(Boulder Colorado: Westview, 2004).</w:t>
      </w:r>
    </w:p>
  </w:footnote>
  <w:footnote w:id="7">
    <w:p w14:paraId="34476086" w14:textId="77777777" w:rsidR="00B93ED5" w:rsidRDefault="00B93ED5" w:rsidP="00B93ED5">
      <w:pPr>
        <w:pStyle w:val="Heading1"/>
        <w:shd w:val="clear" w:color="auto" w:fill="FFFFFF"/>
        <w:rPr>
          <w:rFonts w:ascii="Arial" w:eastAsia="Times New Roman" w:hAnsi="Arial" w:cs="Arial"/>
          <w:color w:val="000000"/>
          <w:spacing w:val="-8"/>
          <w:kern w:val="0"/>
          <w:sz w:val="22"/>
          <w:szCs w:val="22"/>
          <w:lang w:eastAsia="en-GB"/>
          <w14:ligatures w14:val="none"/>
        </w:rPr>
      </w:pPr>
      <w:r>
        <w:rPr>
          <w:rStyle w:val="FootnoteReference"/>
          <w:rFonts w:ascii="Arial" w:hAnsi="Arial" w:cs="Arial"/>
          <w:sz w:val="22"/>
          <w:szCs w:val="22"/>
        </w:rPr>
        <w:footnoteRef/>
      </w:r>
      <w:r>
        <w:rPr>
          <w:rFonts w:ascii="Arial" w:hAnsi="Arial" w:cs="Arial"/>
          <w:sz w:val="22"/>
          <w:szCs w:val="22"/>
        </w:rPr>
        <w:t xml:space="preserve"> </w:t>
      </w:r>
      <w:r>
        <w:rPr>
          <w:rFonts w:ascii="Arial" w:eastAsia="Times New Roman" w:hAnsi="Arial" w:cs="Arial"/>
          <w:color w:val="000000"/>
          <w:spacing w:val="-8"/>
          <w:kern w:val="0"/>
          <w:sz w:val="22"/>
          <w:szCs w:val="22"/>
          <w:lang w:eastAsia="en-GB"/>
          <w14:ligatures w14:val="none"/>
        </w:rPr>
        <w:t>Ali Gomaa, ‘</w:t>
      </w:r>
      <w:r>
        <w:rPr>
          <w:rFonts w:ascii="Arial" w:hAnsi="Arial" w:cs="Arial"/>
          <w:color w:val="454545"/>
          <w:sz w:val="22"/>
          <w:szCs w:val="22"/>
        </w:rPr>
        <w:t xml:space="preserve">The Radical Middle: Building Bridges Between the Muslim and Western Worlds’, UN Chronicle, </w:t>
      </w:r>
      <w:r>
        <w:rPr>
          <w:rFonts w:ascii="Arial" w:hAnsi="Arial" w:cs="Arial"/>
          <w:color w:val="454545"/>
          <w:spacing w:val="-5"/>
          <w:sz w:val="22"/>
          <w:szCs w:val="22"/>
          <w:shd w:val="clear" w:color="auto" w:fill="FFFFFF"/>
        </w:rPr>
        <w:t>September 2012, No. 3 Vol. XLIX 2012, Dialogue among Civilizations</w:t>
      </w:r>
      <w:r>
        <w:rPr>
          <w:rFonts w:ascii="Arial" w:hAnsi="Arial" w:cs="Arial"/>
          <w:color w:val="454545"/>
          <w:sz w:val="22"/>
          <w:szCs w:val="22"/>
        </w:rPr>
        <w:t xml:space="preserve">, </w:t>
      </w:r>
      <w:hyperlink r:id="rId2" w:history="1">
        <w:r>
          <w:rPr>
            <w:rStyle w:val="Hyperlink"/>
            <w:rFonts w:ascii="Arial" w:hAnsi="Arial" w:cs="Arial"/>
            <w:sz w:val="22"/>
            <w:szCs w:val="22"/>
          </w:rPr>
          <w:t>h</w:t>
        </w:r>
        <w:r>
          <w:rPr>
            <w:rStyle w:val="Hyperlink"/>
            <w:rFonts w:ascii="Arial" w:eastAsia="Times New Roman" w:hAnsi="Arial" w:cs="Arial"/>
            <w:spacing w:val="-8"/>
            <w:kern w:val="0"/>
            <w:sz w:val="22"/>
            <w:szCs w:val="22"/>
            <w:lang w:eastAsia="en-GB"/>
            <w14:ligatures w14:val="none"/>
          </w:rPr>
          <w:t>ttps://www.un.org/en/chronicle/article/radical-middle-building-bridges-between-muslim-and-western-worlds</w:t>
        </w:r>
      </w:hyperlink>
      <w:r>
        <w:rPr>
          <w:rFonts w:ascii="Arial" w:eastAsia="Times New Roman" w:hAnsi="Arial" w:cs="Arial"/>
          <w:color w:val="000000"/>
          <w:spacing w:val="-8"/>
          <w:kern w:val="0"/>
          <w:sz w:val="22"/>
          <w:szCs w:val="22"/>
          <w:lang w:eastAsia="en-GB"/>
          <w14:ligatures w14:val="none"/>
        </w:rPr>
        <w:t xml:space="preserve"> [accessed 1 Feb. 2024].</w:t>
      </w:r>
    </w:p>
    <w:p w14:paraId="314EB4E5" w14:textId="77777777" w:rsidR="00B93ED5" w:rsidRDefault="00B93ED5" w:rsidP="00B93ED5">
      <w:pPr>
        <w:pStyle w:val="FootnoteText"/>
        <w:rPr>
          <w:rFonts w:ascii="Arial" w:hAnsi="Arial" w:cs="Arial"/>
          <w:sz w:val="22"/>
          <w:szCs w:val="22"/>
        </w:rPr>
      </w:pPr>
    </w:p>
  </w:footnote>
  <w:footnote w:id="8">
    <w:p w14:paraId="337E8238" w14:textId="77777777" w:rsidR="00B93ED5" w:rsidRDefault="00B93ED5" w:rsidP="00B93ED5">
      <w:pPr>
        <w:shd w:val="clear" w:color="auto" w:fill="FFFFFF"/>
        <w:spacing w:after="0" w:line="240" w:lineRule="auto"/>
        <w:rPr>
          <w:rFonts w:ascii="Arial" w:eastAsia="Times New Roman" w:hAnsi="Arial" w:cs="Arial"/>
          <w:color w:val="222222"/>
          <w:kern w:val="0"/>
          <w:lang w:eastAsia="en-GB"/>
          <w14:ligatures w14:val="none"/>
        </w:rPr>
      </w:pPr>
      <w:r>
        <w:rPr>
          <w:rStyle w:val="FootnoteReference"/>
          <w:rFonts w:ascii="Arial" w:hAnsi="Arial" w:cs="Arial"/>
        </w:rPr>
        <w:footnoteRef/>
      </w:r>
      <w:r>
        <w:rPr>
          <w:rFonts w:ascii="Arial" w:hAnsi="Arial" w:cs="Arial"/>
        </w:rPr>
        <w:t xml:space="preserve"> </w:t>
      </w:r>
      <w:r>
        <w:rPr>
          <w:rFonts w:ascii="Arial" w:hAnsi="Arial" w:cs="Arial"/>
          <w:kern w:val="0"/>
          <w14:ligatures w14:val="none"/>
        </w:rPr>
        <w:t xml:space="preserve">Stephanie LeMenager and Marsha Weisiger. ‘Revisiting the Radical Middle (What’s Left of It)’, </w:t>
      </w:r>
      <w:r>
        <w:rPr>
          <w:rFonts w:ascii="Arial" w:hAnsi="Arial" w:cs="Arial"/>
          <w:i/>
          <w:iCs/>
          <w:kern w:val="0"/>
          <w14:ligatures w14:val="none"/>
        </w:rPr>
        <w:t>Western American Literature</w:t>
      </w:r>
      <w:r>
        <w:rPr>
          <w:rFonts w:ascii="Arial" w:hAnsi="Arial" w:cs="Arial"/>
          <w:kern w:val="0"/>
          <w14:ligatures w14:val="none"/>
        </w:rPr>
        <w:t>, Volume 54, Number 1, Spring 2019, pp. 1-18</w:t>
      </w:r>
    </w:p>
    <w:p w14:paraId="17566DB2" w14:textId="77777777" w:rsidR="00B93ED5" w:rsidRDefault="00B93ED5" w:rsidP="00B93ED5">
      <w:pPr>
        <w:pStyle w:val="FootnoteText"/>
        <w:rPr>
          <w:rFonts w:ascii="Arial" w:hAnsi="Arial" w:cs="Arial"/>
          <w:sz w:val="22"/>
          <w:szCs w:val="22"/>
        </w:rPr>
      </w:pPr>
    </w:p>
  </w:footnote>
  <w:footnote w:id="9">
    <w:p w14:paraId="69BB06D9" w14:textId="77777777" w:rsidR="00B93ED5" w:rsidRDefault="00B93ED5" w:rsidP="00B93ED5">
      <w:pPr>
        <w:pStyle w:val="Heading2"/>
        <w:shd w:val="clear" w:color="auto" w:fill="FFFFFF"/>
        <w:rPr>
          <w:rFonts w:ascii="Arial" w:hAnsi="Arial" w:cs="Arial"/>
          <w:color w:val="000000"/>
          <w:spacing w:val="-12"/>
          <w:sz w:val="22"/>
          <w:szCs w:val="22"/>
        </w:rPr>
      </w:pPr>
      <w:r>
        <w:rPr>
          <w:rStyle w:val="FootnoteReference"/>
          <w:rFonts w:ascii="Arial" w:hAnsi="Arial" w:cs="Arial"/>
          <w:sz w:val="22"/>
          <w:szCs w:val="22"/>
        </w:rPr>
        <w:footnoteRef/>
      </w:r>
      <w:r>
        <w:rPr>
          <w:rFonts w:ascii="Arial" w:hAnsi="Arial" w:cs="Arial"/>
          <w:sz w:val="22"/>
          <w:szCs w:val="22"/>
        </w:rPr>
        <w:t xml:space="preserve"> United Nations Development Programme, ‘</w:t>
      </w:r>
      <w:r>
        <w:rPr>
          <w:rStyle w:val="field"/>
          <w:rFonts w:ascii="Arial" w:hAnsi="Arial" w:cs="Arial"/>
          <w:sz w:val="22"/>
          <w:szCs w:val="22"/>
        </w:rPr>
        <w:t xml:space="preserve">What is just transition? And why is it important?’ </w:t>
      </w:r>
      <w:r>
        <w:rPr>
          <w:rStyle w:val="date-stamp"/>
          <w:rFonts w:ascii="Arial" w:hAnsi="Arial" w:cs="Arial"/>
          <w:color w:val="000000"/>
          <w:sz w:val="22"/>
          <w:szCs w:val="22"/>
        </w:rPr>
        <w:t xml:space="preserve">November 3, 2022 </w:t>
      </w:r>
      <w:hyperlink r:id="rId3" w:history="1">
        <w:r>
          <w:rPr>
            <w:rStyle w:val="Hyperlink"/>
            <w:rFonts w:ascii="Arial" w:hAnsi="Arial" w:cs="Arial"/>
            <w:sz w:val="22"/>
            <w:szCs w:val="22"/>
          </w:rPr>
          <w:t>https://climatepromise.undp.org/news-and-stories/what-just-transition-and-why-it-important</w:t>
        </w:r>
      </w:hyperlink>
      <w:r>
        <w:rPr>
          <w:rStyle w:val="date-stamp"/>
          <w:rFonts w:ascii="Arial" w:hAnsi="Arial" w:cs="Arial"/>
          <w:color w:val="000000"/>
          <w:sz w:val="22"/>
          <w:szCs w:val="22"/>
        </w:rPr>
        <w:t xml:space="preserve"> [accessed 5 Feb. 2024]; Unted Natons World Day of Social Justice 20 February, ‘</w:t>
      </w:r>
      <w:r>
        <w:rPr>
          <w:rFonts w:ascii="Arial" w:hAnsi="Arial" w:cs="Arial"/>
          <w:color w:val="000000"/>
          <w:spacing w:val="-12"/>
          <w:sz w:val="22"/>
          <w:szCs w:val="22"/>
        </w:rPr>
        <w:t>2023 Theme: Overcoming Barriers and Unleashing Opportunities for Social Justice’, [accessed 5 Feb 2024] https://www.un.org/en/observances/social-justice-day</w:t>
      </w:r>
    </w:p>
    <w:p w14:paraId="4702B415" w14:textId="77777777" w:rsidR="00B93ED5" w:rsidRDefault="00B93ED5" w:rsidP="00B93ED5">
      <w:pPr>
        <w:pStyle w:val="FootnoteText"/>
        <w:rPr>
          <w:rFonts w:ascii="Arial" w:hAnsi="Arial" w:cs="Arial"/>
          <w:sz w:val="22"/>
          <w:szCs w:val="22"/>
        </w:rPr>
      </w:pPr>
    </w:p>
  </w:footnote>
  <w:footnote w:id="10">
    <w:p w14:paraId="4DC37021" w14:textId="77777777" w:rsidR="00B93ED5" w:rsidRDefault="00B93ED5" w:rsidP="00B93ED5">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See for example, Tim Bento and Patrick Schröder, ‘European farmers protest the need for a just transition to net zero’, Chatham House, 31 Jan 2024 </w:t>
      </w:r>
      <w:hyperlink r:id="rId4" w:history="1">
        <w:r>
          <w:rPr>
            <w:rStyle w:val="Hyperlink"/>
            <w:rFonts w:ascii="Arial" w:hAnsi="Arial" w:cs="Arial"/>
            <w:sz w:val="22"/>
            <w:szCs w:val="22"/>
          </w:rPr>
          <w:t>https://www.chathamhouse.org/2024/01/european-farmers-protests-show-need-just-transition-net-zero</w:t>
        </w:r>
      </w:hyperlink>
      <w:r>
        <w:rPr>
          <w:rFonts w:ascii="Arial" w:hAnsi="Arial" w:cs="Arial"/>
          <w:sz w:val="22"/>
          <w:szCs w:val="22"/>
        </w:rPr>
        <w:t xml:space="preserve"> [accessed 5 Feb 2024], </w:t>
      </w:r>
    </w:p>
    <w:p w14:paraId="5DB18E68" w14:textId="77777777" w:rsidR="00B93ED5" w:rsidRDefault="00B93ED5" w:rsidP="00B93ED5">
      <w:pPr>
        <w:pStyle w:val="FootnoteText"/>
        <w:rPr>
          <w:rFonts w:ascii="Arial" w:hAnsi="Arial" w:cs="Arial"/>
          <w:sz w:val="22"/>
          <w:szCs w:val="22"/>
        </w:rPr>
      </w:pPr>
    </w:p>
  </w:footnote>
  <w:footnote w:id="11">
    <w:p w14:paraId="7FB1259C" w14:textId="77777777" w:rsidR="00B93ED5" w:rsidRDefault="00B93ED5" w:rsidP="00B93ED5">
      <w:pPr>
        <w:pStyle w:val="FootnoteText"/>
      </w:pPr>
      <w:r>
        <w:rPr>
          <w:rStyle w:val="FootnoteReference"/>
          <w:rFonts w:ascii="Arial" w:hAnsi="Arial" w:cs="Arial"/>
          <w:sz w:val="22"/>
          <w:szCs w:val="22"/>
        </w:rPr>
        <w:footnoteRef/>
      </w:r>
      <w:r>
        <w:rPr>
          <w:rFonts w:ascii="Arial" w:hAnsi="Arial" w:cs="Arial"/>
          <w:sz w:val="22"/>
          <w:szCs w:val="22"/>
        </w:rPr>
        <w:t xml:space="preserve"> Brian Duignan, ‘Social Justice’, </w:t>
      </w:r>
      <w:r>
        <w:rPr>
          <w:rFonts w:ascii="Arial" w:hAnsi="Arial" w:cs="Arial"/>
          <w:i/>
          <w:iCs/>
          <w:sz w:val="22"/>
          <w:szCs w:val="22"/>
        </w:rPr>
        <w:t>Britannica</w:t>
      </w:r>
      <w:r>
        <w:rPr>
          <w:rFonts w:ascii="Arial" w:hAnsi="Arial" w:cs="Arial"/>
          <w:sz w:val="22"/>
          <w:szCs w:val="22"/>
        </w:rPr>
        <w:t xml:space="preserve">, 27 January 2024, </w:t>
      </w:r>
      <w:hyperlink r:id="rId5" w:history="1">
        <w:r>
          <w:rPr>
            <w:rStyle w:val="Hyperlink"/>
            <w:rFonts w:ascii="Arial" w:hAnsi="Arial" w:cs="Arial"/>
            <w:sz w:val="22"/>
            <w:szCs w:val="22"/>
          </w:rPr>
          <w:t>https://www.britannica.com/topic/social-justice</w:t>
        </w:r>
      </w:hyperlink>
      <w:r>
        <w:rPr>
          <w:rFonts w:ascii="Arial" w:hAnsi="Arial" w:cs="Arial"/>
          <w:sz w:val="22"/>
          <w:szCs w:val="22"/>
        </w:rPr>
        <w:t xml:space="preserve"> [accessed 5 Feb.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7E4EF2"/>
    <w:multiLevelType w:val="hybridMultilevel"/>
    <w:tmpl w:val="2F6462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87021917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ED5"/>
    <w:rsid w:val="000C3E24"/>
    <w:rsid w:val="001859C5"/>
    <w:rsid w:val="0035419F"/>
    <w:rsid w:val="008E6D60"/>
    <w:rsid w:val="00B93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6D97D"/>
  <w15:chartTrackingRefBased/>
  <w15:docId w15:val="{ACC5667A-A6D9-4315-88A0-140BF35AF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ED5"/>
    <w:pPr>
      <w:spacing w:line="254" w:lineRule="auto"/>
    </w:pPr>
  </w:style>
  <w:style w:type="paragraph" w:styleId="Heading1">
    <w:name w:val="heading 1"/>
    <w:basedOn w:val="Normal"/>
    <w:next w:val="Normal"/>
    <w:link w:val="Heading1Char"/>
    <w:uiPriority w:val="9"/>
    <w:qFormat/>
    <w:rsid w:val="00B93E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E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E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E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E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E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E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E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E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E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E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E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E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E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E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E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E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ED5"/>
    <w:rPr>
      <w:rFonts w:eastAsiaTheme="majorEastAsia" w:cstheme="majorBidi"/>
      <w:color w:val="272727" w:themeColor="text1" w:themeTint="D8"/>
    </w:rPr>
  </w:style>
  <w:style w:type="paragraph" w:styleId="Title">
    <w:name w:val="Title"/>
    <w:basedOn w:val="Normal"/>
    <w:next w:val="Normal"/>
    <w:link w:val="TitleChar"/>
    <w:uiPriority w:val="10"/>
    <w:qFormat/>
    <w:rsid w:val="00B93E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E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E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E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ED5"/>
    <w:pPr>
      <w:spacing w:before="160"/>
      <w:jc w:val="center"/>
    </w:pPr>
    <w:rPr>
      <w:i/>
      <w:iCs/>
      <w:color w:val="404040" w:themeColor="text1" w:themeTint="BF"/>
    </w:rPr>
  </w:style>
  <w:style w:type="character" w:customStyle="1" w:styleId="QuoteChar">
    <w:name w:val="Quote Char"/>
    <w:basedOn w:val="DefaultParagraphFont"/>
    <w:link w:val="Quote"/>
    <w:uiPriority w:val="29"/>
    <w:rsid w:val="00B93ED5"/>
    <w:rPr>
      <w:i/>
      <w:iCs/>
      <w:color w:val="404040" w:themeColor="text1" w:themeTint="BF"/>
    </w:rPr>
  </w:style>
  <w:style w:type="paragraph" w:styleId="ListParagraph">
    <w:name w:val="List Paragraph"/>
    <w:basedOn w:val="Normal"/>
    <w:uiPriority w:val="34"/>
    <w:qFormat/>
    <w:rsid w:val="00B93ED5"/>
    <w:pPr>
      <w:ind w:left="720"/>
      <w:contextualSpacing/>
    </w:pPr>
  </w:style>
  <w:style w:type="character" w:styleId="IntenseEmphasis">
    <w:name w:val="Intense Emphasis"/>
    <w:basedOn w:val="DefaultParagraphFont"/>
    <w:uiPriority w:val="21"/>
    <w:qFormat/>
    <w:rsid w:val="00B93ED5"/>
    <w:rPr>
      <w:i/>
      <w:iCs/>
      <w:color w:val="0F4761" w:themeColor="accent1" w:themeShade="BF"/>
    </w:rPr>
  </w:style>
  <w:style w:type="paragraph" w:styleId="IntenseQuote">
    <w:name w:val="Intense Quote"/>
    <w:basedOn w:val="Normal"/>
    <w:next w:val="Normal"/>
    <w:link w:val="IntenseQuoteChar"/>
    <w:uiPriority w:val="30"/>
    <w:qFormat/>
    <w:rsid w:val="00B93E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ED5"/>
    <w:rPr>
      <w:i/>
      <w:iCs/>
      <w:color w:val="0F4761" w:themeColor="accent1" w:themeShade="BF"/>
    </w:rPr>
  </w:style>
  <w:style w:type="character" w:styleId="IntenseReference">
    <w:name w:val="Intense Reference"/>
    <w:basedOn w:val="DefaultParagraphFont"/>
    <w:uiPriority w:val="32"/>
    <w:qFormat/>
    <w:rsid w:val="00B93ED5"/>
    <w:rPr>
      <w:b/>
      <w:bCs/>
      <w:smallCaps/>
      <w:color w:val="0F4761" w:themeColor="accent1" w:themeShade="BF"/>
      <w:spacing w:val="5"/>
    </w:rPr>
  </w:style>
  <w:style w:type="character" w:styleId="Hyperlink">
    <w:name w:val="Hyperlink"/>
    <w:basedOn w:val="DefaultParagraphFont"/>
    <w:uiPriority w:val="99"/>
    <w:semiHidden/>
    <w:unhideWhenUsed/>
    <w:rsid w:val="00B93ED5"/>
    <w:rPr>
      <w:color w:val="467886" w:themeColor="hyperlink"/>
      <w:u w:val="single"/>
    </w:rPr>
  </w:style>
  <w:style w:type="character" w:customStyle="1" w:styleId="FootnoteTextChar">
    <w:name w:val="Footnote Text Char"/>
    <w:aliases w:val="Footnote Text Char Char Char1,Footnote Text Char Char Char Char Char Char Char Char Char,Footnote Text Char Char Char Char1,Footnote Text Char Char Char Char Char Char Char Char1,Footnote Text Char Char Char Char Char"/>
    <w:basedOn w:val="DefaultParagraphFont"/>
    <w:link w:val="FootnoteText"/>
    <w:uiPriority w:val="99"/>
    <w:semiHidden/>
    <w:locked/>
    <w:rsid w:val="00B93ED5"/>
    <w:rPr>
      <w:kern w:val="0"/>
      <w:sz w:val="20"/>
      <w:szCs w:val="20"/>
      <w14:ligatures w14:val="none"/>
    </w:rPr>
  </w:style>
  <w:style w:type="paragraph" w:styleId="FootnoteText">
    <w:name w:val="footnote text"/>
    <w:aliases w:val="Footnote Text Char Char,Footnote Text Char Char Char Char Char Char Char Char,Footnote Text Char Char Char,Footnote Text Char Char Char Char Char Char Char,Footnote Text Char Char Char Char,Footnote Text Char Char Char Char Char Char"/>
    <w:basedOn w:val="Normal"/>
    <w:link w:val="FootnoteTextChar"/>
    <w:uiPriority w:val="99"/>
    <w:semiHidden/>
    <w:unhideWhenUsed/>
    <w:rsid w:val="00B93ED5"/>
    <w:pPr>
      <w:spacing w:after="0" w:line="240" w:lineRule="auto"/>
    </w:pPr>
    <w:rPr>
      <w:kern w:val="0"/>
      <w:sz w:val="20"/>
      <w:szCs w:val="20"/>
      <w14:ligatures w14:val="none"/>
    </w:rPr>
  </w:style>
  <w:style w:type="character" w:customStyle="1" w:styleId="FootnoteTextChar1">
    <w:name w:val="Footnote Text Char1"/>
    <w:basedOn w:val="DefaultParagraphFont"/>
    <w:uiPriority w:val="99"/>
    <w:semiHidden/>
    <w:rsid w:val="00B93ED5"/>
    <w:rPr>
      <w:sz w:val="20"/>
      <w:szCs w:val="20"/>
    </w:rPr>
  </w:style>
  <w:style w:type="paragraph" w:styleId="PlainText">
    <w:name w:val="Plain Text"/>
    <w:basedOn w:val="Normal"/>
    <w:link w:val="PlainTextChar"/>
    <w:semiHidden/>
    <w:unhideWhenUsed/>
    <w:qFormat/>
    <w:rsid w:val="00B93ED5"/>
    <w:pPr>
      <w:spacing w:after="0" w:line="240" w:lineRule="auto"/>
    </w:pPr>
    <w:rPr>
      <w:rFonts w:ascii="Courier New" w:eastAsia="Times New Roman" w:hAnsi="Courier New" w:cs="Courier New"/>
      <w:kern w:val="0"/>
      <w:sz w:val="20"/>
      <w:szCs w:val="20"/>
      <w14:ligatures w14:val="none"/>
    </w:rPr>
  </w:style>
  <w:style w:type="character" w:customStyle="1" w:styleId="PlainTextChar">
    <w:name w:val="Plain Text Char"/>
    <w:basedOn w:val="DefaultParagraphFont"/>
    <w:link w:val="PlainText"/>
    <w:semiHidden/>
    <w:rsid w:val="00B93ED5"/>
    <w:rPr>
      <w:rFonts w:ascii="Courier New" w:eastAsia="Times New Roman" w:hAnsi="Courier New" w:cs="Courier New"/>
      <w:kern w:val="0"/>
      <w:sz w:val="20"/>
      <w:szCs w:val="20"/>
      <w14:ligatures w14:val="none"/>
    </w:rPr>
  </w:style>
  <w:style w:type="character" w:styleId="FootnoteReference">
    <w:name w:val="footnote reference"/>
    <w:basedOn w:val="DefaultParagraphFont"/>
    <w:uiPriority w:val="99"/>
    <w:semiHidden/>
    <w:unhideWhenUsed/>
    <w:qFormat/>
    <w:rsid w:val="00B93ED5"/>
    <w:rPr>
      <w:vertAlign w:val="superscript"/>
    </w:rPr>
  </w:style>
  <w:style w:type="character" w:customStyle="1" w:styleId="field">
    <w:name w:val="field"/>
    <w:basedOn w:val="DefaultParagraphFont"/>
    <w:rsid w:val="00B93ED5"/>
  </w:style>
  <w:style w:type="character" w:customStyle="1" w:styleId="product-banner-author-name">
    <w:name w:val="product-banner-author-name"/>
    <w:basedOn w:val="DefaultParagraphFont"/>
    <w:rsid w:val="00B93ED5"/>
  </w:style>
  <w:style w:type="character" w:customStyle="1" w:styleId="date-stamp">
    <w:name w:val="date-stamp"/>
    <w:basedOn w:val="DefaultParagraphFont"/>
    <w:rsid w:val="00B93ED5"/>
  </w:style>
  <w:style w:type="character" w:styleId="Strong">
    <w:name w:val="Strong"/>
    <w:basedOn w:val="DefaultParagraphFont"/>
    <w:uiPriority w:val="22"/>
    <w:qFormat/>
    <w:rsid w:val="00B93ED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7190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climatepromise.undp.org/news-and-stories/what-just-transition-and-why-it-important" TargetMode="External"/><Relationship Id="rId2" Type="http://schemas.openxmlformats.org/officeDocument/2006/relationships/hyperlink" Target="https://www.un.org/en/chronicle/article/radical-middle-building-bridges-between-muslim-and-western-worlds" TargetMode="External"/><Relationship Id="rId1" Type="http://schemas.openxmlformats.org/officeDocument/2006/relationships/hyperlink" Target="https://citizensassembly.co.uk/" TargetMode="External"/><Relationship Id="rId5" Type="http://schemas.openxmlformats.org/officeDocument/2006/relationships/hyperlink" Target="https://www.britannica.com/topic/social-justice" TargetMode="External"/><Relationship Id="rId4" Type="http://schemas.openxmlformats.org/officeDocument/2006/relationships/hyperlink" Target="https://www.chathamhouse.org/2024/01/european-farmers-protests-show-need-just-transition-net-ze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2109</Words>
  <Characters>12024</Characters>
  <Application>Microsoft Office Word</Application>
  <DocSecurity>0</DocSecurity>
  <Lines>100</Lines>
  <Paragraphs>28</Paragraphs>
  <ScaleCrop>false</ScaleCrop>
  <Company/>
  <LinksUpToDate>false</LinksUpToDate>
  <CharactersWithSpaces>14105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Campion</dc:creator>
  <cp:keywords/>
  <dc:description/>
  <cp:lastModifiedBy>Nicholas Campion</cp:lastModifiedBy>
  <cp:revision>1</cp:revision>
  <dcterms:created xsi:type="dcterms:W3CDTF">2024-03-06T00:05:00Z</dcterms:created>
  <dcterms:modified xsi:type="dcterms:W3CDTF">2024-03-06T00:07:00Z</dcterms:modified>
</cp:coreProperties>
</file>