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36"/>
          <w:szCs w:val="22"/>
        </w:rPr>
      </w:pPr>
      <w:bookmarkStart w:id="0" w:name="_Hlk30400754"/>
      <w:bookmarkEnd w:id="0"/>
      <w:r w:rsidRPr="007C1DCA">
        <w:rPr>
          <w:rFonts w:ascii="Times New Roman" w:hAnsi="Times New Roman" w:cs="Times New Roman"/>
          <w:noProof/>
          <w:color w:val="auto"/>
          <w:sz w:val="36"/>
          <w:szCs w:val="22"/>
          <w:lang w:eastAsia="en-GB"/>
        </w:rPr>
        <w:drawing>
          <wp:inline distT="0" distB="0" distL="0" distR="0" wp14:anchorId="5B53BCCD" wp14:editId="367EDED6">
            <wp:extent cx="4312899" cy="17165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048" cy="172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36"/>
          <w:szCs w:val="22"/>
        </w:rPr>
      </w:pP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36"/>
          <w:szCs w:val="22"/>
        </w:rPr>
      </w:pP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36"/>
          <w:szCs w:val="22"/>
        </w:rPr>
      </w:pP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36"/>
          <w:szCs w:val="22"/>
        </w:rPr>
      </w:pP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  <w:r w:rsidRPr="007C1DCA">
        <w:rPr>
          <w:rFonts w:ascii="Times New Roman" w:hAnsi="Times New Roman" w:cs="Times New Roman"/>
          <w:color w:val="auto"/>
          <w:sz w:val="40"/>
          <w:szCs w:val="22"/>
        </w:rPr>
        <w:t>University of Wales Trinity Saint David</w:t>
      </w: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  <w:r w:rsidRPr="007C1DCA">
        <w:rPr>
          <w:rFonts w:ascii="Times New Roman" w:hAnsi="Times New Roman" w:cs="Times New Roman"/>
          <w:color w:val="auto"/>
          <w:sz w:val="40"/>
          <w:szCs w:val="22"/>
        </w:rPr>
        <w:t>School of Engineering</w:t>
      </w:r>
    </w:p>
    <w:p w:rsidR="00A21BCB" w:rsidRPr="007C1DCA" w:rsidRDefault="00A21BCB" w:rsidP="00A21BCB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</w:p>
    <w:p w:rsidR="00FF1C97" w:rsidRDefault="00FF1C97" w:rsidP="00662032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40"/>
          <w:szCs w:val="22"/>
        </w:rPr>
      </w:pPr>
      <w:r w:rsidRPr="00FF1C97">
        <w:rPr>
          <w:rFonts w:ascii="Times New Roman" w:hAnsi="Times New Roman" w:cs="Times New Roman"/>
          <w:i/>
          <w:iCs/>
          <w:color w:val="auto"/>
          <w:sz w:val="40"/>
          <w:szCs w:val="22"/>
        </w:rPr>
        <w:t>Engine Cycle Simulation Report</w:t>
      </w:r>
    </w:p>
    <w:p w:rsidR="00662032" w:rsidRPr="00662032" w:rsidRDefault="00A21BCB" w:rsidP="00662032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40"/>
          <w:szCs w:val="22"/>
        </w:rPr>
      </w:pPr>
      <w:r w:rsidRPr="007C1DCA">
        <w:rPr>
          <w:rFonts w:ascii="Times New Roman" w:hAnsi="Times New Roman" w:cs="Times New Roman"/>
          <w:i/>
          <w:iCs/>
          <w:color w:val="auto"/>
          <w:sz w:val="40"/>
          <w:szCs w:val="22"/>
        </w:rPr>
        <w:t>Alexander Penny</w:t>
      </w:r>
    </w:p>
    <w:p w:rsidR="00662032" w:rsidRPr="007C1DCA" w:rsidRDefault="00662032" w:rsidP="00662032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  <w:r w:rsidRPr="007C1DCA">
        <w:rPr>
          <w:rFonts w:ascii="Times New Roman" w:hAnsi="Times New Roman" w:cs="Times New Roman"/>
          <w:i/>
          <w:iCs/>
          <w:color w:val="auto"/>
          <w:sz w:val="40"/>
          <w:szCs w:val="22"/>
        </w:rPr>
        <w:t>1706431</w:t>
      </w:r>
    </w:p>
    <w:p w:rsidR="00662032" w:rsidRPr="007C1DCA" w:rsidRDefault="00662032" w:rsidP="00662032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  <w:r w:rsidRPr="007C1DCA">
        <w:rPr>
          <w:rFonts w:ascii="Times New Roman" w:hAnsi="Times New Roman" w:cs="Times New Roman"/>
          <w:i/>
          <w:iCs/>
          <w:color w:val="auto"/>
          <w:sz w:val="40"/>
          <w:szCs w:val="22"/>
        </w:rPr>
        <w:t>Motorcycle Engineering</w:t>
      </w:r>
    </w:p>
    <w:p w:rsidR="00662032" w:rsidRPr="007C1DCA" w:rsidRDefault="00662032" w:rsidP="00662032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  <w:r>
        <w:rPr>
          <w:rFonts w:ascii="Times New Roman" w:hAnsi="Times New Roman" w:cs="Times New Roman"/>
          <w:i/>
          <w:iCs/>
          <w:color w:val="auto"/>
          <w:sz w:val="40"/>
          <w:szCs w:val="22"/>
        </w:rPr>
        <w:t>17/12</w:t>
      </w:r>
      <w:r w:rsidRPr="007C1DCA">
        <w:rPr>
          <w:rFonts w:ascii="Times New Roman" w:hAnsi="Times New Roman" w:cs="Times New Roman"/>
          <w:i/>
          <w:iCs/>
          <w:color w:val="auto"/>
          <w:sz w:val="40"/>
          <w:szCs w:val="22"/>
        </w:rPr>
        <w:t>/2018</w:t>
      </w:r>
    </w:p>
    <w:p w:rsidR="00662032" w:rsidRDefault="00FF1C97" w:rsidP="00A21BCB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40"/>
          <w:szCs w:val="22"/>
        </w:rPr>
      </w:pPr>
      <w:r w:rsidRPr="00FF1C97">
        <w:rPr>
          <w:rFonts w:ascii="Times New Roman" w:hAnsi="Times New Roman" w:cs="Times New Roman"/>
          <w:i/>
          <w:iCs/>
          <w:color w:val="auto"/>
          <w:sz w:val="40"/>
          <w:szCs w:val="22"/>
        </w:rPr>
        <w:t>M5X00404</w:t>
      </w:r>
    </w:p>
    <w:p w:rsidR="00662032" w:rsidRDefault="00662032">
      <w:pPr>
        <w:rPr>
          <w:rFonts w:ascii="Times New Roman" w:eastAsiaTheme="minorEastAsia" w:hAnsi="Times New Roman" w:cs="Times New Roman"/>
          <w:i/>
          <w:iCs/>
          <w:sz w:val="40"/>
        </w:rPr>
      </w:pPr>
      <w:r>
        <w:rPr>
          <w:rFonts w:ascii="Times New Roman" w:hAnsi="Times New Roman" w:cs="Times New Roman"/>
          <w:i/>
          <w:iCs/>
          <w:sz w:val="4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924248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662032" w:rsidRDefault="00662032">
          <w:pPr>
            <w:pStyle w:val="TOCHeading"/>
          </w:pPr>
          <w:r>
            <w:t>Contents</w:t>
          </w:r>
        </w:p>
        <w:p w:rsidR="00662032" w:rsidRDefault="0066203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2790159" w:history="1">
            <w:r w:rsidRPr="00F11FFB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_Toc532790159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0" w:history="1">
            <w:r w:rsidR="00662032" w:rsidRPr="00F11FFB">
              <w:rPr>
                <w:rStyle w:val="Hyperlink"/>
                <w:noProof/>
                <w:lang w:val="en-US"/>
              </w:rPr>
              <w:t>Wheels base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_Toc532790160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5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1" w:history="1">
            <w:r w:rsidR="00662032" w:rsidRPr="00F11FFB">
              <w:rPr>
                <w:rStyle w:val="Hyperlink"/>
                <w:noProof/>
                <w:lang w:val="en-US"/>
              </w:rPr>
              <w:t>Rake &amp; Trail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_Toc532790161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6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2" w:history="1">
            <w:r w:rsidR="00662032" w:rsidRPr="00F11FFB">
              <w:rPr>
                <w:rStyle w:val="Hyperlink"/>
                <w:noProof/>
                <w:lang w:val="en-US"/>
              </w:rPr>
              <w:t>Centre of Gravity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_Toc532790162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7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3" w:history="1">
            <w:r w:rsidR="00662032" w:rsidRPr="00F11FFB">
              <w:rPr>
                <w:rStyle w:val="Hyperlink"/>
                <w:noProof/>
              </w:rPr>
              <w:t>Gearing and top speed calculations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_Toc532790163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8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4" w:history="1">
            <w:r w:rsidR="00662032" w:rsidRPr="00F11FFB">
              <w:rPr>
                <w:rStyle w:val="Hyperlink"/>
                <w:noProof/>
              </w:rPr>
              <w:t>Ducati Panigalle 1199s Geometry analysis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_Toc532790164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10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5" w:history="1">
            <w:r w:rsidR="00662032" w:rsidRPr="00F11FFB">
              <w:rPr>
                <w:rStyle w:val="Hyperlink"/>
                <w:noProof/>
              </w:rPr>
              <w:t>Aprilia RS250 Geometry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_Toc532790165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12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6" w:history="1">
            <w:r w:rsidR="00662032" w:rsidRPr="00F11FFB">
              <w:rPr>
                <w:rStyle w:val="Hyperlink"/>
                <w:noProof/>
              </w:rPr>
              <w:t>BMW S1000RR 2019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_Toc532790166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14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0264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32790167" w:history="1">
            <w:r w:rsidR="00662032" w:rsidRPr="00F11FFB">
              <w:rPr>
                <w:rStyle w:val="Hyperlink"/>
                <w:noProof/>
              </w:rPr>
              <w:t>Triumph Street Triple 765RS 2018</w:t>
            </w:r>
            <w:r w:rsidR="00662032">
              <w:rPr>
                <w:noProof/>
                <w:webHidden/>
              </w:rPr>
              <w:tab/>
            </w:r>
            <w:r w:rsidR="00662032">
              <w:rPr>
                <w:noProof/>
                <w:webHidden/>
              </w:rPr>
              <w:fldChar w:fldCharType="begin"/>
            </w:r>
            <w:r w:rsidR="00662032">
              <w:rPr>
                <w:noProof/>
                <w:webHidden/>
              </w:rPr>
              <w:instrText xml:space="preserve"> PAGEREF _Toc532790167 \h </w:instrText>
            </w:r>
            <w:r w:rsidR="00662032">
              <w:rPr>
                <w:noProof/>
                <w:webHidden/>
              </w:rPr>
            </w:r>
            <w:r w:rsidR="00662032">
              <w:rPr>
                <w:noProof/>
                <w:webHidden/>
              </w:rPr>
              <w:fldChar w:fldCharType="separate"/>
            </w:r>
            <w:r w:rsidR="00662032">
              <w:rPr>
                <w:noProof/>
                <w:webHidden/>
              </w:rPr>
              <w:t>16</w:t>
            </w:r>
            <w:r w:rsidR="00662032">
              <w:rPr>
                <w:noProof/>
                <w:webHidden/>
              </w:rPr>
              <w:fldChar w:fldCharType="end"/>
            </w:r>
          </w:hyperlink>
        </w:p>
        <w:p w:rsidR="00662032" w:rsidRDefault="00662032">
          <w:r>
            <w:rPr>
              <w:b/>
              <w:bCs/>
              <w:noProof/>
            </w:rPr>
            <w:fldChar w:fldCharType="end"/>
          </w:r>
        </w:p>
      </w:sdtContent>
    </w:sdt>
    <w:p w:rsidR="00662032" w:rsidRDefault="00662032" w:rsidP="00A21BCB">
      <w:pPr>
        <w:pStyle w:val="Default"/>
        <w:jc w:val="center"/>
        <w:rPr>
          <w:rFonts w:ascii="Times New Roman" w:hAnsi="Times New Roman" w:cs="Times New Roman"/>
          <w:color w:val="auto"/>
          <w:sz w:val="40"/>
          <w:szCs w:val="22"/>
        </w:rPr>
      </w:pPr>
    </w:p>
    <w:p w:rsidR="00A21BCB" w:rsidRPr="00662032" w:rsidRDefault="00662032" w:rsidP="00972F44">
      <w:pPr>
        <w:rPr>
          <w:rFonts w:ascii="Times New Roman" w:eastAsiaTheme="minorEastAsia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br w:type="page"/>
      </w:r>
    </w:p>
    <w:p w:rsidR="007B7446" w:rsidRPr="00662032" w:rsidRDefault="00972F44" w:rsidP="00662032">
      <w:pPr>
        <w:pStyle w:val="Heading1"/>
        <w:rPr>
          <w:sz w:val="28"/>
          <w:lang w:val="en-US"/>
        </w:rPr>
      </w:pPr>
      <w:bookmarkStart w:id="1" w:name="_Toc532790159"/>
      <w:r>
        <w:rPr>
          <w:lang w:val="en-US"/>
        </w:rPr>
        <w:lastRenderedPageBreak/>
        <w:t>Introduction</w:t>
      </w:r>
      <w:bookmarkEnd w:id="1"/>
    </w:p>
    <w:p w:rsidR="007B7446" w:rsidRPr="00DA1D8D" w:rsidRDefault="00A840C1" w:rsidP="00F71817">
      <w:pPr>
        <w:rPr>
          <w:color w:val="000000" w:themeColor="text1"/>
          <w:sz w:val="28"/>
          <w:lang w:val="en-US"/>
        </w:rPr>
      </w:pPr>
      <w:r w:rsidRPr="00DA1D8D">
        <w:rPr>
          <w:color w:val="000000" w:themeColor="text1"/>
          <w:sz w:val="28"/>
          <w:lang w:val="en-US"/>
        </w:rPr>
        <w:t xml:space="preserve">We have been tasked with analyzing performance data from a Ford Sigma 1.6L petrol engine. Armed with this information </w:t>
      </w:r>
      <w:r w:rsidRPr="00DA1D8D">
        <w:rPr>
          <w:color w:val="000000" w:themeColor="text1"/>
          <w:sz w:val="28"/>
          <w:u w:val="single"/>
          <w:lang w:val="en-US"/>
        </w:rPr>
        <w:t xml:space="preserve">we then were to </w:t>
      </w:r>
      <w:r w:rsidRPr="00DA1D8D">
        <w:rPr>
          <w:color w:val="000000" w:themeColor="text1"/>
          <w:sz w:val="28"/>
          <w:lang w:val="en-US"/>
        </w:rPr>
        <w:t xml:space="preserve">build a simulation capable of predicting thermodynamic characteristics of an engine cycle. Comparing the results of the simulations allowed </w:t>
      </w:r>
      <w:r w:rsidR="00DA1D8D" w:rsidRPr="00DA1D8D">
        <w:rPr>
          <w:color w:val="000000" w:themeColor="text1"/>
          <w:sz w:val="28"/>
          <w:lang w:val="en-US"/>
        </w:rPr>
        <w:t xml:space="preserve">for study of there accuracy and limitations. This task was divided into two stages. Task 1 Annalise the internal parameters of the engine detailed in the data provided. Task 2 Using the geometry of a real engine and first principals create an engine simulation and test the simulation against the information gathered in Task 1.  </w:t>
      </w:r>
    </w:p>
    <w:p w:rsidR="00641A8E" w:rsidRDefault="00641A8E" w:rsidP="00F71817">
      <w:pPr>
        <w:rPr>
          <w:color w:val="FF0000"/>
          <w:sz w:val="28"/>
          <w:lang w:val="en-US"/>
        </w:rPr>
      </w:pPr>
      <w:r>
        <w:rPr>
          <w:color w:val="FF0000"/>
          <w:sz w:val="28"/>
          <w:lang w:val="en-US"/>
        </w:rPr>
        <w:br w:type="page"/>
      </w:r>
    </w:p>
    <w:p w:rsidR="00972F44" w:rsidRDefault="00DA1D8D" w:rsidP="00972F44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Task 1 </w:t>
      </w:r>
    </w:p>
    <w:p w:rsidR="00DA1D8D" w:rsidRDefault="00DA1D8D" w:rsidP="00DA1D8D">
      <w:pPr>
        <w:rPr>
          <w:lang w:val="en-US"/>
        </w:rPr>
      </w:pPr>
      <w:r>
        <w:rPr>
          <w:lang w:val="en-US"/>
        </w:rPr>
        <w:t xml:space="preserve">The key information provided for the Ford Sigma engine </w:t>
      </w:r>
      <w:r w:rsidR="006B0221">
        <w:rPr>
          <w:lang w:val="en-US"/>
        </w:rPr>
        <w:t xml:space="preserve">in the data was; </w:t>
      </w:r>
    </w:p>
    <w:p w:rsidR="006B0221" w:rsidRDefault="006B0221" w:rsidP="006B022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Cylinder dimensions</w:t>
      </w:r>
    </w:p>
    <w:p w:rsidR="006B0221" w:rsidRDefault="006B0221" w:rsidP="006B022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Cylinder Pressures</w:t>
      </w:r>
    </w:p>
    <w:p w:rsidR="006B0221" w:rsidRDefault="006B0221" w:rsidP="006B022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Volumes at each degree of crank angle</w:t>
      </w:r>
    </w:p>
    <w:p w:rsidR="006B0221" w:rsidRDefault="006B0221" w:rsidP="006B022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Each reading was repeated every 500rpm for a cycle, covering 1000rpm to 6500rpm</w:t>
      </w:r>
    </w:p>
    <w:p w:rsidR="006B0221" w:rsidRDefault="006B0221" w:rsidP="006B0221">
      <w:pPr>
        <w:ind w:left="360"/>
        <w:rPr>
          <w:lang w:val="en-US"/>
        </w:rPr>
      </w:pPr>
      <w:r>
        <w:rPr>
          <w:lang w:val="en-US"/>
        </w:rPr>
        <w:t xml:space="preserve">Analysis was focused on 1000, 3500 and 6000 rpm as an even spread covering the majority of the range would provide the most valuable comparisons.  </w:t>
      </w:r>
    </w:p>
    <w:p w:rsidR="00E12007" w:rsidRDefault="00E12007" w:rsidP="00E12007">
      <w:pPr>
        <w:pStyle w:val="Heading2"/>
        <w:rPr>
          <w:lang w:val="en-US"/>
        </w:rPr>
      </w:pPr>
      <w:r>
        <w:rPr>
          <w:lang w:val="en-US"/>
        </w:rPr>
        <w:t>Volume</w:t>
      </w:r>
    </w:p>
    <w:p w:rsidR="00E12007" w:rsidRDefault="00E12007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912865D">
            <wp:extent cx="4019550" cy="24581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584" cy="2464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2007" w:rsidRPr="00E12007" w:rsidRDefault="00E12007" w:rsidP="00E12007">
      <w:pPr>
        <w:pStyle w:val="NoSpacing"/>
        <w:rPr>
          <w:lang w:val="en-US"/>
        </w:rPr>
      </w:pPr>
      <w:r>
        <w:rPr>
          <w:lang w:val="en-US"/>
        </w:rPr>
        <w:t xml:space="preserve">Figure 1 </w:t>
      </w:r>
    </w:p>
    <w:p w:rsidR="006B0221" w:rsidRDefault="006B0221" w:rsidP="006336B9">
      <w:pPr>
        <w:ind w:left="360"/>
        <w:jc w:val="both"/>
        <w:rPr>
          <w:lang w:val="en-US"/>
        </w:rPr>
      </w:pPr>
      <w:r>
        <w:rPr>
          <w:lang w:val="en-US"/>
        </w:rPr>
        <w:t>Comparing Volume and Cylinder pressure</w:t>
      </w:r>
      <w:r w:rsidR="00E12007">
        <w:rPr>
          <w:lang w:val="en-US"/>
        </w:rPr>
        <w:t xml:space="preserve"> as the engine moved through its cycle</w:t>
      </w:r>
      <w:r>
        <w:rPr>
          <w:lang w:val="en-US"/>
        </w:rPr>
        <w:t xml:space="preserve"> can produce a lot of insights into the inner workings of an engine. </w:t>
      </w:r>
      <w:r w:rsidR="006336B9">
        <w:rPr>
          <w:lang w:val="en-US"/>
        </w:rPr>
        <w:t xml:space="preserve">Looking at TDC the volume has not been compressed completely there is a clearance volume of approximately 39 cc. </w:t>
      </w:r>
    </w:p>
    <w:p w:rsidR="00E12007" w:rsidRDefault="00E12007" w:rsidP="00E12007">
      <w:pPr>
        <w:ind w:left="36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7A5E6AF">
            <wp:extent cx="3831379" cy="2400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007" cy="2408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2007" w:rsidRDefault="00E12007" w:rsidP="00E12007">
      <w:pPr>
        <w:rPr>
          <w:lang w:val="en-US"/>
        </w:rPr>
      </w:pPr>
      <w:r>
        <w:rPr>
          <w:lang w:val="en-US"/>
        </w:rPr>
        <w:t xml:space="preserve">Figure 2 </w:t>
      </w:r>
    </w:p>
    <w:p w:rsidR="00E12007" w:rsidRDefault="00E12007" w:rsidP="00E12007">
      <w:pPr>
        <w:rPr>
          <w:lang w:val="en-US"/>
        </w:rPr>
      </w:pPr>
      <w:r>
        <w:rPr>
          <w:lang w:val="en-US"/>
        </w:rPr>
        <w:tab/>
        <w:t xml:space="preserve">Looking at the previous two figures we can see that the pressure only </w:t>
      </w:r>
      <w:r w:rsidR="006336B9">
        <w:rPr>
          <w:lang w:val="en-US"/>
        </w:rPr>
        <w:t>rises</w:t>
      </w:r>
      <w:r>
        <w:rPr>
          <w:lang w:val="en-US"/>
        </w:rPr>
        <w:t xml:space="preserve"> and fall</w:t>
      </w:r>
      <w:r w:rsidR="006336B9">
        <w:rPr>
          <w:lang w:val="en-US"/>
        </w:rPr>
        <w:t>s</w:t>
      </w:r>
      <w:r>
        <w:rPr>
          <w:lang w:val="en-US"/>
        </w:rPr>
        <w:t xml:space="preserve"> once in 720</w:t>
      </w:r>
      <w:r w:rsidRPr="00E12007">
        <w:rPr>
          <w:lang w:val="en-US"/>
        </w:rPr>
        <w:t>°</w:t>
      </w:r>
      <w:r>
        <w:rPr>
          <w:lang w:val="en-US"/>
        </w:rPr>
        <w:t xml:space="preserve"> of engine rotation. Figure 1 depicts </w:t>
      </w:r>
      <w:r w:rsidR="00F40573">
        <w:rPr>
          <w:lang w:val="en-US"/>
        </w:rPr>
        <w:t>the increase in volume occurring as the piston completes 4 strokes in 720</w:t>
      </w:r>
      <w:r w:rsidR="00F40573" w:rsidRPr="00F40573">
        <w:rPr>
          <w:lang w:val="en-US"/>
        </w:rPr>
        <w:t>°</w:t>
      </w:r>
      <w:r w:rsidR="00F40573">
        <w:rPr>
          <w:lang w:val="en-US"/>
        </w:rPr>
        <w:t>.</w:t>
      </w:r>
    </w:p>
    <w:p w:rsidR="00F40573" w:rsidRDefault="00F40573" w:rsidP="00E1200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1DADF81">
            <wp:extent cx="4450715" cy="362712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573" w:rsidRDefault="00F40573" w:rsidP="00E12007">
      <w:pPr>
        <w:rPr>
          <w:lang w:val="en-US"/>
        </w:rPr>
      </w:pPr>
      <w:r>
        <w:rPr>
          <w:lang w:val="en-US"/>
        </w:rPr>
        <w:t>Figure 3</w:t>
      </w:r>
    </w:p>
    <w:p w:rsidR="00F40573" w:rsidRDefault="00F40573" w:rsidP="00E12007">
      <w:pPr>
        <w:rPr>
          <w:lang w:val="en-US"/>
        </w:rPr>
      </w:pPr>
      <w:r>
        <w:rPr>
          <w:lang w:val="en-US"/>
        </w:rPr>
        <w:t>Comparing pressure and volume we can see the Otto cycle taking place</w:t>
      </w:r>
    </w:p>
    <w:p w:rsidR="00F40573" w:rsidRDefault="00F40573" w:rsidP="00E12007">
      <w:pPr>
        <w:rPr>
          <w:lang w:val="en-US"/>
        </w:rPr>
      </w:pPr>
      <w:r>
        <w:rPr>
          <w:noProof/>
        </w:rPr>
        <w:drawing>
          <wp:inline distT="0" distB="0" distL="0" distR="0">
            <wp:extent cx="4342934" cy="3248025"/>
            <wp:effectExtent l="0" t="0" r="635" b="0"/>
            <wp:docPr id="10" name="Picture 10" descr="Computer drawing of Otto cycle with p-V plo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omputer drawing of Otto cycle with p-V plo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681" cy="326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573" w:rsidRDefault="00F40573" w:rsidP="00E12007">
      <w:pPr>
        <w:rPr>
          <w:lang w:val="en-US"/>
        </w:rPr>
      </w:pPr>
      <w:r>
        <w:rPr>
          <w:lang w:val="en-US"/>
        </w:rPr>
        <w:t xml:space="preserve">Figure 4 </w:t>
      </w:r>
    </w:p>
    <w:p w:rsidR="00933D8C" w:rsidRDefault="00933D8C" w:rsidP="00E12007">
      <w:pPr>
        <w:rPr>
          <w:lang w:val="en-US"/>
        </w:rPr>
      </w:pPr>
      <w:r>
        <w:rPr>
          <w:lang w:val="en-US"/>
        </w:rPr>
        <w:t>The heat rejection stage is much less significant in the pressure volume comparison performed and illustrated in figure 3</w:t>
      </w:r>
      <w:r w:rsidR="001851C0">
        <w:rPr>
          <w:lang w:val="en-US"/>
        </w:rPr>
        <w:t>.</w:t>
      </w:r>
    </w:p>
    <w:p w:rsidR="001851C0" w:rsidRDefault="001851C0" w:rsidP="00E12007">
      <w:pPr>
        <w:rPr>
          <w:lang w:val="en-US"/>
        </w:rPr>
      </w:pPr>
    </w:p>
    <w:p w:rsidR="00F40573" w:rsidRDefault="006336B9" w:rsidP="00E1200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C38321E">
            <wp:extent cx="2846730" cy="2800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618" cy="280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36B9" w:rsidRDefault="006336B9" w:rsidP="00E12007">
      <w:pPr>
        <w:rPr>
          <w:lang w:val="en-US"/>
        </w:rPr>
      </w:pPr>
      <w:r>
        <w:rPr>
          <w:lang w:val="en-US"/>
        </w:rPr>
        <w:t>Figure 5</w:t>
      </w:r>
    </w:p>
    <w:p w:rsidR="00215627" w:rsidRDefault="00215627" w:rsidP="00215627">
      <w:pPr>
        <w:pStyle w:val="Heading2"/>
        <w:rPr>
          <w:lang w:val="en-US"/>
        </w:rPr>
      </w:pPr>
      <w:r>
        <w:rPr>
          <w:lang w:val="en-US"/>
        </w:rPr>
        <w:t>Poly tropic index</w:t>
      </w:r>
    </w:p>
    <w:p w:rsidR="00215627" w:rsidRDefault="00215627" w:rsidP="00215627">
      <w:pPr>
        <w:rPr>
          <w:lang w:val="en-US"/>
        </w:rPr>
      </w:pPr>
      <w:r>
        <w:rPr>
          <w:lang w:val="en-US"/>
        </w:rPr>
        <w:t xml:space="preserve">Identifying the polytropic index is fundamental for any analysis of gas behavior. The individual polytropic can be found using the following knowledge. </w:t>
      </w:r>
    </w:p>
    <w:p w:rsidR="00215627" w:rsidRPr="00215627" w:rsidRDefault="00215627" w:rsidP="00215627">
      <w:pPr>
        <w:rPr>
          <w:rFonts w:eastAsiaTheme="minorEastAsia"/>
        </w:rPr>
      </w:pPr>
      <m:oMathPara>
        <m:oMath>
          <m:r>
            <w:rPr>
              <w:rFonts w:ascii="Cambria Math" w:hAnsi="Cambria Math" w:cstheme="minorHAnsi"/>
            </w:rPr>
            <m:t>P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V</m:t>
              </m:r>
            </m:e>
            <m:sup>
              <m:r>
                <w:rPr>
                  <w:rFonts w:ascii="Cambria Math" w:hAnsi="Cambria Math" w:cstheme="minorHAnsi"/>
                </w:rPr>
                <m:t>n</m:t>
              </m:r>
            </m:sup>
          </m:sSup>
          <m:r>
            <w:rPr>
              <w:rFonts w:ascii="Cambria Math" w:hAnsi="Cambria Math" w:cstheme="minorHAnsi"/>
            </w:rPr>
            <m:t>=constant</m:t>
          </m:r>
        </m:oMath>
      </m:oMathPara>
    </w:p>
    <w:p w:rsidR="00215627" w:rsidRDefault="00215627" w:rsidP="00215627">
      <w:pPr>
        <w:rPr>
          <w:lang w:val="en-US"/>
        </w:rPr>
      </w:pPr>
      <w:r>
        <w:rPr>
          <w:lang w:val="en-US"/>
        </w:rPr>
        <w:t>Comparing p</w:t>
      </w:r>
      <w:proofErr w:type="gramStart"/>
      <w:r>
        <w:rPr>
          <w:lang w:val="en-US"/>
        </w:rPr>
        <w:t>1,v</w:t>
      </w:r>
      <w:proofErr w:type="gramEnd"/>
      <w:r>
        <w:rPr>
          <w:lang w:val="en-US"/>
        </w:rPr>
        <w:t>1 and p1,p2 the polytropic index for the reaction can be calculated.</w:t>
      </w:r>
    </w:p>
    <w:p w:rsidR="00215627" w:rsidRPr="00215627" w:rsidRDefault="00215627" w:rsidP="00215627">
      <w:pPr>
        <w:rPr>
          <w:lang w:val="en-US"/>
        </w:rPr>
      </w:pPr>
      <m:oMathPara>
        <m:oMath>
          <m:r>
            <w:rPr>
              <w:rFonts w:ascii="Cambria Math" w:hAnsi="Cambria Math" w:cs="Cambria Math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lang w:val="en-US"/>
                </w:rPr>
                <m:t>Log(</m:t>
              </m:r>
              <m:f>
                <m:fPr>
                  <m:ctrlPr>
                    <w:rPr>
                      <w:rFonts w:ascii="Cambria Math" w:hAnsi="Cambria Math" w:cs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  <w:lang w:val="en-US"/>
                    </w:rPr>
                    <m:t>P1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  <w:lang w:val="en-US"/>
                    </w:rPr>
                    <m:t>P2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Cambria Math"/>
                  <w:lang w:val="en-US"/>
                </w:rPr>
                <m:t>)</m:t>
              </m:r>
            </m:num>
            <m:den>
              <m:r>
                <w:rPr>
                  <w:rFonts w:ascii="Cambria Math" w:hAnsi="Cambria Math"/>
                  <w:lang w:val="en-US"/>
                </w:rPr>
                <m:t>Log(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V2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V1</m:t>
                  </m:r>
                </m:den>
              </m:f>
              <m:r>
                <w:rPr>
                  <w:rFonts w:ascii="Cambria Math" w:hAnsi="Cambria Math"/>
                  <w:lang w:val="en-US"/>
                </w:rPr>
                <m:t>)</m:t>
              </m:r>
            </m:den>
          </m:f>
        </m:oMath>
      </m:oMathPara>
    </w:p>
    <w:p w:rsidR="00215627" w:rsidRDefault="00215627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DA8D085" wp14:editId="305465CB">
            <wp:extent cx="5368372" cy="2733675"/>
            <wp:effectExtent l="0" t="0" r="381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240" cy="27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5627" w:rsidRDefault="00215627" w:rsidP="00215627">
      <w:pPr>
        <w:rPr>
          <w:lang w:val="en-US"/>
        </w:rPr>
      </w:pPr>
      <w:r>
        <w:rPr>
          <w:lang w:val="en-US"/>
        </w:rPr>
        <w:t xml:space="preserve">Figure 6 </w:t>
      </w:r>
    </w:p>
    <w:p w:rsidR="00215627" w:rsidRDefault="00215627" w:rsidP="00E12007">
      <w:pPr>
        <w:rPr>
          <w:lang w:val="en-US"/>
        </w:rPr>
      </w:pPr>
      <w:r>
        <w:rPr>
          <w:lang w:val="en-US"/>
        </w:rPr>
        <w:t xml:space="preserve">Figure 6 shows the polytropic index changing with crank angle. </w:t>
      </w:r>
    </w:p>
    <w:p w:rsidR="002F1CCF" w:rsidRDefault="002F1CCF" w:rsidP="00E12007">
      <w:pPr>
        <w:rPr>
          <w:lang w:val="en-US"/>
        </w:rPr>
      </w:pPr>
    </w:p>
    <w:p w:rsidR="002F1CCF" w:rsidRDefault="002F1CCF" w:rsidP="00E12007">
      <w:pPr>
        <w:rPr>
          <w:lang w:val="en-US"/>
        </w:rPr>
      </w:pPr>
      <w:r>
        <w:rPr>
          <w:lang w:val="en-US"/>
        </w:rPr>
        <w:lastRenderedPageBreak/>
        <w:t xml:space="preserve">A more useable value for the polytropic index can be found graphing Log (Pressure) and Log (Volume) and taking a gradient of the Compression and Expansion phases </w:t>
      </w:r>
    </w:p>
    <w:p w:rsidR="001851C0" w:rsidRDefault="006336B9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FF91E54">
            <wp:extent cx="3286125" cy="330346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776" cy="3329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51C0" w:rsidRDefault="001851C0" w:rsidP="00E12007">
      <w:pPr>
        <w:rPr>
          <w:lang w:val="en-US"/>
        </w:rPr>
      </w:pPr>
      <w:r>
        <w:rPr>
          <w:lang w:val="en-US"/>
        </w:rPr>
        <w:t>Figure 7</w:t>
      </w:r>
    </w:p>
    <w:p w:rsidR="002F1CCF" w:rsidRDefault="002F1CCF" w:rsidP="00E12007">
      <w:pPr>
        <w:rPr>
          <w:lang w:val="en-US"/>
        </w:rPr>
      </w:pPr>
      <w:r>
        <w:rPr>
          <w:lang w:val="en-US"/>
        </w:rPr>
        <w:t>Using the polytropic values found the pressures can be simulated in task 2</w:t>
      </w:r>
    </w:p>
    <w:p w:rsidR="008C388F" w:rsidRDefault="002F1CCF" w:rsidP="00E12007">
      <w:pPr>
        <w:rPr>
          <w:lang w:val="en-US"/>
        </w:rPr>
      </w:pPr>
      <w:r>
        <w:rPr>
          <w:lang w:val="en-US"/>
        </w:rPr>
        <w:t xml:space="preserve">To calculate pressures without combustion the polytropic index found in figure 7 </w:t>
      </w:r>
      <w:r w:rsidR="008C388F">
        <w:rPr>
          <w:lang w:val="en-US"/>
        </w:rPr>
        <w:t xml:space="preserve">was used. They were then compared to the recorded values. </w:t>
      </w:r>
    </w:p>
    <w:p w:rsidR="002F1CCF" w:rsidRDefault="002F1CCF" w:rsidP="00E12007">
      <w:pPr>
        <w:rPr>
          <w:lang w:val="en-US"/>
        </w:rPr>
      </w:pPr>
      <w:r>
        <w:rPr>
          <w:lang w:val="en-US"/>
        </w:rPr>
        <w:t xml:space="preserve"> </w:t>
      </w:r>
      <w:r w:rsidR="008C388F">
        <w:rPr>
          <w:noProof/>
          <w:lang w:val="en-US"/>
        </w:rPr>
        <w:drawing>
          <wp:inline distT="0" distB="0" distL="0" distR="0" wp14:anchorId="6A2E4690">
            <wp:extent cx="4615180" cy="27127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180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388F" w:rsidRDefault="008C388F" w:rsidP="00E12007">
      <w:pPr>
        <w:rPr>
          <w:lang w:val="en-US"/>
        </w:rPr>
      </w:pPr>
      <w:r>
        <w:rPr>
          <w:lang w:val="en-US"/>
        </w:rPr>
        <w:t xml:space="preserve">Figure 8 </w:t>
      </w:r>
    </w:p>
    <w:p w:rsidR="008C388F" w:rsidRDefault="008C388F" w:rsidP="00E12007">
      <w:pPr>
        <w:rPr>
          <w:lang w:val="en-US"/>
        </w:rPr>
      </w:pPr>
      <w:r>
        <w:rPr>
          <w:lang w:val="en-US"/>
        </w:rPr>
        <w:t xml:space="preserve">This comparison was helpful for identifying </w:t>
      </w:r>
      <w:r w:rsidR="00E05499">
        <w:rPr>
          <w:lang w:val="en-US"/>
        </w:rPr>
        <w:t xml:space="preserve">the </w:t>
      </w:r>
      <w:r>
        <w:rPr>
          <w:lang w:val="en-US"/>
        </w:rPr>
        <w:t>degree at which ignition starts</w:t>
      </w:r>
    </w:p>
    <w:p w:rsidR="00E05499" w:rsidRDefault="00E05499">
      <w:pPr>
        <w:rPr>
          <w:lang w:val="en-US"/>
        </w:rPr>
      </w:pPr>
      <w:r>
        <w:rPr>
          <w:lang w:val="en-US"/>
        </w:rPr>
        <w:br w:type="page"/>
      </w:r>
    </w:p>
    <w:p w:rsidR="00E05499" w:rsidRDefault="00E05499" w:rsidP="00E05499">
      <w:pPr>
        <w:pStyle w:val="Heading2"/>
        <w:rPr>
          <w:lang w:val="en-US"/>
        </w:rPr>
      </w:pPr>
      <w:r>
        <w:rPr>
          <w:lang w:val="en-US"/>
        </w:rPr>
        <w:lastRenderedPageBreak/>
        <w:t>Work done</w:t>
      </w:r>
    </w:p>
    <w:p w:rsidR="00E05499" w:rsidRPr="00E05499" w:rsidRDefault="00E05499" w:rsidP="00E05499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Wd</m:t>
          </m:r>
          <m:r>
            <w:rPr>
              <w:rFonts w:ascii="Cambria Math" w:hAnsi="Cambria Math"/>
              <w:lang w:val="en-US"/>
            </w:rPr>
            <m:t>=</m:t>
          </m:r>
          <m:r>
            <w:rPr>
              <w:rFonts w:ascii="Cambria Math" w:hAnsi="Cambria Math"/>
              <w:lang w:val="en-US"/>
            </w:rPr>
            <m:t>P×∆V</m:t>
          </m:r>
        </m:oMath>
      </m:oMathPara>
    </w:p>
    <w:p w:rsidR="00E05499" w:rsidRPr="00E05499" w:rsidRDefault="00E05499" w:rsidP="00E0549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F60B63A">
            <wp:extent cx="3804285" cy="2231390"/>
            <wp:effectExtent l="0" t="0" r="571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5499" w:rsidRDefault="00E05499" w:rsidP="00E05499">
      <w:pPr>
        <w:pStyle w:val="Heading2"/>
        <w:rPr>
          <w:lang w:val="en-US"/>
        </w:rPr>
      </w:pPr>
      <w:r>
        <w:rPr>
          <w:lang w:val="en-US"/>
        </w:rPr>
        <w:t>Mass Fraction Burned</w:t>
      </w:r>
    </w:p>
    <w:p w:rsidR="00E05499" w:rsidRDefault="00E05499" w:rsidP="00E12007">
      <w:pPr>
        <w:rPr>
          <w:lang w:val="en-US"/>
        </w:rPr>
      </w:pPr>
    </w:p>
    <w:p w:rsidR="00E05499" w:rsidRDefault="00E05499" w:rsidP="00E12007">
      <w:pPr>
        <w:rPr>
          <w:lang w:val="en-US"/>
        </w:rPr>
      </w:pPr>
      <w:r>
        <w:rPr>
          <w:lang w:val="en-US"/>
        </w:rPr>
        <w:t xml:space="preserve">MFB </w:t>
      </w:r>
    </w:p>
    <w:p w:rsidR="00E05499" w:rsidRDefault="00E05499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E7CD964">
            <wp:extent cx="4725035" cy="3523615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5499" w:rsidRDefault="00E05499" w:rsidP="00E1200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270545B">
            <wp:extent cx="4712335" cy="269494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269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64E4" w:rsidRDefault="000264E4" w:rsidP="00E12007">
      <w:pPr>
        <w:rPr>
          <w:lang w:val="en-US"/>
        </w:rPr>
      </w:pPr>
    </w:p>
    <w:p w:rsidR="000264E4" w:rsidRDefault="000264E4" w:rsidP="00E12007">
      <w:pPr>
        <w:rPr>
          <w:lang w:val="en-US"/>
        </w:rPr>
      </w:pPr>
    </w:p>
    <w:p w:rsidR="000264E4" w:rsidRDefault="000264E4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AFE8DB7">
            <wp:extent cx="5815965" cy="3237230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64E4" w:rsidRDefault="000264E4" w:rsidP="00E1200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36ACEB5">
            <wp:extent cx="6352540" cy="4620895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540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64E4" w:rsidRDefault="000264E4" w:rsidP="00E12007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76CA436">
            <wp:extent cx="5194300" cy="4231005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423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64E4" w:rsidRDefault="000264E4" w:rsidP="00E12007">
      <w:pPr>
        <w:rPr>
          <w:lang w:val="en-US"/>
        </w:rPr>
      </w:pPr>
      <w:r>
        <w:rPr>
          <w:lang w:val="en-US"/>
        </w:rPr>
        <w:t>Task 2</w:t>
      </w:r>
    </w:p>
    <w:p w:rsidR="000264E4" w:rsidRDefault="000264E4" w:rsidP="00E1200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D24FE49">
            <wp:extent cx="6541770" cy="42310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423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64E4" w:rsidRPr="006B0221" w:rsidRDefault="000264E4" w:rsidP="00E12007">
      <w:pPr>
        <w:rPr>
          <w:lang w:val="en-US"/>
        </w:rPr>
      </w:pPr>
      <w:bookmarkStart w:id="2" w:name="_GoBack"/>
      <w:bookmarkEnd w:id="2"/>
    </w:p>
    <w:sectPr w:rsidR="000264E4" w:rsidRPr="006B0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684E06"/>
    <w:multiLevelType w:val="hybridMultilevel"/>
    <w:tmpl w:val="078A7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06DA4"/>
    <w:multiLevelType w:val="hybridMultilevel"/>
    <w:tmpl w:val="AD368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A7E"/>
    <w:rsid w:val="000264E4"/>
    <w:rsid w:val="00083B3A"/>
    <w:rsid w:val="00104E48"/>
    <w:rsid w:val="001851C0"/>
    <w:rsid w:val="001B0CE4"/>
    <w:rsid w:val="001E11E7"/>
    <w:rsid w:val="001F5812"/>
    <w:rsid w:val="002051C7"/>
    <w:rsid w:val="00215627"/>
    <w:rsid w:val="00227021"/>
    <w:rsid w:val="00255F8C"/>
    <w:rsid w:val="00256CCD"/>
    <w:rsid w:val="00291891"/>
    <w:rsid w:val="002D23D9"/>
    <w:rsid w:val="002F1CCF"/>
    <w:rsid w:val="003003A8"/>
    <w:rsid w:val="00323B94"/>
    <w:rsid w:val="00334299"/>
    <w:rsid w:val="00352671"/>
    <w:rsid w:val="00382BF7"/>
    <w:rsid w:val="00457534"/>
    <w:rsid w:val="00497E6B"/>
    <w:rsid w:val="004F21A2"/>
    <w:rsid w:val="004F62BD"/>
    <w:rsid w:val="00501D39"/>
    <w:rsid w:val="00503B7B"/>
    <w:rsid w:val="005401EB"/>
    <w:rsid w:val="00560F69"/>
    <w:rsid w:val="005934C0"/>
    <w:rsid w:val="005D04A7"/>
    <w:rsid w:val="006336B9"/>
    <w:rsid w:val="00641A8E"/>
    <w:rsid w:val="00647AC4"/>
    <w:rsid w:val="00655C01"/>
    <w:rsid w:val="00662032"/>
    <w:rsid w:val="00676657"/>
    <w:rsid w:val="006B0221"/>
    <w:rsid w:val="006D707F"/>
    <w:rsid w:val="00727F0E"/>
    <w:rsid w:val="00774A58"/>
    <w:rsid w:val="007B7446"/>
    <w:rsid w:val="007F1C0F"/>
    <w:rsid w:val="00827C93"/>
    <w:rsid w:val="00861F90"/>
    <w:rsid w:val="008A3935"/>
    <w:rsid w:val="008A535D"/>
    <w:rsid w:val="008C388F"/>
    <w:rsid w:val="008E0D29"/>
    <w:rsid w:val="008E540D"/>
    <w:rsid w:val="008F35D5"/>
    <w:rsid w:val="009050D6"/>
    <w:rsid w:val="009166EE"/>
    <w:rsid w:val="00933D8C"/>
    <w:rsid w:val="009465E1"/>
    <w:rsid w:val="009544C2"/>
    <w:rsid w:val="00972F44"/>
    <w:rsid w:val="009920E4"/>
    <w:rsid w:val="00A21BCB"/>
    <w:rsid w:val="00A40948"/>
    <w:rsid w:val="00A60321"/>
    <w:rsid w:val="00A840C1"/>
    <w:rsid w:val="00AA26EC"/>
    <w:rsid w:val="00AB3BF2"/>
    <w:rsid w:val="00AC79B4"/>
    <w:rsid w:val="00AE1B19"/>
    <w:rsid w:val="00B01C30"/>
    <w:rsid w:val="00B33071"/>
    <w:rsid w:val="00B8646A"/>
    <w:rsid w:val="00BF5A56"/>
    <w:rsid w:val="00C07E88"/>
    <w:rsid w:val="00C14B1D"/>
    <w:rsid w:val="00C17422"/>
    <w:rsid w:val="00C62154"/>
    <w:rsid w:val="00CA1FEB"/>
    <w:rsid w:val="00CC68D1"/>
    <w:rsid w:val="00CF20A2"/>
    <w:rsid w:val="00D112AB"/>
    <w:rsid w:val="00D21A20"/>
    <w:rsid w:val="00D823CB"/>
    <w:rsid w:val="00DA1D8D"/>
    <w:rsid w:val="00E0467E"/>
    <w:rsid w:val="00E05499"/>
    <w:rsid w:val="00E12007"/>
    <w:rsid w:val="00E34A7E"/>
    <w:rsid w:val="00E43DFE"/>
    <w:rsid w:val="00ED63C6"/>
    <w:rsid w:val="00F1765F"/>
    <w:rsid w:val="00F25463"/>
    <w:rsid w:val="00F33A36"/>
    <w:rsid w:val="00F40573"/>
    <w:rsid w:val="00F43213"/>
    <w:rsid w:val="00F71817"/>
    <w:rsid w:val="00F80633"/>
    <w:rsid w:val="00FB0378"/>
    <w:rsid w:val="00FF1C9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  <w14:docId w14:val="004B4544"/>
  <w15:chartTrackingRefBased/>
  <w15:docId w15:val="{0C65649A-25FC-4966-AD7C-76C23161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F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0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B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72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E43DF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A1FE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21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D21A2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A21BCB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6203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62032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662032"/>
  </w:style>
  <w:style w:type="character" w:customStyle="1" w:styleId="Heading2Char">
    <w:name w:val="Heading 2 Char"/>
    <w:basedOn w:val="DefaultParagraphFont"/>
    <w:link w:val="Heading2"/>
    <w:uiPriority w:val="9"/>
    <w:rsid w:val="00E1200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E120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Hon18</b:Tag>
    <b:SourceType>InternetSite</b:SourceType>
    <b:Guid>{C04C677D-77AB-4638-B984-3C5EA6F24B37}</b:Guid>
    <b:Author>
      <b:Author>
        <b:Corporate>Honda</b:Corporate>
      </b:Author>
    </b:Author>
    <b:Title>MSX125 2018 Specifications</b:Title>
    <b:Year>2018</b:Year>
    <b:Month>12</b:Month>
    <b:Day>16</b:Day>
    <b:URL>https://www.honda.co.uk/motorcycles/range/125cc/msx125-2016/specifications.html</b:URL>
    <b:RefOrder>1</b:RefOrder>
  </b:Source>
  <b:Source>
    <b:Tag>Hon181</b:Tag>
    <b:SourceType>InternetSite</b:SourceType>
    <b:Guid>{37E85CE2-2367-467A-9AAE-1A8E63F91297}</b:Guid>
    <b:Author>
      <b:Author>
        <b:Corporate>Honda </b:Corporate>
      </b:Author>
    </b:Author>
    <b:Title>GOLD WING 2019 Specifications</b:Title>
    <b:Year>2018</b:Year>
    <b:Month>12</b:Month>
    <b:Day>16</b:Day>
    <b:URL>https://www.honda.co.uk/motorcycles/range/touring/gold-wing/specifications.html</b:URL>
    <b:RefOrder>2</b:RefOrder>
  </b:Source>
  <b:Source>
    <b:Tag>Vit06</b:Tag>
    <b:SourceType>BookSection</b:SourceType>
    <b:Guid>{1C5CC569-33FA-4621-9C49-416BDF8A5C17}</b:Guid>
    <b:Title>1.2 The geometry of motorcycles </b:Title>
    <b:Year>2006</b:Year>
    <b:Author>
      <b:Author>
        <b:NameList>
          <b:Person>
            <b:Last>Cossalter</b:Last>
            <b:First>Vittore</b:First>
          </b:Person>
        </b:NameList>
      </b:Author>
    </b:Author>
    <b:BookTitle>Motorcycle Dynamics </b:BookTitle>
    <b:Pages>3-9</b:Pages>
    <b:City>Milton Keynes</b:City>
    <b:Publisher>Lightning Source UK Ltd</b:Publisher>
    <b:RefOrder>3</b:RefOrder>
  </b:Source>
  <b:Source>
    <b:Tag>Rea16</b:Tag>
    <b:SourceType>BookSection</b:SourceType>
    <b:Guid>{CD2470F1-2CA3-4F73-BBCD-8C80C3D82B5B}</b:Guid>
    <b:Author>
      <b:Author>
        <b:Corporate>Reactive Suspension</b:Corporate>
      </b:Author>
    </b:Author>
    <b:Title>Trail</b:Title>
    <b:BookTitle>Bike Set-up</b:BookTitle>
    <b:Year>2016</b:Year>
    <b:Pages>5-6</b:Pages>
    <b:City>York</b:City>
    <b:Publisher>MCSS</b:Publisher>
    <b:RefOrder>4</b:RefOrder>
  </b:Source>
  <b:Source>
    <b:Tag>Ton03</b:Tag>
    <b:SourceType>BookSection</b:SourceType>
    <b:Guid>{28417D29-4966-42F1-A3C6-B0CD2095C7EC}</b:Guid>
    <b:Author>
      <b:Author>
        <b:NameList>
          <b:Person>
            <b:Last>Foale</b:Last>
            <b:First>Tony</b:First>
          </b:Person>
        </b:NameList>
      </b:Author>
    </b:Author>
    <b:Title>Geometry considerations </b:Title>
    <b:BookTitle>Motorcycle Handling and Chasis Design</b:BookTitle>
    <b:Year>2003</b:Year>
    <b:Publisher>Tony Foale Designs</b:Publisher>
    <b:RefOrder>5</b:RefOrder>
  </b:Source>
  <b:Source>
    <b:Tag>Joh96</b:Tag>
    <b:SourceType>BookSection</b:SourceType>
    <b:Guid>{34EF0C25-09F4-4E45-A9BE-D860C4A99BD9}</b:Guid>
    <b:Author>
      <b:Author>
        <b:NameList>
          <b:Person>
            <b:Last>Bradley</b:Last>
            <b:First>John</b:First>
          </b:Person>
        </b:NameList>
      </b:Author>
    </b:Author>
    <b:BookTitle>The Racing Motorcycle, A Technical Guide For Constructors </b:BookTitle>
    <b:Year>1996</b:Year>
    <b:City>Whitby</b:City>
    <b:Publisher>Broadband Leisure Publications</b:Publisher>
    <b:RefOrder>6</b:RefOrder>
  </b:Source>
  <b:Source>
    <b:Tag>Apr18</b:Tag>
    <b:SourceType>InternetSite</b:SourceType>
    <b:Guid>{3F70165E-2FAB-4A52-A927-AAFD304EE21A}</b:Guid>
    <b:Title>Aprilia RS 250, Gearing Commander</b:Title>
    <b:Year>2018</b:Year>
    <b:InternetSiteTitle>https://www.gearingcommander.com/</b:InternetSiteTitle>
    <b:Month>12</b:Month>
    <b:Day>17</b:Day>
    <b:URL>https://www.gearingcommander.com/</b:URL>
    <b:RefOrder>7</b:RefOrder>
  </b:Source>
  <b:Source>
    <b:Tag>S1018</b:Tag>
    <b:SourceType>InternetSite</b:SourceType>
    <b:Guid>{F039C6F3-0594-4A34-975D-9E259174D459}</b:Guid>
    <b:Title>S1000RR 2019</b:Title>
    <b:InternetSiteTitle>Motorcycle Specs</b:InternetSiteTitle>
    <b:Year>2018</b:Year>
    <b:Month>12</b:Month>
    <b:Day>17</b:Day>
    <b:URL>https://www.motorcyclespecs.co.za/model/bmw/bmw_S1000RR_19.html</b:URL>
    <b:RefOrder>8</b:RefOrder>
  </b:Source>
  <b:Source>
    <b:Tag>Tri18</b:Tag>
    <b:SourceType>InternetSite</b:SourceType>
    <b:Guid>{9E39D52F-D5B2-4EC7-B211-8853BF3D9118}</b:Guid>
    <b:Title>Triumph Street Triplle 765 RS </b:Title>
    <b:InternetSiteTitle>Motorcycle News</b:InternetSiteTitle>
    <b:Year>2018</b:Year>
    <b:Month>12</b:Month>
    <b:Day>17</b:Day>
    <b:URL>https://www.motorcyclenews.com/bike-reviews/triumph/street-triple-765-rs/2017/</b:URL>
    <b:RefOrder>9</b:RefOrder>
  </b:Source>
</b:Sources>
</file>

<file path=customXml/itemProps1.xml><?xml version="1.0" encoding="utf-8"?>
<ds:datastoreItem xmlns:ds="http://schemas.openxmlformats.org/officeDocument/2006/customXml" ds:itemID="{98D165B8-744E-44E7-9A68-A28B7D8CC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Penny</dc:creator>
  <cp:keywords/>
  <dc:description/>
  <cp:lastModifiedBy>Alexander Penny (1706431)</cp:lastModifiedBy>
  <cp:revision>5</cp:revision>
  <dcterms:created xsi:type="dcterms:W3CDTF">2020-01-20T06:59:00Z</dcterms:created>
  <dcterms:modified xsi:type="dcterms:W3CDTF">2020-01-20T08:45:00Z</dcterms:modified>
</cp:coreProperties>
</file>