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015DE" w14:textId="77777777" w:rsidR="00873843" w:rsidRDefault="00873843">
      <w:pPr>
        <w:rPr>
          <w:b/>
          <w:bCs/>
        </w:rPr>
      </w:pPr>
    </w:p>
    <w:p w14:paraId="4F839215" w14:textId="77777777" w:rsidR="00873843" w:rsidRDefault="002E15D9">
      <w:pPr>
        <w:spacing w:line="360" w:lineRule="auto"/>
      </w:pPr>
      <w:r>
        <w:rPr>
          <w:noProof/>
        </w:rPr>
        <w:drawing>
          <wp:inline distT="0" distB="0" distL="0" distR="0" wp14:anchorId="4909B7FE" wp14:editId="14E47526">
            <wp:extent cx="4104005" cy="1854200"/>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 Discover Dylan Thomas"/>
                    <pic:cNvPicPr>
                      <a:picLocks noChangeAspect="1" noChangeArrowheads="1"/>
                    </pic:cNvPicPr>
                  </pic:nvPicPr>
                  <pic:blipFill>
                    <a:blip r:embed="rId7"/>
                    <a:stretch>
                      <a:fillRect/>
                    </a:stretch>
                  </pic:blipFill>
                  <pic:spPr bwMode="auto">
                    <a:xfrm>
                      <a:off x="0" y="0"/>
                      <a:ext cx="4104005" cy="1854200"/>
                    </a:xfrm>
                    <a:prstGeom prst="rect">
                      <a:avLst/>
                    </a:prstGeom>
                  </pic:spPr>
                </pic:pic>
              </a:graphicData>
            </a:graphic>
          </wp:inline>
        </w:drawing>
      </w:r>
    </w:p>
    <w:p w14:paraId="0587FE76" w14:textId="77777777" w:rsidR="00873843" w:rsidRDefault="00873843">
      <w:pPr>
        <w:spacing w:line="360" w:lineRule="auto"/>
        <w:rPr>
          <w:rStyle w:val="Strong"/>
          <w:rFonts w:ascii="Arial" w:hAnsi="Arial" w:cs="Arial"/>
          <w:color w:val="1D2125"/>
        </w:rPr>
      </w:pPr>
    </w:p>
    <w:p w14:paraId="4D399C47" w14:textId="77777777" w:rsidR="00873843" w:rsidRDefault="00873843">
      <w:pPr>
        <w:spacing w:line="360" w:lineRule="auto"/>
        <w:rPr>
          <w:rStyle w:val="Strong"/>
          <w:rFonts w:ascii="Arial" w:hAnsi="Arial" w:cs="Arial"/>
          <w:color w:val="1D2125"/>
          <w:sz w:val="36"/>
          <w:szCs w:val="36"/>
        </w:rPr>
      </w:pPr>
    </w:p>
    <w:p w14:paraId="362D3E77" w14:textId="77777777" w:rsidR="00873843" w:rsidRDefault="002E15D9">
      <w:pPr>
        <w:spacing w:line="360" w:lineRule="auto"/>
        <w:jc w:val="center"/>
        <w:rPr>
          <w:rStyle w:val="Strong"/>
          <w:rFonts w:ascii="Arial" w:hAnsi="Arial" w:cs="Arial"/>
          <w:color w:val="1D2125"/>
          <w:sz w:val="36"/>
          <w:szCs w:val="36"/>
        </w:rPr>
      </w:pPr>
      <w:r>
        <w:rPr>
          <w:rStyle w:val="Strong"/>
          <w:rFonts w:ascii="Arial" w:hAnsi="Arial" w:cs="Arial"/>
          <w:color w:val="1D2125"/>
          <w:sz w:val="36"/>
          <w:szCs w:val="36"/>
          <w:shd w:val="clear" w:color="auto" w:fill="FFFFFF"/>
        </w:rPr>
        <w:t>Changemakers: Creativity and Value Creation</w:t>
      </w:r>
    </w:p>
    <w:p w14:paraId="00C21993" w14:textId="77777777" w:rsidR="00873843" w:rsidRDefault="002E15D9">
      <w:pPr>
        <w:spacing w:line="360" w:lineRule="auto"/>
        <w:jc w:val="center"/>
        <w:rPr>
          <w:rStyle w:val="Strong"/>
          <w:rFonts w:ascii="Arial" w:hAnsi="Arial" w:cs="Arial"/>
          <w:color w:val="1D2125"/>
          <w:sz w:val="36"/>
          <w:szCs w:val="36"/>
        </w:rPr>
      </w:pPr>
      <w:r>
        <w:rPr>
          <w:rStyle w:val="Strong"/>
          <w:rFonts w:ascii="Arial" w:hAnsi="Arial" w:cs="Arial"/>
          <w:color w:val="1D2125"/>
          <w:sz w:val="36"/>
          <w:szCs w:val="36"/>
        </w:rPr>
        <w:t>Professions (BMHP5014)</w:t>
      </w:r>
    </w:p>
    <w:p w14:paraId="315BD4AD" w14:textId="77777777" w:rsidR="00873843" w:rsidRDefault="00873843">
      <w:pPr>
        <w:spacing w:line="360" w:lineRule="auto"/>
        <w:jc w:val="center"/>
        <w:rPr>
          <w:rStyle w:val="Strong"/>
          <w:rFonts w:ascii="Arial" w:hAnsi="Arial" w:cs="Arial"/>
          <w:color w:val="1D2125"/>
          <w:sz w:val="36"/>
          <w:szCs w:val="36"/>
        </w:rPr>
      </w:pPr>
    </w:p>
    <w:p w14:paraId="2AFAB423" w14:textId="77777777" w:rsidR="00873843" w:rsidRDefault="00873843">
      <w:pPr>
        <w:spacing w:line="360" w:lineRule="auto"/>
        <w:jc w:val="center"/>
        <w:rPr>
          <w:rStyle w:val="Strong"/>
          <w:rFonts w:ascii="Arial" w:hAnsi="Arial" w:cs="Arial"/>
          <w:color w:val="1D2125"/>
          <w:sz w:val="36"/>
          <w:szCs w:val="36"/>
        </w:rPr>
      </w:pPr>
    </w:p>
    <w:p w14:paraId="6EDD6609" w14:textId="77777777" w:rsidR="00873843" w:rsidRDefault="00873843">
      <w:pPr>
        <w:spacing w:line="360" w:lineRule="auto"/>
        <w:rPr>
          <w:rStyle w:val="Strong"/>
          <w:rFonts w:ascii="Arial" w:hAnsi="Arial" w:cs="Arial"/>
          <w:color w:val="1D2125"/>
          <w:sz w:val="32"/>
          <w:szCs w:val="32"/>
        </w:rPr>
      </w:pPr>
    </w:p>
    <w:p w14:paraId="3EA05C1F" w14:textId="77777777" w:rsidR="00873843" w:rsidRDefault="002E15D9">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 Bolo Viviane Goubo</w:t>
      </w:r>
    </w:p>
    <w:p w14:paraId="28FAE243" w14:textId="77777777" w:rsidR="00873843" w:rsidRDefault="002E15D9">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2424588</w:t>
      </w:r>
    </w:p>
    <w:p w14:paraId="3BC6E561" w14:textId="77777777" w:rsidR="00873843" w:rsidRDefault="002E15D9">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Lecturer’s name: </w:t>
      </w:r>
      <w:r>
        <w:rPr>
          <w:rFonts w:ascii="Arial" w:hAnsi="Arial" w:cs="Arial"/>
          <w:b/>
          <w:bCs/>
          <w:color w:val="1D2125"/>
          <w:sz w:val="32"/>
          <w:szCs w:val="32"/>
        </w:rPr>
        <w:t>Caroline Salami </w:t>
      </w:r>
    </w:p>
    <w:p w14:paraId="585A8730" w14:textId="77777777" w:rsidR="00873843" w:rsidRDefault="00873843">
      <w:pPr>
        <w:jc w:val="both"/>
        <w:rPr>
          <w:b/>
          <w:bCs/>
        </w:rPr>
      </w:pPr>
    </w:p>
    <w:p w14:paraId="24012B2F" w14:textId="77777777" w:rsidR="00873843" w:rsidRDefault="00873843">
      <w:pPr>
        <w:jc w:val="both"/>
        <w:rPr>
          <w:b/>
          <w:bCs/>
        </w:rPr>
      </w:pPr>
    </w:p>
    <w:p w14:paraId="5BE26F62" w14:textId="77777777" w:rsidR="00873843" w:rsidRDefault="00873843">
      <w:pPr>
        <w:jc w:val="both"/>
        <w:rPr>
          <w:rFonts w:ascii="Arial" w:hAnsi="Arial" w:cs="Arial"/>
        </w:rPr>
      </w:pPr>
    </w:p>
    <w:p w14:paraId="18D7DD1E" w14:textId="77777777" w:rsidR="00873843" w:rsidRDefault="00873843">
      <w:pPr>
        <w:spacing w:line="360" w:lineRule="auto"/>
        <w:jc w:val="both"/>
        <w:rPr>
          <w:rFonts w:ascii="Arial" w:hAnsi="Arial" w:cs="Arial"/>
        </w:rPr>
      </w:pPr>
    </w:p>
    <w:p w14:paraId="2C4A8B8F" w14:textId="77777777" w:rsidR="00873843" w:rsidRDefault="00873843">
      <w:pPr>
        <w:spacing w:line="360" w:lineRule="auto"/>
        <w:jc w:val="both"/>
        <w:rPr>
          <w:rFonts w:ascii="Arial" w:hAnsi="Arial" w:cs="Arial"/>
        </w:rPr>
      </w:pPr>
    </w:p>
    <w:p w14:paraId="42D8C79D" w14:textId="77777777" w:rsidR="00873843" w:rsidRDefault="00873843">
      <w:pPr>
        <w:spacing w:line="360" w:lineRule="auto"/>
        <w:jc w:val="both"/>
        <w:rPr>
          <w:rFonts w:ascii="Arial" w:hAnsi="Arial" w:cs="Arial"/>
          <w:b/>
          <w:bCs/>
        </w:rPr>
      </w:pPr>
    </w:p>
    <w:p w14:paraId="116EA3A3" w14:textId="77777777" w:rsidR="00873843" w:rsidRDefault="002E15D9">
      <w:pPr>
        <w:spacing w:line="360" w:lineRule="auto"/>
        <w:jc w:val="both"/>
        <w:rPr>
          <w:rFonts w:ascii="Arial" w:hAnsi="Arial" w:cs="Arial"/>
          <w:b/>
          <w:bCs/>
        </w:rPr>
      </w:pPr>
      <w:r>
        <w:rPr>
          <w:rFonts w:ascii="Arial" w:hAnsi="Arial" w:cs="Arial"/>
          <w:b/>
          <w:bCs/>
        </w:rPr>
        <w:lastRenderedPageBreak/>
        <w:t>Task 1: Long Waiting Times for Mental Health Services in the UK</w:t>
      </w:r>
    </w:p>
    <w:p w14:paraId="5C885045" w14:textId="77777777" w:rsidR="00873843" w:rsidRDefault="002E15D9">
      <w:pPr>
        <w:spacing w:line="360" w:lineRule="auto"/>
        <w:jc w:val="both"/>
        <w:rPr>
          <w:rFonts w:ascii="Arial" w:hAnsi="Arial" w:cs="Arial"/>
        </w:rPr>
      </w:pPr>
      <w:r>
        <w:rPr>
          <w:rFonts w:ascii="Arial" w:hAnsi="Arial" w:cs="Arial"/>
        </w:rPr>
        <w:t>Extended wait times for mental health services continue to pose a major issue in the UK. The need for care is rising consistently, with NHS England noting an average of 453,930 new referrals to secondary mental health services each month in 2024/25. Furthermore, 33% of individuals seeking services indicated that they waited three months or longer for treatment, and 40% expressed that the interval between assessment and treatment was excessive (CQC, 2026). Wait times are especially problematic for community mental health services, young people, and those suffering from severe mental illnesses (CQC, 2025).</w:t>
      </w:r>
    </w:p>
    <w:p w14:paraId="747C5FC6" w14:textId="77777777" w:rsidR="00873843" w:rsidRDefault="002E15D9">
      <w:pPr>
        <w:spacing w:line="360" w:lineRule="auto"/>
        <w:jc w:val="both"/>
        <w:rPr>
          <w:rFonts w:ascii="Arial" w:hAnsi="Arial" w:cs="Arial"/>
          <w:color w:val="1F243C"/>
          <w:shd w:val="clear" w:color="auto" w:fill="FFFFFF"/>
        </w:rPr>
      </w:pPr>
      <w:r>
        <w:rPr>
          <w:rFonts w:ascii="Arial" w:hAnsi="Arial" w:cs="Arial"/>
          <w:b/>
          <w:bCs/>
          <w:color w:val="1F243C"/>
          <w:shd w:val="clear" w:color="auto" w:fill="FFFFFF"/>
        </w:rPr>
        <w:t>Innovation</w:t>
      </w:r>
      <w:r>
        <w:rPr>
          <w:rFonts w:ascii="Arial" w:hAnsi="Arial" w:cs="Arial"/>
          <w:color w:val="1F243C"/>
          <w:shd w:val="clear" w:color="auto" w:fill="FFFFFF"/>
        </w:rPr>
        <w:t xml:space="preserve"> has the potential to address this challenge through therapy supported by digital means, online counselling, and AI-assisted triage systems. The NHS Talking Therapies program aims for 75% of individuals to start treatment within six weeks and 95% within eighteen weeks after being referred. Utilising Rogers’ Diffusion of Innovation Theory, these technologies can enhance service capacity and prioritise those patients who are most at risk (Rogers, 2003). Nevertheless, digital services may not be appropriate for everyone. Seniors, individuals with severe mental health issues, those with limited digital skills, and people lacking consistent internet access may still need in-person assistance (CQC, 2025).</w:t>
      </w:r>
    </w:p>
    <w:p w14:paraId="627320AB" w14:textId="77777777" w:rsidR="00873843" w:rsidRDefault="002E15D9">
      <w:pPr>
        <w:spacing w:line="360" w:lineRule="auto"/>
        <w:jc w:val="both"/>
        <w:rPr>
          <w:rFonts w:ascii="Arial" w:hAnsi="Arial" w:cs="Arial"/>
        </w:rPr>
      </w:pPr>
      <w:r>
        <w:rPr>
          <w:rFonts w:ascii="Arial" w:hAnsi="Arial" w:cs="Arial"/>
          <w:b/>
          <w:bCs/>
        </w:rPr>
        <w:t xml:space="preserve">Creativity </w:t>
      </w:r>
      <w:r>
        <w:rPr>
          <w:rFonts w:ascii="Arial" w:hAnsi="Arial" w:cs="Arial"/>
        </w:rPr>
        <w:t>is about finding new methods to assist individuals awaiting treatment (Amabile, 1996). Mental health organisations might offer online peer-support groups, self-help tools, wellness workshops, and community-based programs. Such initiatives can lessen feelings of isolation, encourage self-care, and help stop mental health issues from deteriorating before formal care is accessible.</w:t>
      </w:r>
    </w:p>
    <w:p w14:paraId="75B93621" w14:textId="77777777" w:rsidR="00873843" w:rsidRDefault="002E15D9">
      <w:pPr>
        <w:spacing w:line="360" w:lineRule="auto"/>
        <w:jc w:val="both"/>
        <w:rPr>
          <w:rFonts w:ascii="Arial" w:hAnsi="Arial" w:cs="Arial"/>
        </w:rPr>
      </w:pPr>
      <w:r>
        <w:rPr>
          <w:rFonts w:ascii="Arial" w:hAnsi="Arial" w:cs="Arial"/>
          <w:b/>
          <w:bCs/>
        </w:rPr>
        <w:t>Value creation</w:t>
      </w:r>
      <w:r>
        <w:rPr>
          <w:rFonts w:ascii="Arial" w:hAnsi="Arial" w:cs="Arial"/>
        </w:rPr>
        <w:t xml:space="preserve"> focuses on improving outcomes while using resources efficiently (Porter, 2010). Earlier support through digital and community-based interventions can reduce symptom severity, improve wellbeing and lower service costs. Delayed treatment can lead to deterioration in mental health, increasing the need for crisis intervention, emergency department attendance and hospital admission, which places additional pressure on NHS resources and may compromise patient safety (CQC, 2025; CQC, 2026).</w:t>
      </w:r>
    </w:p>
    <w:p w14:paraId="5D5E9369" w14:textId="77777777" w:rsidR="00873843" w:rsidRDefault="002E15D9">
      <w:pPr>
        <w:spacing w:line="360" w:lineRule="auto"/>
        <w:jc w:val="both"/>
        <w:rPr>
          <w:rFonts w:ascii="Arial" w:hAnsi="Arial" w:cs="Arial"/>
        </w:rPr>
      </w:pPr>
      <w:r>
        <w:rPr>
          <w:rFonts w:ascii="Arial" w:hAnsi="Arial" w:cs="Arial"/>
          <w:b/>
          <w:bCs/>
        </w:rPr>
        <w:t>Change</w:t>
      </w:r>
      <w:r>
        <w:rPr>
          <w:rFonts w:ascii="Arial" w:hAnsi="Arial" w:cs="Arial"/>
        </w:rPr>
        <w:t xml:space="preserve"> is required to implement and sustain these improvements (Burnes, 2017). Lewin’s Change Management Model suggests organisations should prepare staff for </w:t>
      </w:r>
      <w:r>
        <w:rPr>
          <w:rFonts w:ascii="Arial" w:hAnsi="Arial" w:cs="Arial"/>
        </w:rPr>
        <w:lastRenderedPageBreak/>
        <w:t>new approaches, implement digital and community-based services, and embed them through training and evaluation (Lewin, 1951). A systems-thinking approach recognises that staff shortages, rising demand and limited resources are interconnected factors contributing to long waiting times (Meadows, 2008). Therefore, combining digital therapy, workforce expansion and improved care pathways could improve access, reduce delays and create a more sustainable mental health service.</w:t>
      </w:r>
    </w:p>
    <w:p w14:paraId="104A1411" w14:textId="77777777" w:rsidR="00873843" w:rsidRDefault="002E15D9">
      <w:pPr>
        <w:spacing w:line="360" w:lineRule="auto"/>
        <w:jc w:val="both"/>
        <w:rPr>
          <w:rFonts w:ascii="Arial" w:hAnsi="Arial" w:cs="Arial"/>
        </w:rPr>
      </w:pPr>
      <w:r>
        <w:rPr>
          <w:rFonts w:ascii="Arial" w:hAnsi="Arial" w:cs="Arial"/>
          <w:b/>
          <w:bCs/>
        </w:rPr>
        <w:t xml:space="preserve">Task 2: Mind Map </w:t>
      </w:r>
    </w:p>
    <w:p w14:paraId="04F07964" w14:textId="77777777" w:rsidR="00873843" w:rsidRDefault="002E15D9">
      <w:pPr>
        <w:spacing w:line="360" w:lineRule="auto"/>
        <w:jc w:val="both"/>
        <w:rPr>
          <w:rFonts w:ascii="Arial" w:hAnsi="Arial" w:cs="Arial"/>
          <w:b/>
          <w:bCs/>
        </w:rPr>
      </w:pPr>
      <w:r>
        <w:rPr>
          <w:rFonts w:ascii="Arial" w:hAnsi="Arial" w:cs="Arial"/>
          <w:b/>
          <w:bCs/>
        </w:rPr>
        <w:t>Systems Thinking: Long Waiting Times for Mental Health Services</w:t>
      </w:r>
    </w:p>
    <w:p w14:paraId="186DA10F" w14:textId="77777777" w:rsidR="00873843" w:rsidRDefault="002E15D9">
      <w:pPr>
        <w:spacing w:line="360" w:lineRule="auto"/>
        <w:jc w:val="both"/>
        <w:rPr>
          <w:rFonts w:ascii="Arial" w:hAnsi="Arial" w:cs="Arial"/>
        </w:rPr>
      </w:pPr>
      <w:r>
        <w:rPr>
          <w:rFonts w:ascii="Arial" w:hAnsi="Arial" w:cs="Arial"/>
        </w:rPr>
        <w:t>A systems thinking approach recognises that long waiting times in NHS mental health services result from interconnected factors rather than a single cause (Meadows, 2008). Key causes include rising demand, workforce shortages, limited funding, insufficient service capacity, and delays in referral and assessment pathways (CQC, 2026).</w:t>
      </w:r>
    </w:p>
    <w:p w14:paraId="40C88AF9" w14:textId="77777777" w:rsidR="00873843" w:rsidRDefault="002E15D9">
      <w:pPr>
        <w:spacing w:line="360" w:lineRule="auto"/>
        <w:jc w:val="both"/>
        <w:rPr>
          <w:rFonts w:ascii="Arial" w:hAnsi="Arial" w:cs="Arial"/>
        </w:rPr>
      </w:pPr>
      <w:r>
        <w:rPr>
          <w:rFonts w:ascii="Arial" w:hAnsi="Arial" w:cs="Arial"/>
        </w:rPr>
        <w:t>These factors affect the entire system. Long waits can worsen mental health conditions, delay recovery, reduce wellbeing, and increase the risk of patients reaching crisis point. This leads to greater use of crisis teams, emergency departments, and inpatient services, placing additional pressure on NHS resources (CQC, 2025; CQC, 2026). Increased workload can contribute to staff burnout, sickness absence, and recruitment difficulties, which further reduce workforce capacity and lengthen waiting times.</w:t>
      </w:r>
    </w:p>
    <w:p w14:paraId="68885A15" w14:textId="77777777" w:rsidR="00873843" w:rsidRDefault="002E15D9">
      <w:pPr>
        <w:spacing w:line="360" w:lineRule="auto"/>
        <w:jc w:val="both"/>
        <w:rPr>
          <w:rFonts w:ascii="Arial" w:hAnsi="Arial" w:cs="Arial"/>
        </w:rPr>
      </w:pPr>
      <w:r>
        <w:rPr>
          <w:rFonts w:ascii="Arial" w:hAnsi="Arial" w:cs="Arial"/>
        </w:rPr>
        <w:t>Systems Thinking: Long Waiting Times for Mental Health Services</w:t>
      </w:r>
    </w:p>
    <w:p w14:paraId="51F4B97C" w14:textId="77777777" w:rsidR="00873843" w:rsidRDefault="002E15D9">
      <w:pPr>
        <w:spacing w:line="360" w:lineRule="auto"/>
        <w:jc w:val="both"/>
        <w:rPr>
          <w:rFonts w:ascii="Arial" w:hAnsi="Arial" w:cs="Arial"/>
        </w:rPr>
      </w:pPr>
      <w:r>
        <w:rPr>
          <w:rFonts w:ascii="Arial" w:hAnsi="Arial" w:cs="Arial"/>
        </w:rPr>
        <w:t xml:space="preserve">Systems thinking highlights the importance of addressing the whole system rather than individual problems in isolation (Meadows, 2008). Potential solutions include workforce expansion, increased funding, improved referral pathways, community-based support, digital therapies, and AI-assisted triage.                               </w:t>
      </w:r>
    </w:p>
    <w:p w14:paraId="347CAC6E" w14:textId="77777777" w:rsidR="00873843" w:rsidRDefault="002E15D9">
      <w:pPr>
        <w:spacing w:line="360" w:lineRule="auto"/>
        <w:jc w:val="both"/>
        <w:rPr>
          <w:rFonts w:ascii="Arial" w:hAnsi="Arial" w:cs="Arial"/>
        </w:rPr>
      </w:pPr>
      <w:r>
        <w:rPr>
          <w:rFonts w:ascii="Arial" w:hAnsi="Arial" w:cs="Arial"/>
        </w:rPr>
        <w:t>However, barriers such as financial constraints, staff resistance to change, training needs, and digital exclusion may affect implementation. Digital services may not meet the needs of all service users, including older adults, people with severe mental illness, and those with limited digital access. Therefore, a combination of digital and face-to-face support is needed to improve accessibility and reduce waiting times.</w:t>
      </w:r>
    </w:p>
    <w:p w14:paraId="2DEFBE65" w14:textId="77777777" w:rsidR="00873843" w:rsidRDefault="00873843">
      <w:pPr>
        <w:spacing w:line="360" w:lineRule="auto"/>
        <w:jc w:val="both"/>
        <w:rPr>
          <w:rFonts w:ascii="Arial" w:hAnsi="Arial" w:cs="Arial"/>
        </w:rPr>
      </w:pPr>
    </w:p>
    <w:p w14:paraId="6167F8A3" w14:textId="77777777" w:rsidR="00873843" w:rsidRDefault="002E15D9">
      <w:pPr>
        <w:spacing w:line="360" w:lineRule="auto"/>
        <w:jc w:val="both"/>
        <w:rPr>
          <w:rFonts w:ascii="Arial" w:hAnsi="Arial" w:cs="Arial"/>
        </w:rPr>
      </w:pPr>
      <w:r>
        <w:rPr>
          <w:rFonts w:ascii="Arial" w:hAnsi="Arial" w:cs="Arial"/>
        </w:rPr>
        <w:t>Systems Thinking Diagram</w:t>
      </w:r>
    </w:p>
    <w:p w14:paraId="6CBA7E26"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Plain Text</w:t>
      </w:r>
    </w:p>
    <w:p w14:paraId="49865816"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w:t>
      </w:r>
    </w:p>
    <w:p w14:paraId="41EE2D91"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LONG WAITING TIMES FOR</w:t>
      </w:r>
    </w:p>
    <w:p w14:paraId="6956EAE4"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2</w:t>
      </w:r>
    </w:p>
    <w:p w14:paraId="467E1727"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MENTAL HEALTH SERVICES</w:t>
      </w:r>
    </w:p>
    <w:p w14:paraId="6E4B0357"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3</w:t>
      </w:r>
    </w:p>
    <w:p w14:paraId="4ECC0815"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p>
    <w:p w14:paraId="045EE1A1"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4</w:t>
      </w:r>
    </w:p>
    <w:p w14:paraId="4702825A"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p>
    <w:p w14:paraId="464F9E9F"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5</w:t>
      </w:r>
    </w:p>
    <w:p w14:paraId="77851120"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w:t>
      </w:r>
      <w:r>
        <w:rPr>
          <w:rFonts w:ascii="Arial" w:eastAsia="MS Gothic" w:hAnsi="Arial" w:cs="Arial"/>
          <w:kern w:val="0"/>
          <w:lang w:eastAsia="en-GB"/>
          <w14:ligatures w14:val="none"/>
        </w:rPr>
        <w:t>│</w:t>
      </w:r>
    </w:p>
    <w:p w14:paraId="46EEF0E3"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6</w:t>
      </w:r>
    </w:p>
    <w:p w14:paraId="579BFC78"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Causes Service Staff Organisations</w:t>
      </w:r>
    </w:p>
    <w:p w14:paraId="163176CA"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7</w:t>
      </w:r>
    </w:p>
    <w:p w14:paraId="02A6EC24"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Users</w:t>
      </w:r>
    </w:p>
    <w:p w14:paraId="58BDE2DD"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8</w:t>
      </w:r>
    </w:p>
    <w:p w14:paraId="07B52490"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w:t>
      </w:r>
      <w:r>
        <w:rPr>
          <w:rFonts w:ascii="Arial" w:eastAsia="MS Gothic" w:hAnsi="Arial" w:cs="Arial"/>
          <w:kern w:val="0"/>
          <w:lang w:eastAsia="en-GB"/>
          <w14:ligatures w14:val="none"/>
        </w:rPr>
        <w:t>│</w:t>
      </w:r>
    </w:p>
    <w:p w14:paraId="4B485E7C"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9</w:t>
      </w:r>
    </w:p>
    <w:p w14:paraId="325DA166"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Staff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Poorer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Burnout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Higher costs</w:t>
      </w:r>
    </w:p>
    <w:p w14:paraId="4D05A48A"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10</w:t>
      </w:r>
    </w:p>
    <w:p w14:paraId="6C861DD8"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shortages</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mental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Stress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Pressure on</w:t>
      </w:r>
    </w:p>
    <w:p w14:paraId="7033CDE5"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11</w:t>
      </w:r>
    </w:p>
    <w:p w14:paraId="0E6EAFB9"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Demand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health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Sickness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crisis services</w:t>
      </w:r>
    </w:p>
    <w:p w14:paraId="4758047A"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12</w:t>
      </w:r>
    </w:p>
    <w:p w14:paraId="16B0A5F9"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Funding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Delayed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absence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A&amp;E demand</w:t>
      </w:r>
    </w:p>
    <w:p w14:paraId="11DBF948"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13</w:t>
      </w:r>
    </w:p>
    <w:p w14:paraId="3EF6FEFF"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Capacity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recovery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Staff </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Reduced</w:t>
      </w:r>
    </w:p>
    <w:p w14:paraId="24A14D30"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14</w:t>
      </w:r>
    </w:p>
    <w:p w14:paraId="5B1AE807"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Referrals</w:t>
      </w: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Crisis turnover efficiency</w:t>
      </w:r>
    </w:p>
    <w:p w14:paraId="32443A39"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15</w:t>
      </w:r>
    </w:p>
    <w:p w14:paraId="7E7A62D6"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MS Gothic" w:hAnsi="Arial" w:cs="Arial"/>
          <w:kern w:val="0"/>
          <w:lang w:eastAsia="en-GB"/>
          <w14:ligatures w14:val="none"/>
        </w:rPr>
        <w:t>└</w:t>
      </w:r>
      <w:r>
        <w:rPr>
          <w:rFonts w:ascii="Arial" w:eastAsia="Times New Roman" w:hAnsi="Arial" w:cs="Arial"/>
          <w:kern w:val="0"/>
          <w:lang w:eastAsia="en-GB"/>
          <w14:ligatures w14:val="none"/>
        </w:rPr>
        <w:t xml:space="preserve"> Reduced</w:t>
      </w:r>
    </w:p>
    <w:p w14:paraId="382EAC8B"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16</w:t>
      </w:r>
    </w:p>
    <w:p w14:paraId="719E33A0"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wellbeing</w:t>
      </w:r>
    </w:p>
    <w:p w14:paraId="5D2F66E0"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17</w:t>
      </w:r>
    </w:p>
    <w:p w14:paraId="7E8A92FC"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 </w:t>
      </w:r>
    </w:p>
    <w:p w14:paraId="2535D82B"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18</w:t>
      </w:r>
    </w:p>
    <w:p w14:paraId="1DB29E99"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Solutions: Workforce expansion, funding, community support,</w:t>
      </w:r>
    </w:p>
    <w:p w14:paraId="687B172A"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19</w:t>
      </w:r>
    </w:p>
    <w:p w14:paraId="5534A051"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digital therapy, AI triage, improved pathways.</w:t>
      </w:r>
    </w:p>
    <w:p w14:paraId="5EF71924"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20</w:t>
      </w:r>
    </w:p>
    <w:p w14:paraId="488C727D"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 </w:t>
      </w:r>
    </w:p>
    <w:p w14:paraId="4F10FB47"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21</w:t>
      </w:r>
    </w:p>
    <w:p w14:paraId="5984B2C6"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Barriers: Cost, training needs, resistance to change,</w:t>
      </w:r>
    </w:p>
    <w:p w14:paraId="52CB49EB"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22</w:t>
      </w:r>
    </w:p>
    <w:p w14:paraId="5BDF9D1A" w14:textId="77777777" w:rsidR="00873843" w:rsidRDefault="002E15D9">
      <w:pPr>
        <w:suppressAutoHyphens w:val="0"/>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t>digital exclusion.</w:t>
      </w:r>
    </w:p>
    <w:p w14:paraId="2C9ADB64" w14:textId="77777777" w:rsidR="00873843" w:rsidRDefault="00873843">
      <w:pPr>
        <w:spacing w:line="360" w:lineRule="auto"/>
        <w:jc w:val="both"/>
        <w:rPr>
          <w:rFonts w:ascii="Arial" w:hAnsi="Arial" w:cs="Arial"/>
        </w:rPr>
      </w:pPr>
    </w:p>
    <w:p w14:paraId="4BDF6936" w14:textId="77777777" w:rsidR="00873843" w:rsidRDefault="002E15D9">
      <w:pPr>
        <w:spacing w:line="360" w:lineRule="auto"/>
        <w:jc w:val="both"/>
        <w:rPr>
          <w:rFonts w:ascii="Arial" w:hAnsi="Arial" w:cs="Arial"/>
          <w:b/>
          <w:bCs/>
        </w:rPr>
      </w:pPr>
      <w:r>
        <w:rPr>
          <w:rFonts w:ascii="Arial" w:hAnsi="Arial" w:cs="Arial"/>
          <w:b/>
          <w:bCs/>
        </w:rPr>
        <w:t>Task 3: Reflection on Divergent and Convergent Thinking Using Gibbs' Reflective Cycle (1988)</w:t>
      </w:r>
    </w:p>
    <w:p w14:paraId="54D42D4F" w14:textId="77777777" w:rsidR="00873843" w:rsidRDefault="002E15D9">
      <w:pPr>
        <w:spacing w:line="360" w:lineRule="auto"/>
        <w:jc w:val="both"/>
        <w:rPr>
          <w:rFonts w:ascii="Arial" w:hAnsi="Arial" w:cs="Arial"/>
        </w:rPr>
      </w:pPr>
      <w:r>
        <w:rPr>
          <w:rFonts w:ascii="Arial" w:hAnsi="Arial" w:cs="Arial"/>
        </w:rPr>
        <w:t>Description</w:t>
      </w:r>
    </w:p>
    <w:p w14:paraId="6ADB10BB" w14:textId="77777777" w:rsidR="00873843" w:rsidRDefault="002E15D9">
      <w:pPr>
        <w:spacing w:line="360" w:lineRule="auto"/>
        <w:jc w:val="both"/>
        <w:rPr>
          <w:rFonts w:ascii="Arial" w:hAnsi="Arial" w:cs="Arial"/>
        </w:rPr>
      </w:pPr>
      <w:r>
        <w:rPr>
          <w:rFonts w:ascii="Arial" w:hAnsi="Arial" w:cs="Arial"/>
        </w:rPr>
        <w:t>During a group activity, my team was required to develop solutions to a health and social care problem. We used divergent thinking to generate a range of possible ideas and convergent thinking to evaluate these ideas and select the most appropriate solution. According to Cropley (2006), divergent thinking encourages creativity and the generation of multiple options, whereas convergent thinking focuses on analysing alternatives and choosing the best outcome.</w:t>
      </w:r>
    </w:p>
    <w:p w14:paraId="711DB863" w14:textId="77777777" w:rsidR="00873843" w:rsidRDefault="002E15D9">
      <w:pPr>
        <w:spacing w:line="360" w:lineRule="auto"/>
        <w:jc w:val="both"/>
        <w:rPr>
          <w:rFonts w:ascii="Arial" w:hAnsi="Arial" w:cs="Arial"/>
        </w:rPr>
      </w:pPr>
      <w:r>
        <w:rPr>
          <w:rFonts w:ascii="Arial" w:hAnsi="Arial" w:cs="Arial"/>
        </w:rPr>
        <w:t>Feelings</w:t>
      </w:r>
    </w:p>
    <w:p w14:paraId="1C37A1E2" w14:textId="77777777" w:rsidR="00873843" w:rsidRDefault="002E15D9">
      <w:pPr>
        <w:spacing w:line="360" w:lineRule="auto"/>
        <w:jc w:val="both"/>
        <w:rPr>
          <w:rFonts w:ascii="Arial" w:hAnsi="Arial" w:cs="Arial"/>
        </w:rPr>
      </w:pPr>
      <w:r>
        <w:rPr>
          <w:rFonts w:ascii="Arial" w:hAnsi="Arial" w:cs="Arial"/>
        </w:rPr>
        <w:t>I felt confident during the brainstorming stage because divergent thinking allowed me to contribute ideas freely without criticism. However, I felt less confident during the convergent thinking stage because evaluating and selecting the best idea required critical judgement and decision-making skills.</w:t>
      </w:r>
    </w:p>
    <w:p w14:paraId="1D4A0E94" w14:textId="77777777" w:rsidR="00873843" w:rsidRDefault="002E15D9">
      <w:pPr>
        <w:spacing w:line="360" w:lineRule="auto"/>
        <w:jc w:val="both"/>
        <w:rPr>
          <w:rFonts w:ascii="Arial" w:hAnsi="Arial" w:cs="Arial"/>
        </w:rPr>
      </w:pPr>
      <w:r>
        <w:rPr>
          <w:rFonts w:ascii="Arial" w:hAnsi="Arial" w:cs="Arial"/>
        </w:rPr>
        <w:t>Evaluation</w:t>
      </w:r>
    </w:p>
    <w:p w14:paraId="3D1E1570" w14:textId="77777777" w:rsidR="00873843" w:rsidRDefault="002E15D9">
      <w:pPr>
        <w:spacing w:line="360" w:lineRule="auto"/>
        <w:jc w:val="both"/>
        <w:rPr>
          <w:rFonts w:ascii="Arial" w:hAnsi="Arial" w:cs="Arial"/>
        </w:rPr>
      </w:pPr>
      <w:r>
        <w:rPr>
          <w:rFonts w:ascii="Arial" w:hAnsi="Arial" w:cs="Arial"/>
        </w:rPr>
        <w:t>A positive aspect of the activity was the variety of perspectives shared by group members, which produced several potential solutions. The group communicated respectfully and worked collaboratively. However, reaching a final decision was challenging because different members preferred different solutions. To help overcome this issue, I suggested using a pros-and-cons list. This enabled the group to compare ideas objectively and reach a more informed decision.</w:t>
      </w:r>
    </w:p>
    <w:p w14:paraId="46294314" w14:textId="77777777" w:rsidR="00873843" w:rsidRDefault="002E15D9">
      <w:pPr>
        <w:spacing w:line="360" w:lineRule="auto"/>
        <w:jc w:val="both"/>
        <w:rPr>
          <w:rFonts w:ascii="Arial" w:hAnsi="Arial" w:cs="Arial"/>
        </w:rPr>
      </w:pPr>
      <w:r>
        <w:rPr>
          <w:rFonts w:ascii="Arial" w:hAnsi="Arial" w:cs="Arial"/>
        </w:rPr>
        <w:t>Analysis</w:t>
      </w:r>
    </w:p>
    <w:p w14:paraId="37FF247E" w14:textId="77777777" w:rsidR="00873843" w:rsidRDefault="002E15D9">
      <w:pPr>
        <w:spacing w:line="360" w:lineRule="auto"/>
        <w:jc w:val="both"/>
        <w:rPr>
          <w:rFonts w:ascii="Arial" w:hAnsi="Arial" w:cs="Arial"/>
        </w:rPr>
      </w:pPr>
      <w:r>
        <w:rPr>
          <w:rFonts w:ascii="Arial" w:hAnsi="Arial" w:cs="Arial"/>
        </w:rPr>
        <w:t>This experience showed that successful teamwork requires both creativity and critical thinking. While I was comfortable generating ideas, I found evaluating them more difficult due to a lack of confidence in challenging others' opinions. Group dynamics also influenced the discussion, as some members contributed more than others.</w:t>
      </w:r>
    </w:p>
    <w:p w14:paraId="5227C186" w14:textId="77777777" w:rsidR="00873843" w:rsidRDefault="002E15D9">
      <w:pPr>
        <w:spacing w:line="360" w:lineRule="auto"/>
        <w:jc w:val="both"/>
        <w:rPr>
          <w:rFonts w:ascii="Arial" w:hAnsi="Arial" w:cs="Arial"/>
        </w:rPr>
      </w:pPr>
      <w:r>
        <w:rPr>
          <w:rFonts w:ascii="Arial" w:hAnsi="Arial" w:cs="Arial"/>
        </w:rPr>
        <w:lastRenderedPageBreak/>
        <w:t>Conclusion and Action Plan</w:t>
      </w:r>
    </w:p>
    <w:p w14:paraId="5A382405" w14:textId="77777777" w:rsidR="00873843" w:rsidRDefault="002E15D9">
      <w:pPr>
        <w:spacing w:line="360" w:lineRule="auto"/>
        <w:jc w:val="both"/>
        <w:rPr>
          <w:rFonts w:ascii="Arial" w:hAnsi="Arial" w:cs="Arial"/>
        </w:rPr>
      </w:pPr>
      <w:r>
        <w:rPr>
          <w:rFonts w:ascii="Arial" w:hAnsi="Arial" w:cs="Arial"/>
        </w:rPr>
        <w:t>Overall, the activity improved my understanding of divergent and convergent thinking. In future group tasks, I will contribute at least one evaluative comment during discussions and encourage one quieter member to share their views. I will also use a decision-making matrix to support evidence-based decision-making.</w:t>
      </w:r>
    </w:p>
    <w:p w14:paraId="36CAB4B3" w14:textId="77777777" w:rsidR="00873843" w:rsidRDefault="00873843">
      <w:pPr>
        <w:spacing w:line="360" w:lineRule="auto"/>
        <w:jc w:val="both"/>
        <w:rPr>
          <w:rFonts w:ascii="Arial" w:hAnsi="Arial" w:cs="Arial"/>
        </w:rPr>
      </w:pPr>
    </w:p>
    <w:p w14:paraId="19830B8D" w14:textId="77777777" w:rsidR="00873843" w:rsidRDefault="002E15D9">
      <w:pPr>
        <w:spacing w:line="360" w:lineRule="auto"/>
        <w:jc w:val="both"/>
        <w:rPr>
          <w:rFonts w:ascii="Arial" w:hAnsi="Arial" w:cs="Arial"/>
          <w:b/>
          <w:bCs/>
        </w:rPr>
      </w:pPr>
      <w:r>
        <w:rPr>
          <w:rFonts w:ascii="Arial" w:hAnsi="Arial" w:cs="Arial"/>
          <w:b/>
          <w:bCs/>
        </w:rPr>
        <w:t>Task 4: Case Study Analysis of a UK Innovation – Virtual Wards</w:t>
      </w:r>
    </w:p>
    <w:p w14:paraId="535ECF80" w14:textId="77777777" w:rsidR="00873843" w:rsidRDefault="002E15D9">
      <w:pPr>
        <w:spacing w:line="360" w:lineRule="auto"/>
        <w:jc w:val="both"/>
        <w:rPr>
          <w:rFonts w:ascii="Arial" w:hAnsi="Arial" w:cs="Arial"/>
        </w:rPr>
      </w:pPr>
      <w:r>
        <w:rPr>
          <w:rFonts w:ascii="Arial" w:hAnsi="Arial" w:cs="Arial"/>
        </w:rPr>
        <w:t>The NHS Virtual Ward programme enables patients to receive hospital-level care at home through remote monitoring technology and support from healthcare professionals. The innovation was introduced to address increasing patient demand, hospital bed shortages, and pressures on NHS services (NHS England, 2024).</w:t>
      </w:r>
    </w:p>
    <w:p w14:paraId="774B52F0" w14:textId="77777777" w:rsidR="00873843" w:rsidRDefault="002E15D9">
      <w:pPr>
        <w:spacing w:line="360" w:lineRule="auto"/>
        <w:jc w:val="both"/>
        <w:rPr>
          <w:rFonts w:ascii="Arial" w:hAnsi="Arial" w:cs="Arial"/>
        </w:rPr>
      </w:pPr>
      <w:r>
        <w:rPr>
          <w:rFonts w:ascii="Arial" w:hAnsi="Arial" w:cs="Arial"/>
        </w:rPr>
        <w:t>Creativity contributed to the development of virtual wards by combining digital technology, healthcare expertise, and multidisciplinary teamwork. This approach allows patients to receive safe and effective treatment in familiar surroundings rather than remaining in hospital. Rogers’ Diffusion of Innovation Theory suggests that innovations are more likely to be adopted when they offer clear benefits and are easy to use (Rogers, 2003).</w:t>
      </w:r>
    </w:p>
    <w:p w14:paraId="1FB9C18B" w14:textId="7964B306" w:rsidR="00873843" w:rsidRDefault="00B75A04" w:rsidP="00B75A04">
      <w:pPr>
        <w:spacing w:line="360" w:lineRule="auto"/>
        <w:jc w:val="both"/>
        <w:rPr>
          <w:rFonts w:ascii="Arial" w:hAnsi="Arial" w:cs="Arial"/>
        </w:rPr>
      </w:pPr>
      <w:r w:rsidRPr="00B75A04">
        <w:rPr>
          <w:rFonts w:ascii="Arial" w:hAnsi="Arial" w:cs="Arial"/>
        </w:rPr>
        <w:t>Virtual wards provide significant benefits for patients and healthcare organisations. In the Southeast of England, over 9,000 non-elective hospital admissions were avoided between 2023 and 2024 through virtual ward services (NHS England, 2024). Evaluation findings indicate that, on average, one non-elective admission was avoided for every 2.5 virtual ward admissions, with some mature services achieving a 1:1 ratio (NHS England, 2024). The programme also generated an annualised net financial benefit of £10.4 million across analysed pathways. Across six integrated care systems and 32 NHS trusts, 1,939 virtual ward beds support admission avoidance and earlier discharge, improving patient experience and system capacity (NHS England, 2024).</w:t>
      </w:r>
      <w:r w:rsidR="002E15D9">
        <w:rPr>
          <w:rFonts w:ascii="Arial" w:hAnsi="Arial" w:cs="Arial"/>
        </w:rPr>
        <w:t xml:space="preserve"> </w:t>
      </w:r>
    </w:p>
    <w:p w14:paraId="3442AAD1" w14:textId="77777777" w:rsidR="00873843" w:rsidRDefault="002E15D9">
      <w:pPr>
        <w:spacing w:line="360" w:lineRule="auto"/>
        <w:jc w:val="both"/>
        <w:rPr>
          <w:rFonts w:ascii="Arial" w:hAnsi="Arial" w:cs="Arial"/>
        </w:rPr>
      </w:pPr>
      <w:r>
        <w:rPr>
          <w:rFonts w:ascii="Arial" w:hAnsi="Arial" w:cs="Arial"/>
        </w:rPr>
        <w:t xml:space="preserve">However, there are limitations. Digital exclusion may prevent some individuals from accessing the required technology, while concerns remain regarding data security, equipment reliability, and patient suitability. Some patients may also rely heavily on family carers, increasing their responsibilities. In addition, access to virtual wards </w:t>
      </w:r>
      <w:r>
        <w:rPr>
          <w:rFonts w:ascii="Arial" w:hAnsi="Arial" w:cs="Arial"/>
        </w:rPr>
        <w:lastRenderedPageBreak/>
        <w:t>may vary between geographical areas, and staff require appropriate training to deliver care effectively. Overall, virtual wards demonstrate how innovation can improve efficiency and person-centred care across the NHS.</w:t>
      </w:r>
    </w:p>
    <w:p w14:paraId="7C9FEC0A" w14:textId="77777777" w:rsidR="00873843" w:rsidRDefault="00873843">
      <w:pPr>
        <w:spacing w:line="360" w:lineRule="auto"/>
        <w:jc w:val="both"/>
        <w:rPr>
          <w:rFonts w:ascii="Arial" w:hAnsi="Arial" w:cs="Arial"/>
        </w:rPr>
      </w:pPr>
    </w:p>
    <w:p w14:paraId="1E2F2CDA" w14:textId="77777777" w:rsidR="00873843" w:rsidRDefault="002E15D9">
      <w:pPr>
        <w:spacing w:line="360" w:lineRule="auto"/>
        <w:jc w:val="both"/>
        <w:rPr>
          <w:rFonts w:ascii="Arial" w:hAnsi="Arial" w:cs="Arial"/>
          <w:b/>
          <w:bCs/>
        </w:rPr>
      </w:pPr>
      <w:r>
        <w:rPr>
          <w:rFonts w:ascii="Arial" w:hAnsi="Arial" w:cs="Arial"/>
          <w:b/>
          <w:bCs/>
        </w:rPr>
        <w:t>Task 5: Research Task - Staff Stress and Burnout in Health and Social Care</w:t>
      </w:r>
    </w:p>
    <w:p w14:paraId="67BC4B62" w14:textId="77777777" w:rsidR="000C012F" w:rsidRDefault="000C012F" w:rsidP="000C012F">
      <w:pPr>
        <w:spacing w:line="360" w:lineRule="auto"/>
        <w:jc w:val="both"/>
        <w:rPr>
          <w:rFonts w:ascii="Arial" w:hAnsi="Arial" w:cs="Arial"/>
        </w:rPr>
      </w:pPr>
      <w:r w:rsidRPr="000C012F">
        <w:rPr>
          <w:rFonts w:ascii="Arial" w:hAnsi="Arial" w:cs="Arial"/>
        </w:rPr>
        <w:t xml:space="preserve">Staff stress and burnout </w:t>
      </w:r>
      <w:r>
        <w:rPr>
          <w:rFonts w:ascii="Arial" w:hAnsi="Arial" w:cs="Arial"/>
        </w:rPr>
        <w:t>remain significant challenges</w:t>
      </w:r>
      <w:r w:rsidRPr="000C012F">
        <w:rPr>
          <w:rFonts w:ascii="Arial" w:hAnsi="Arial" w:cs="Arial"/>
        </w:rPr>
        <w:t xml:space="preserve"> within health and social care because they negatively affect employee wellbeing, staff retention, job satisfaction, and the quality of care provided to service users. Maslach and Leiter (2016) conducted a theoretical and evidence-based review of burnout research involving healthcare and human service professionals. Their work identified burnout as a psychological syndrome characterised by emotional exhaustion, depersonalisation, and a reduced sense of personal accomplishment. </w:t>
      </w:r>
      <w:r>
        <w:rPr>
          <w:rFonts w:ascii="Arial" w:hAnsi="Arial" w:cs="Arial"/>
        </w:rPr>
        <w:t xml:space="preserve">                                        </w:t>
      </w:r>
    </w:p>
    <w:p w14:paraId="350F0E92" w14:textId="34D197E0" w:rsidR="000C012F" w:rsidRPr="000C012F" w:rsidRDefault="000C012F" w:rsidP="000C012F">
      <w:pPr>
        <w:spacing w:line="360" w:lineRule="auto"/>
        <w:jc w:val="both"/>
        <w:rPr>
          <w:rFonts w:ascii="Arial" w:hAnsi="Arial" w:cs="Arial"/>
        </w:rPr>
      </w:pPr>
      <w:r w:rsidRPr="000C012F">
        <w:rPr>
          <w:rFonts w:ascii="Arial" w:hAnsi="Arial" w:cs="Arial"/>
        </w:rPr>
        <w:t>The authors argued that burnout develops when there is a mismatch between employees and their working environment, particularly in relation to workload, control, rewards, community, fairness, and values (Maslach and Leiter, 2016). A limitation of this review is that it draws on evidence from a variety of international healthcare settings, reducing direct applicability to the UK context. However, the findings remain relevant because NHS staff experience similar workplace pressures.</w:t>
      </w:r>
    </w:p>
    <w:p w14:paraId="2FB3C82B" w14:textId="77777777" w:rsidR="000C012F" w:rsidRDefault="000C012F" w:rsidP="000C012F">
      <w:pPr>
        <w:spacing w:line="360" w:lineRule="auto"/>
        <w:jc w:val="both"/>
        <w:rPr>
          <w:rFonts w:ascii="Arial" w:hAnsi="Arial" w:cs="Arial"/>
        </w:rPr>
      </w:pPr>
      <w:r w:rsidRPr="000C012F">
        <w:rPr>
          <w:rFonts w:ascii="Arial" w:hAnsi="Arial" w:cs="Arial"/>
        </w:rPr>
        <w:t xml:space="preserve">Dyrbye et al. (2017) reviewed research focusing primarily on physicians and nurses in the United States. The study examined factors contributing to stress and burnout and found that excessive workload, long working hours, inadequate staffing levels, administrative burden, and poor leadership significantly increased the risk of burnout among healthcare professionals (Dyrbye et al., 2017). Unlike Maslach and Leiter (2016), who focused on the psychological dimensions of burnout, Dyrbye et al. (2017) emphasised organisational factors and recommended interventions such as supportive leadership, workload reduction, and improved workplace culture. </w:t>
      </w:r>
    </w:p>
    <w:p w14:paraId="1DAEC2B8" w14:textId="5E2E4256" w:rsidR="000C012F" w:rsidRPr="000C012F" w:rsidRDefault="000C012F" w:rsidP="000C012F">
      <w:pPr>
        <w:spacing w:line="360" w:lineRule="auto"/>
        <w:jc w:val="both"/>
        <w:rPr>
          <w:rFonts w:ascii="Arial" w:hAnsi="Arial" w:cs="Arial"/>
        </w:rPr>
      </w:pPr>
      <w:r w:rsidRPr="000C012F">
        <w:rPr>
          <w:rFonts w:ascii="Arial" w:hAnsi="Arial" w:cs="Arial"/>
        </w:rPr>
        <w:t xml:space="preserve">A limitation is that the evidence was largely based on American healthcare systems, which differ from UK services. Nevertheless, the findings are highly applicable to UK health and social care because workforce shortages, increasing patient demand, and resource constraints are also common challenges. Overall, both studies suggest that </w:t>
      </w:r>
      <w:r w:rsidRPr="000C012F">
        <w:rPr>
          <w:rFonts w:ascii="Arial" w:hAnsi="Arial" w:cs="Arial"/>
        </w:rPr>
        <w:lastRenderedPageBreak/>
        <w:t>organisational change and improved staff support are essential for reducing burnout and improving workforce wellbeing and patient outcomes.</w:t>
      </w:r>
    </w:p>
    <w:p w14:paraId="090F1ACF" w14:textId="77777777" w:rsidR="00873843" w:rsidRDefault="00873843">
      <w:pPr>
        <w:spacing w:line="360" w:lineRule="auto"/>
        <w:jc w:val="both"/>
        <w:rPr>
          <w:rFonts w:ascii="Arial" w:hAnsi="Arial" w:cs="Arial"/>
        </w:rPr>
      </w:pPr>
    </w:p>
    <w:p w14:paraId="23843099" w14:textId="77777777" w:rsidR="00873843" w:rsidRDefault="00873843">
      <w:pPr>
        <w:spacing w:line="360" w:lineRule="auto"/>
        <w:jc w:val="both"/>
        <w:rPr>
          <w:rFonts w:ascii="Arial" w:hAnsi="Arial" w:cs="Arial"/>
        </w:rPr>
      </w:pPr>
    </w:p>
    <w:p w14:paraId="2149164E" w14:textId="77777777" w:rsidR="00873843" w:rsidRDefault="002E15D9">
      <w:pPr>
        <w:spacing w:line="360" w:lineRule="auto"/>
        <w:jc w:val="both"/>
        <w:rPr>
          <w:rFonts w:ascii="Arial" w:hAnsi="Arial" w:cs="Arial"/>
          <w:b/>
          <w:bCs/>
        </w:rPr>
      </w:pPr>
      <w:r>
        <w:rPr>
          <w:rFonts w:ascii="Arial" w:hAnsi="Arial" w:cs="Arial"/>
          <w:b/>
          <w:bCs/>
        </w:rPr>
        <w:t>Task 6: Exploring Digital Innovation in Health and Social Care</w:t>
      </w:r>
    </w:p>
    <w:p w14:paraId="0BE97512" w14:textId="77777777" w:rsidR="00873843" w:rsidRDefault="002E15D9">
      <w:pPr>
        <w:spacing w:line="360" w:lineRule="auto"/>
        <w:jc w:val="both"/>
        <w:rPr>
          <w:rFonts w:ascii="Arial" w:hAnsi="Arial" w:cs="Arial"/>
        </w:rPr>
      </w:pPr>
      <w:r>
        <w:rPr>
          <w:rFonts w:ascii="Arial" w:hAnsi="Arial" w:cs="Arial"/>
        </w:rPr>
        <w:t>1. One Benefit of Using Wearable Health Technologies</w:t>
      </w:r>
    </w:p>
    <w:p w14:paraId="163CF900" w14:textId="77777777" w:rsidR="00873843" w:rsidRDefault="002E15D9">
      <w:pPr>
        <w:spacing w:line="360" w:lineRule="auto"/>
        <w:jc w:val="both"/>
        <w:rPr>
          <w:rFonts w:ascii="Arial" w:hAnsi="Arial" w:cs="Arial"/>
        </w:rPr>
      </w:pPr>
      <w:r>
        <w:rPr>
          <w:rFonts w:ascii="Arial" w:hAnsi="Arial" w:cs="Arial"/>
        </w:rPr>
        <w:t>Wearable health technologies, such as smartwatches, fitness trackers, and Continuous Glucose Monitoring (CGM) devices, are increasingly being used to support the management of long-term health conditions. These technologies can monitor health indicators such as heart rate, physical activity levels, sleep patterns and, in the case of CGM devices, blood glucose levels. The information collected can help patients identify changes in their health and encourage greater involvement in self-management. Continuous monitoring may also enable healthcare professionals to identify potential problems earlier and provide timely interventions, reducing the likelihood of avoidable hospital admissions (Hussain, 2024).</w:t>
      </w:r>
    </w:p>
    <w:p w14:paraId="3C293716" w14:textId="77777777" w:rsidR="00873843" w:rsidRDefault="002E15D9">
      <w:pPr>
        <w:spacing w:line="360" w:lineRule="auto"/>
        <w:jc w:val="both"/>
        <w:rPr>
          <w:rFonts w:ascii="Arial" w:hAnsi="Arial" w:cs="Arial"/>
        </w:rPr>
      </w:pPr>
      <w:r>
        <w:rPr>
          <w:rFonts w:ascii="Arial" w:hAnsi="Arial" w:cs="Arial"/>
        </w:rPr>
        <w:t>The Technology Acceptance Model (TAM) suggests that people are more likely to adopt technology when they perceive it to be useful and easy to use (Davis, 1989). This helps explain the growing use of wearable technologies among individuals with chronic conditions such as diabetes, asthma, and cardiovascular disease. By providing real-time feedback and alerts, wearable devices can support decision-making and encourage healthier behaviours. Within the NHS, digital health technologies are increasingly explored as a way of helping patients manage conditions from home while reducing pressure on healthcare services (Hussain, 2024).</w:t>
      </w:r>
    </w:p>
    <w:p w14:paraId="143328C7" w14:textId="77777777" w:rsidR="00873843" w:rsidRDefault="002E15D9">
      <w:pPr>
        <w:spacing w:line="360" w:lineRule="auto"/>
        <w:jc w:val="both"/>
        <w:rPr>
          <w:rFonts w:ascii="Arial" w:hAnsi="Arial" w:cs="Arial"/>
        </w:rPr>
      </w:pPr>
      <w:r>
        <w:rPr>
          <w:rFonts w:ascii="Arial" w:hAnsi="Arial" w:cs="Arial"/>
        </w:rPr>
        <w:t xml:space="preserve">However, several limitations should also be considered. The accuracy and reliability of wearable devices can vary, and some devices may produce false alerts or inaccurate readings. This can cause unnecessary anxiety for users and may result in increased demand on healthcare services. Data privacy and security are also important concerns, as personal health information must be protected from unauthorised access. In addition, not everyone has the digital skills, technology, or </w:t>
      </w:r>
      <w:r>
        <w:rPr>
          <w:rFonts w:ascii="Arial" w:hAnsi="Arial" w:cs="Arial"/>
        </w:rPr>
        <w:lastRenderedPageBreak/>
        <w:t>financial resources needed to use these devices effectively, creating the risk of unequal access to healthcare benefits.</w:t>
      </w:r>
    </w:p>
    <w:p w14:paraId="09B00F59" w14:textId="77777777" w:rsidR="00873843" w:rsidRDefault="002E15D9">
      <w:pPr>
        <w:spacing w:line="360" w:lineRule="auto"/>
        <w:jc w:val="both"/>
        <w:rPr>
          <w:rFonts w:ascii="Arial" w:hAnsi="Arial" w:cs="Arial"/>
        </w:rPr>
      </w:pPr>
      <w:r>
        <w:rPr>
          <w:rFonts w:ascii="Arial" w:hAnsi="Arial" w:cs="Arial"/>
        </w:rPr>
        <w:t>Another concern is that excessive monitoring may encourage some individuals to become overly focused on their health data, increasing stress and anxiety. Furthermore, healthcare professionals may not always have the time or capacity to review large volumes of patient-generated information. Therefore, while wearable technologies offer significant opportunities for improving self-management and early intervention, their effectiveness depends on accurate technology, appropriate support, and equitable access.</w:t>
      </w:r>
    </w:p>
    <w:p w14:paraId="42496D86" w14:textId="77777777" w:rsidR="00873843" w:rsidRDefault="00873843">
      <w:pPr>
        <w:spacing w:line="360" w:lineRule="auto"/>
        <w:jc w:val="both"/>
        <w:rPr>
          <w:rFonts w:ascii="Arial" w:hAnsi="Arial" w:cs="Arial"/>
        </w:rPr>
      </w:pPr>
    </w:p>
    <w:p w14:paraId="15FB7D42" w14:textId="77777777" w:rsidR="00873843" w:rsidRDefault="002E15D9">
      <w:pPr>
        <w:suppressAutoHyphens w:val="0"/>
        <w:spacing w:beforeAutospacing="1" w:afterAutospacing="1" w:line="360" w:lineRule="auto"/>
        <w:outlineLvl w:val="2"/>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Task 7: Understanding the NHS Healthcare Leadership Model</w:t>
      </w:r>
    </w:p>
    <w:p w14:paraId="6C00FCB4" w14:textId="77777777" w:rsidR="00873843" w:rsidRDefault="002E15D9">
      <w:pPr>
        <w:suppressAutoHyphens w:val="0"/>
        <w:spacing w:beforeAutospacing="1"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NHS Healthcare Leadership Model was developed by the NHS Leadership Academy (2013) to support leadership across health and social care organisations. It recognises that leadership is not limited to senior managers but can be demonstrated by anyone seeking to improve services and patient outcomes. The model is based on nine dimensions: Inspiring Shared Purpose, Leading with Care, Evaluating Information, Connecting Our Service, Sharing the Vision, Engaging the Team, Holding to Account, Developing Capability, and Influencing for Results. Together, these behaviours encourage high-quality, patient-centred care and continuous service improvement.</w:t>
      </w:r>
    </w:p>
    <w:p w14:paraId="7CEB7A46" w14:textId="77777777" w:rsidR="00873843" w:rsidRDefault="002E15D9">
      <w:pPr>
        <w:suppressAutoHyphens w:val="0"/>
        <w:spacing w:beforeAutospacing="1"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model is important because effective leadership supports patient safety, staff wellbeing, teamwork, and organisational performance. It also promotes collaboration, evidence-based decision-making, and innovation, which are essential in healthcare environments facing growing demand, financial pressures, and workforce challenges.</w:t>
      </w:r>
    </w:p>
    <w:p w14:paraId="70BEDD6B" w14:textId="77777777" w:rsidR="00873843" w:rsidRDefault="002E15D9">
      <w:pPr>
        <w:suppressAutoHyphens w:val="0"/>
        <w:spacing w:beforeAutospacing="1" w:afterAutospacing="1" w:line="360" w:lineRule="auto"/>
        <w:outlineLvl w:val="3"/>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Leadership Behaviour: Inspiring Shared Purpose</w:t>
      </w:r>
    </w:p>
    <w:p w14:paraId="654133CD" w14:textId="77777777" w:rsidR="00873843" w:rsidRDefault="002E15D9">
      <w:pPr>
        <w:suppressAutoHyphens w:val="0"/>
        <w:spacing w:beforeAutospacing="1"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One of the key dimensions of the Healthcare Leadership Model is </w:t>
      </w:r>
      <w:r>
        <w:rPr>
          <w:rFonts w:ascii="Arial" w:eastAsia="Times New Roman" w:hAnsi="Arial" w:cs="Arial"/>
          <w:b/>
          <w:bCs/>
          <w:kern w:val="0"/>
          <w:lang w:eastAsia="en-GB"/>
          <w14:ligatures w14:val="none"/>
        </w:rPr>
        <w:t>Inspiring Shared Purpose</w:t>
      </w:r>
      <w:r>
        <w:rPr>
          <w:rFonts w:ascii="Arial" w:eastAsia="Times New Roman" w:hAnsi="Arial" w:cs="Arial"/>
          <w:kern w:val="0"/>
          <w:lang w:eastAsia="en-GB"/>
          <w14:ligatures w14:val="none"/>
        </w:rPr>
        <w:t xml:space="preserve">. This behaviour focuses on helping employees understand how their work contributes to organisational goals and positive patient outcomes. Rather than simply </w:t>
      </w:r>
      <w:r>
        <w:rPr>
          <w:rFonts w:ascii="Arial" w:eastAsia="Times New Roman" w:hAnsi="Arial" w:cs="Arial"/>
          <w:kern w:val="0"/>
          <w:lang w:eastAsia="en-GB"/>
          <w14:ligatures w14:val="none"/>
        </w:rPr>
        <w:lastRenderedPageBreak/>
        <w:t>directing tasks, leaders create a sense of meaning and commitment that motivates staff to perform effectively.</w:t>
      </w:r>
    </w:p>
    <w:p w14:paraId="116D28E6" w14:textId="77777777" w:rsidR="00873843" w:rsidRDefault="002E15D9">
      <w:pPr>
        <w:suppressAutoHyphens w:val="0"/>
        <w:spacing w:beforeAutospacing="1"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This behaviour aligns with </w:t>
      </w:r>
      <w:r>
        <w:rPr>
          <w:rFonts w:ascii="Arial" w:eastAsia="Times New Roman" w:hAnsi="Arial" w:cs="Arial"/>
          <w:b/>
          <w:bCs/>
          <w:kern w:val="0"/>
          <w:lang w:eastAsia="en-GB"/>
          <w14:ligatures w14:val="none"/>
        </w:rPr>
        <w:t>Transformational Leadership Theory</w:t>
      </w:r>
      <w:r>
        <w:rPr>
          <w:rFonts w:ascii="Arial" w:eastAsia="Times New Roman" w:hAnsi="Arial" w:cs="Arial"/>
          <w:kern w:val="0"/>
          <w:lang w:eastAsia="en-GB"/>
          <w14:ligatures w14:val="none"/>
        </w:rPr>
        <w:t>, which emphasises inspiring and motivating followers through a shared vision while encouraging innovation and positive change (Bass and Avolio, 1994). Transformational leaders increase engagement by helping staff feel valued, involved, and committed to organisational objectives.</w:t>
      </w:r>
    </w:p>
    <w:p w14:paraId="23C6C8D6" w14:textId="77777777" w:rsidR="00873843" w:rsidRDefault="002E15D9">
      <w:pPr>
        <w:suppressAutoHyphens w:val="0"/>
        <w:spacing w:beforeAutospacing="1"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 practical example is the implementation of an </w:t>
      </w:r>
      <w:r>
        <w:rPr>
          <w:rFonts w:ascii="Arial" w:eastAsia="Times New Roman" w:hAnsi="Arial" w:cs="Arial"/>
          <w:b/>
          <w:bCs/>
          <w:kern w:val="0"/>
          <w:lang w:eastAsia="en-GB"/>
          <w14:ligatures w14:val="none"/>
        </w:rPr>
        <w:t>Electronic Health Record (EHR) system</w:t>
      </w:r>
      <w:r>
        <w:rPr>
          <w:rFonts w:ascii="Arial" w:eastAsia="Times New Roman" w:hAnsi="Arial" w:cs="Arial"/>
          <w:kern w:val="0"/>
          <w:lang w:eastAsia="en-GB"/>
          <w14:ligatures w14:val="none"/>
        </w:rPr>
        <w:t xml:space="preserve"> in a hospital. Staff may initially resist change due to concerns about new technology and altered working practices. A leader demonstrating Inspiring Shared Purpose would communicate how the system can improve patient safety, reduce errors, and provide faster access to information. They would also encourage staff feedback and involvement throughout the implementation process. This approach helps build understanding, reduces resistance, and increases commitment to the change.</w:t>
      </w:r>
    </w:p>
    <w:p w14:paraId="1C1385F2" w14:textId="77777777" w:rsidR="00873843" w:rsidRDefault="002E15D9">
      <w:pPr>
        <w:suppressAutoHyphens w:val="0"/>
        <w:spacing w:beforeAutospacing="1"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Inspiring Shared Purpose supports creativity and value creation by encouraging employees to contribute ideas and improvements. When staff understand the purpose behind change, they are more likely to engage in problem-solving and innovation. This can lead to better patient experiences, increased efficiency, and improved use of organisational resources.</w:t>
      </w:r>
    </w:p>
    <w:p w14:paraId="34066457" w14:textId="77777777" w:rsidR="00873843" w:rsidRDefault="002E15D9">
      <w:pPr>
        <w:suppressAutoHyphens w:val="0"/>
        <w:spacing w:beforeAutospacing="1"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However, this leadership behaviour has limitations. A motivating vision alone cannot overcome barriers such as staff shortages, limited funding, heavy workloads, or insufficient training. Employees may also be reluctant to contribute ideas if they do not feel supported or psychologically safe. Therefore, leaders must combine inspiration with practical support, effective communication, and development opportunities. When supported by these factors, Inspiring Shared Purpose can play a significant role in driving innovation, service improvement, and high-quality patient care.</w:t>
      </w:r>
    </w:p>
    <w:p w14:paraId="744425C2" w14:textId="77777777" w:rsidR="00873843" w:rsidRDefault="00873843">
      <w:pPr>
        <w:spacing w:line="360" w:lineRule="auto"/>
        <w:jc w:val="both"/>
        <w:rPr>
          <w:rFonts w:ascii="Arial" w:hAnsi="Arial" w:cs="Arial"/>
          <w:b/>
          <w:bCs/>
        </w:rPr>
      </w:pPr>
    </w:p>
    <w:p w14:paraId="307B1C6F" w14:textId="77777777" w:rsidR="000C012F" w:rsidRDefault="000C012F">
      <w:pPr>
        <w:spacing w:line="360" w:lineRule="auto"/>
        <w:jc w:val="both"/>
        <w:rPr>
          <w:rFonts w:ascii="Arial" w:hAnsi="Arial" w:cs="Arial"/>
          <w:b/>
          <w:bCs/>
        </w:rPr>
      </w:pPr>
    </w:p>
    <w:p w14:paraId="7569809B" w14:textId="1F12D4D1" w:rsidR="00873843" w:rsidRDefault="002E15D9">
      <w:pPr>
        <w:spacing w:line="360" w:lineRule="auto"/>
        <w:jc w:val="both"/>
        <w:rPr>
          <w:rFonts w:ascii="Arial" w:hAnsi="Arial" w:cs="Arial"/>
          <w:b/>
          <w:bCs/>
        </w:rPr>
      </w:pPr>
      <w:r>
        <w:rPr>
          <w:rFonts w:ascii="Arial" w:hAnsi="Arial" w:cs="Arial"/>
          <w:b/>
          <w:bCs/>
        </w:rPr>
        <w:lastRenderedPageBreak/>
        <w:t>Task 8: Self-Reflection Journal Entry</w:t>
      </w:r>
    </w:p>
    <w:p w14:paraId="6B77A155" w14:textId="77777777" w:rsidR="00873843" w:rsidRDefault="002E15D9">
      <w:pPr>
        <w:spacing w:line="360" w:lineRule="auto"/>
        <w:jc w:val="both"/>
        <w:rPr>
          <w:rFonts w:ascii="Arial" w:hAnsi="Arial" w:cs="Arial"/>
        </w:rPr>
      </w:pPr>
      <w:r>
        <w:rPr>
          <w:rFonts w:ascii="Arial" w:hAnsi="Arial" w:cs="Arial"/>
        </w:rPr>
        <w:t>Before starting this module, I believed creativity was mainly about generating new ideas. I did not fully appreciate how creativity, innovation, and value creation contribute to improving healthcare services and patient outcomes. Through studying the module, my understanding developed significantly, particularly during the mind mapping activity on reducing waiting times for mental health services. This activity encouraged me to analyse the causes of delays and explore creative solutions such as digital therapy platforms and AI-supported triage systems. It demonstrated how innovation can transform ideas into practical improvements that increase efficiency and accessibility.</w:t>
      </w:r>
    </w:p>
    <w:p w14:paraId="677530CA" w14:textId="77777777" w:rsidR="00873843" w:rsidRDefault="002E15D9">
      <w:pPr>
        <w:spacing w:line="360" w:lineRule="auto"/>
        <w:jc w:val="both"/>
        <w:rPr>
          <w:rFonts w:ascii="Arial" w:hAnsi="Arial" w:cs="Arial"/>
        </w:rPr>
      </w:pPr>
      <w:r>
        <w:rPr>
          <w:rFonts w:ascii="Arial" w:hAnsi="Arial" w:cs="Arial"/>
        </w:rPr>
        <w:t>One challenge was moving beyond theoretical concepts and applying them to real healthcare problems. Initially, I found it difficult to connect creativity with evidence-based practice. However, learning about Amabile’s Componential Theory of Creativity helped me understand the importance of knowledge, skills, and intrinsic motivation in developing innovative solutions (Amabile, 1996).</w:t>
      </w:r>
    </w:p>
    <w:p w14:paraId="15DD996A" w14:textId="77777777" w:rsidR="00873843" w:rsidRDefault="002E15D9">
      <w:pPr>
        <w:spacing w:line="360" w:lineRule="auto"/>
        <w:jc w:val="both"/>
        <w:rPr>
          <w:rFonts w:ascii="Arial" w:hAnsi="Arial" w:cs="Arial"/>
        </w:rPr>
      </w:pPr>
      <w:r>
        <w:rPr>
          <w:rFonts w:ascii="Arial" w:hAnsi="Arial" w:cs="Arial"/>
        </w:rPr>
        <w:t>As a result, I now approach healthcare challenges more creatively and proactively. In my future professional practice, I will support service improvement and person-centred care. One specific action I will take is to actively participate in quality improvement projects to strengthen my innovation and problem-solving skills.</w:t>
      </w:r>
    </w:p>
    <w:p w14:paraId="71533DCA" w14:textId="77777777" w:rsidR="00873843" w:rsidRDefault="00873843">
      <w:pPr>
        <w:spacing w:line="360" w:lineRule="auto"/>
        <w:jc w:val="both"/>
        <w:rPr>
          <w:rFonts w:ascii="Arial" w:hAnsi="Arial" w:cs="Arial"/>
          <w:i/>
          <w:iCs/>
        </w:rPr>
      </w:pPr>
    </w:p>
    <w:p w14:paraId="217656C3" w14:textId="77777777" w:rsidR="00873843" w:rsidRDefault="00873843">
      <w:pPr>
        <w:spacing w:line="360" w:lineRule="auto"/>
        <w:jc w:val="both"/>
        <w:rPr>
          <w:rFonts w:ascii="Arial" w:hAnsi="Arial" w:cs="Arial"/>
          <w:i/>
          <w:iCs/>
        </w:rPr>
      </w:pPr>
    </w:p>
    <w:p w14:paraId="53EB2B5D" w14:textId="77777777" w:rsidR="00873843" w:rsidRDefault="00873843">
      <w:pPr>
        <w:spacing w:line="360" w:lineRule="auto"/>
        <w:jc w:val="both"/>
        <w:rPr>
          <w:rFonts w:ascii="Arial" w:hAnsi="Arial" w:cs="Arial"/>
          <w:i/>
          <w:iCs/>
        </w:rPr>
      </w:pPr>
    </w:p>
    <w:p w14:paraId="7FEB7549" w14:textId="77777777" w:rsidR="00873843" w:rsidRDefault="00873843">
      <w:pPr>
        <w:spacing w:line="360" w:lineRule="auto"/>
        <w:jc w:val="both"/>
        <w:rPr>
          <w:rFonts w:ascii="Arial" w:hAnsi="Arial" w:cs="Arial"/>
          <w:i/>
          <w:iCs/>
        </w:rPr>
      </w:pPr>
    </w:p>
    <w:p w14:paraId="06FF5DF2" w14:textId="77777777" w:rsidR="00873843" w:rsidRDefault="00873843">
      <w:pPr>
        <w:spacing w:line="360" w:lineRule="auto"/>
        <w:jc w:val="both"/>
        <w:rPr>
          <w:rFonts w:ascii="Arial" w:hAnsi="Arial" w:cs="Arial"/>
          <w:i/>
          <w:iCs/>
        </w:rPr>
      </w:pPr>
    </w:p>
    <w:p w14:paraId="301B8DA5" w14:textId="77777777" w:rsidR="00873843" w:rsidRDefault="00873843">
      <w:pPr>
        <w:suppressAutoHyphens w:val="0"/>
        <w:spacing w:beforeAutospacing="1" w:afterAutospacing="1" w:line="300" w:lineRule="atLeast"/>
        <w:outlineLvl w:val="0"/>
        <w:rPr>
          <w:rFonts w:ascii="Arial" w:hAnsi="Arial" w:cs="Arial"/>
          <w:i/>
          <w:iCs/>
        </w:rPr>
      </w:pPr>
    </w:p>
    <w:p w14:paraId="56ED8B66" w14:textId="77777777" w:rsidR="001D44AB" w:rsidRDefault="001D44AB">
      <w:pPr>
        <w:suppressAutoHyphens w:val="0"/>
        <w:spacing w:beforeAutospacing="1" w:afterAutospacing="1" w:line="300" w:lineRule="atLeast"/>
        <w:outlineLvl w:val="0"/>
        <w:rPr>
          <w:rFonts w:ascii="Segoe UI" w:eastAsia="Times New Roman" w:hAnsi="Segoe UI" w:cs="Segoe UI"/>
          <w:b/>
          <w:bCs/>
          <w:sz w:val="48"/>
          <w:szCs w:val="48"/>
          <w:lang w:eastAsia="en-GB"/>
          <w14:ligatures w14:val="none"/>
        </w:rPr>
      </w:pPr>
    </w:p>
    <w:p w14:paraId="2D1609FA" w14:textId="77777777" w:rsidR="000C012F" w:rsidRDefault="000C012F">
      <w:pPr>
        <w:suppressAutoHyphens w:val="0"/>
        <w:spacing w:beforeAutospacing="1" w:afterAutospacing="1" w:line="300" w:lineRule="atLeast"/>
        <w:outlineLvl w:val="0"/>
        <w:rPr>
          <w:rFonts w:ascii="Segoe UI" w:eastAsia="Times New Roman" w:hAnsi="Segoe UI" w:cs="Segoe UI"/>
          <w:b/>
          <w:bCs/>
          <w:sz w:val="48"/>
          <w:szCs w:val="48"/>
          <w:lang w:eastAsia="en-GB"/>
          <w14:ligatures w14:val="none"/>
        </w:rPr>
      </w:pPr>
    </w:p>
    <w:p w14:paraId="2C15CB35" w14:textId="7DFEA53D" w:rsidR="00873843" w:rsidRDefault="002E15D9">
      <w:pPr>
        <w:suppressAutoHyphens w:val="0"/>
        <w:spacing w:beforeAutospacing="1" w:afterAutospacing="1" w:line="300" w:lineRule="atLeast"/>
        <w:outlineLvl w:val="0"/>
        <w:rPr>
          <w:rFonts w:ascii="Segoe UI" w:eastAsia="Times New Roman" w:hAnsi="Segoe UI" w:cs="Segoe UI"/>
          <w:b/>
          <w:bCs/>
          <w:sz w:val="48"/>
          <w:szCs w:val="48"/>
          <w:lang w:eastAsia="en-GB"/>
          <w14:ligatures w14:val="none"/>
        </w:rPr>
      </w:pPr>
      <w:r>
        <w:rPr>
          <w:rFonts w:ascii="Segoe UI" w:eastAsia="Times New Roman" w:hAnsi="Segoe UI" w:cs="Segoe UI"/>
          <w:b/>
          <w:bCs/>
          <w:sz w:val="48"/>
          <w:szCs w:val="48"/>
          <w:lang w:eastAsia="en-GB"/>
          <w14:ligatures w14:val="none"/>
        </w:rPr>
        <w:lastRenderedPageBreak/>
        <w:t>Reference List</w:t>
      </w:r>
    </w:p>
    <w:p w14:paraId="5B21890B"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Amabile, T.M. (1996) </w:t>
      </w:r>
      <w:r>
        <w:rPr>
          <w:rFonts w:ascii="Segoe UI" w:eastAsia="Times New Roman" w:hAnsi="Segoe UI" w:cs="Segoe UI"/>
          <w:i/>
          <w:iCs/>
          <w:kern w:val="0"/>
          <w:sz w:val="21"/>
          <w:szCs w:val="21"/>
          <w:lang w:eastAsia="en-GB"/>
          <w14:ligatures w14:val="none"/>
        </w:rPr>
        <w:t>Creativity in Context: Update to the Social Psychology of Creativity</w:t>
      </w:r>
      <w:r>
        <w:rPr>
          <w:rFonts w:ascii="Segoe UI" w:eastAsia="Times New Roman" w:hAnsi="Segoe UI" w:cs="Segoe UI"/>
          <w:kern w:val="0"/>
          <w:sz w:val="21"/>
          <w:szCs w:val="21"/>
          <w:lang w:eastAsia="en-GB"/>
          <w14:ligatures w14:val="none"/>
        </w:rPr>
        <w:t>. Boulder, CO: Westview Press. (Accessed: 23 July 2026).</w:t>
      </w:r>
    </w:p>
    <w:p w14:paraId="30934E34"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Bass, B.M. and Avolio, B.J. (1994) </w:t>
      </w:r>
      <w:r>
        <w:rPr>
          <w:rFonts w:ascii="Segoe UI" w:eastAsia="Times New Roman" w:hAnsi="Segoe UI" w:cs="Segoe UI"/>
          <w:i/>
          <w:iCs/>
          <w:kern w:val="0"/>
          <w:sz w:val="21"/>
          <w:szCs w:val="21"/>
          <w:lang w:eastAsia="en-GB"/>
          <w14:ligatures w14:val="none"/>
        </w:rPr>
        <w:t>Improving Organisational Effectiveness Through Transformational Leadership</w:t>
      </w:r>
      <w:r>
        <w:rPr>
          <w:rFonts w:ascii="Segoe UI" w:eastAsia="Times New Roman" w:hAnsi="Segoe UI" w:cs="Segoe UI"/>
          <w:kern w:val="0"/>
          <w:sz w:val="21"/>
          <w:szCs w:val="21"/>
          <w:lang w:eastAsia="en-GB"/>
          <w14:ligatures w14:val="none"/>
        </w:rPr>
        <w:t>. Thousand Oaks, CA: Sage Publications. (Accessed: 23 July 2026).</w:t>
      </w:r>
    </w:p>
    <w:p w14:paraId="1E2BE740"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Burnes, B. (2017) </w:t>
      </w:r>
      <w:r>
        <w:rPr>
          <w:rFonts w:ascii="Segoe UI" w:eastAsia="Times New Roman" w:hAnsi="Segoe UI" w:cs="Segoe UI"/>
          <w:i/>
          <w:iCs/>
          <w:kern w:val="0"/>
          <w:sz w:val="21"/>
          <w:szCs w:val="21"/>
          <w:lang w:eastAsia="en-GB"/>
          <w14:ligatures w14:val="none"/>
        </w:rPr>
        <w:t>Managing Change</w:t>
      </w:r>
      <w:r>
        <w:rPr>
          <w:rFonts w:ascii="Segoe UI" w:eastAsia="Times New Roman" w:hAnsi="Segoe UI" w:cs="Segoe UI"/>
          <w:kern w:val="0"/>
          <w:sz w:val="21"/>
          <w:szCs w:val="21"/>
          <w:lang w:eastAsia="en-GB"/>
          <w14:ligatures w14:val="none"/>
        </w:rPr>
        <w:t xml:space="preserve">. 7th </w:t>
      </w:r>
      <w:proofErr w:type="spellStart"/>
      <w:r>
        <w:rPr>
          <w:rFonts w:ascii="Segoe UI" w:eastAsia="Times New Roman" w:hAnsi="Segoe UI" w:cs="Segoe UI"/>
          <w:kern w:val="0"/>
          <w:sz w:val="21"/>
          <w:szCs w:val="21"/>
          <w:lang w:eastAsia="en-GB"/>
          <w14:ligatures w14:val="none"/>
        </w:rPr>
        <w:t>edn</w:t>
      </w:r>
      <w:proofErr w:type="spellEnd"/>
      <w:r>
        <w:rPr>
          <w:rFonts w:ascii="Segoe UI" w:eastAsia="Times New Roman" w:hAnsi="Segoe UI" w:cs="Segoe UI"/>
          <w:kern w:val="0"/>
          <w:sz w:val="21"/>
          <w:szCs w:val="21"/>
          <w:lang w:eastAsia="en-GB"/>
          <w14:ligatures w14:val="none"/>
        </w:rPr>
        <w:t>. Harlow: Pearson Education. (Accessed: 27 July 2026).</w:t>
      </w:r>
    </w:p>
    <w:p w14:paraId="15534B3C"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Chipman, A. (2024) ‘NHSE letter: trusts must fulfil mandated returns during EPR launches’, </w:t>
      </w:r>
      <w:r>
        <w:rPr>
          <w:rFonts w:ascii="Segoe UI" w:eastAsia="Times New Roman" w:hAnsi="Segoe UI" w:cs="Segoe UI"/>
          <w:i/>
          <w:iCs/>
          <w:kern w:val="0"/>
          <w:sz w:val="21"/>
          <w:szCs w:val="21"/>
          <w:lang w:eastAsia="en-GB"/>
          <w14:ligatures w14:val="none"/>
        </w:rPr>
        <w:t>Digital Health News</w:t>
      </w:r>
      <w:r>
        <w:rPr>
          <w:rFonts w:ascii="Segoe UI" w:eastAsia="Times New Roman" w:hAnsi="Segoe UI" w:cs="Segoe UI"/>
          <w:kern w:val="0"/>
          <w:sz w:val="21"/>
          <w:szCs w:val="21"/>
          <w:lang w:eastAsia="en-GB"/>
          <w14:ligatures w14:val="none"/>
        </w:rPr>
        <w:t>, 17 January. Available at: https://www.digitalhealth.net/2024/01/nhse-letter-trusts-must-fulfil-mandated-returns-during-epr-launches/ (Accessed: 25 July 2026).</w:t>
      </w:r>
    </w:p>
    <w:p w14:paraId="3779ED20"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Cropley, A.J. (2006) ‘In praise of convergent thinking’, </w:t>
      </w:r>
      <w:r>
        <w:rPr>
          <w:rFonts w:ascii="Segoe UI" w:eastAsia="Times New Roman" w:hAnsi="Segoe UI" w:cs="Segoe UI"/>
          <w:i/>
          <w:iCs/>
          <w:kern w:val="0"/>
          <w:sz w:val="21"/>
          <w:szCs w:val="21"/>
          <w:lang w:eastAsia="en-GB"/>
          <w14:ligatures w14:val="none"/>
        </w:rPr>
        <w:t>Creativity Research Journal</w:t>
      </w:r>
      <w:r>
        <w:rPr>
          <w:rFonts w:ascii="Segoe UI" w:eastAsia="Times New Roman" w:hAnsi="Segoe UI" w:cs="Segoe UI"/>
          <w:kern w:val="0"/>
          <w:sz w:val="21"/>
          <w:szCs w:val="21"/>
          <w:lang w:eastAsia="en-GB"/>
          <w14:ligatures w14:val="none"/>
        </w:rPr>
        <w:t>, 18(3), pp. 391-404. (Accessed: 27 July 2026).</w:t>
      </w:r>
    </w:p>
    <w:p w14:paraId="5B8AC488"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Davis, F.D. (1989) ‘Perceived usefulness, perceived ease of use, and user acceptance of information technology’, </w:t>
      </w:r>
      <w:r>
        <w:rPr>
          <w:rFonts w:ascii="Segoe UI" w:eastAsia="Times New Roman" w:hAnsi="Segoe UI" w:cs="Segoe UI"/>
          <w:i/>
          <w:iCs/>
          <w:kern w:val="0"/>
          <w:sz w:val="21"/>
          <w:szCs w:val="21"/>
          <w:lang w:eastAsia="en-GB"/>
          <w14:ligatures w14:val="none"/>
        </w:rPr>
        <w:t>MIS Quarterly</w:t>
      </w:r>
      <w:r>
        <w:rPr>
          <w:rFonts w:ascii="Segoe UI" w:eastAsia="Times New Roman" w:hAnsi="Segoe UI" w:cs="Segoe UI"/>
          <w:kern w:val="0"/>
          <w:sz w:val="21"/>
          <w:szCs w:val="21"/>
          <w:lang w:eastAsia="en-GB"/>
          <w14:ligatures w14:val="none"/>
        </w:rPr>
        <w:t>, 13(3), pp. 319-340. (Accessed: 27 July 2026).</w:t>
      </w:r>
    </w:p>
    <w:p w14:paraId="75A2826D"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Dyrbye, L.N., Shanafelt, T.D., Sinsky, C.A., Cipriano, P.F., Bhatt, J., Ommaya, A., West, C.P. and Meyers, D. (2017) ‘Burnout among health care professionals: A call to explore and address this under-recognised threat to safe, high-quality care’, </w:t>
      </w:r>
      <w:r>
        <w:rPr>
          <w:rFonts w:ascii="Segoe UI" w:eastAsia="Times New Roman" w:hAnsi="Segoe UI" w:cs="Segoe UI"/>
          <w:i/>
          <w:iCs/>
          <w:kern w:val="0"/>
          <w:sz w:val="21"/>
          <w:szCs w:val="21"/>
          <w:lang w:eastAsia="en-GB"/>
          <w14:ligatures w14:val="none"/>
        </w:rPr>
        <w:t>NAM Perspectives</w:t>
      </w:r>
      <w:r>
        <w:rPr>
          <w:rFonts w:ascii="Segoe UI" w:eastAsia="Times New Roman" w:hAnsi="Segoe UI" w:cs="Segoe UI"/>
          <w:kern w:val="0"/>
          <w:sz w:val="21"/>
          <w:szCs w:val="21"/>
          <w:lang w:eastAsia="en-GB"/>
          <w14:ligatures w14:val="none"/>
        </w:rPr>
        <w:t>. Available at: https://nam.edu (Accessed: 27 July 2026).</w:t>
      </w:r>
    </w:p>
    <w:p w14:paraId="76727473"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Gibbs, G. (1988) </w:t>
      </w:r>
      <w:r>
        <w:rPr>
          <w:rFonts w:ascii="Segoe UI" w:eastAsia="Times New Roman" w:hAnsi="Segoe UI" w:cs="Segoe UI"/>
          <w:i/>
          <w:iCs/>
          <w:kern w:val="0"/>
          <w:sz w:val="21"/>
          <w:szCs w:val="21"/>
          <w:lang w:eastAsia="en-GB"/>
          <w14:ligatures w14:val="none"/>
        </w:rPr>
        <w:t>Learning by Doing: A Guide to Teaching and Learning Methods</w:t>
      </w:r>
      <w:r>
        <w:rPr>
          <w:rFonts w:ascii="Segoe UI" w:eastAsia="Times New Roman" w:hAnsi="Segoe UI" w:cs="Segoe UI"/>
          <w:kern w:val="0"/>
          <w:sz w:val="21"/>
          <w:szCs w:val="21"/>
          <w:lang w:eastAsia="en-GB"/>
          <w14:ligatures w14:val="none"/>
        </w:rPr>
        <w:t>. Oxford: Oxford Polytechnic. (Accessed: 27 July 2026).</w:t>
      </w:r>
    </w:p>
    <w:p w14:paraId="1FEA4C80"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HTN Health Tech News (2024) ‘Salisbury, Great Western Hospitals and Royal United Hospitals Bath to implement shared EPR’. Available at: https://htn.co.uk/2024/05/21/salisbury-great-western-hospitals-and-royal-united-hospitals-bath-to-implement-shared-epr/ (Accessed: 27 July 2026).</w:t>
      </w:r>
    </w:p>
    <w:p w14:paraId="7A85938D"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Lewin, K. (1947) ‘Frontiers in group dynamics: Concept, method and reality in social science; social equilibria and social change’, </w:t>
      </w:r>
      <w:r>
        <w:rPr>
          <w:rFonts w:ascii="Segoe UI" w:eastAsia="Times New Roman" w:hAnsi="Segoe UI" w:cs="Segoe UI"/>
          <w:i/>
          <w:iCs/>
          <w:kern w:val="0"/>
          <w:sz w:val="21"/>
          <w:szCs w:val="21"/>
          <w:lang w:eastAsia="en-GB"/>
          <w14:ligatures w14:val="none"/>
        </w:rPr>
        <w:t>Human Relations</w:t>
      </w:r>
      <w:r>
        <w:rPr>
          <w:rFonts w:ascii="Segoe UI" w:eastAsia="Times New Roman" w:hAnsi="Segoe UI" w:cs="Segoe UI"/>
          <w:kern w:val="0"/>
          <w:sz w:val="21"/>
          <w:szCs w:val="21"/>
          <w:lang w:eastAsia="en-GB"/>
          <w14:ligatures w14:val="none"/>
        </w:rPr>
        <w:t>, 1(1), pp. 5-41. (Accessed: 27 July 2026).</w:t>
      </w:r>
    </w:p>
    <w:p w14:paraId="717A8C3E"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Maslach, C. and Leiter, M.P. (2016) ‘Burnout’, in Fink, G. (ed.) </w:t>
      </w:r>
      <w:r>
        <w:rPr>
          <w:rFonts w:ascii="Segoe UI" w:eastAsia="Times New Roman" w:hAnsi="Segoe UI" w:cs="Segoe UI"/>
          <w:i/>
          <w:iCs/>
          <w:kern w:val="0"/>
          <w:sz w:val="21"/>
          <w:szCs w:val="21"/>
          <w:lang w:eastAsia="en-GB"/>
          <w14:ligatures w14:val="none"/>
        </w:rPr>
        <w:t>Stress: Concepts, Cognition, Emotion, and Behaviour</w:t>
      </w:r>
      <w:r>
        <w:rPr>
          <w:rFonts w:ascii="Segoe UI" w:eastAsia="Times New Roman" w:hAnsi="Segoe UI" w:cs="Segoe UI"/>
          <w:kern w:val="0"/>
          <w:sz w:val="21"/>
          <w:szCs w:val="21"/>
          <w:lang w:eastAsia="en-GB"/>
          <w14:ligatures w14:val="none"/>
        </w:rPr>
        <w:t>. London: Academic Press, pp. 351-357. (Accessed: 27 July 2026).</w:t>
      </w:r>
    </w:p>
    <w:p w14:paraId="056328D4"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Meadows, D.H. (2008) </w:t>
      </w:r>
      <w:r>
        <w:rPr>
          <w:rFonts w:ascii="Segoe UI" w:eastAsia="Times New Roman" w:hAnsi="Segoe UI" w:cs="Segoe UI"/>
          <w:i/>
          <w:iCs/>
          <w:kern w:val="0"/>
          <w:sz w:val="21"/>
          <w:szCs w:val="21"/>
          <w:lang w:eastAsia="en-GB"/>
          <w14:ligatures w14:val="none"/>
        </w:rPr>
        <w:t>Thinking in Systems: A Primer</w:t>
      </w:r>
      <w:r>
        <w:rPr>
          <w:rFonts w:ascii="Segoe UI" w:eastAsia="Times New Roman" w:hAnsi="Segoe UI" w:cs="Segoe UI"/>
          <w:kern w:val="0"/>
          <w:sz w:val="21"/>
          <w:szCs w:val="21"/>
          <w:lang w:eastAsia="en-GB"/>
          <w14:ligatures w14:val="none"/>
        </w:rPr>
        <w:t>. London: Earthscan. (Accessed: 27 July 2026).</w:t>
      </w:r>
    </w:p>
    <w:p w14:paraId="4821FBB2"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NHS Digital (2024) </w:t>
      </w:r>
      <w:r>
        <w:rPr>
          <w:rFonts w:ascii="Segoe UI" w:eastAsia="Times New Roman" w:hAnsi="Segoe UI" w:cs="Segoe UI"/>
          <w:i/>
          <w:iCs/>
          <w:kern w:val="0"/>
          <w:sz w:val="21"/>
          <w:szCs w:val="21"/>
          <w:lang w:eastAsia="en-GB"/>
          <w14:ligatures w14:val="none"/>
        </w:rPr>
        <w:t>Digital Prevention Services</w:t>
      </w:r>
      <w:r>
        <w:rPr>
          <w:rFonts w:ascii="Segoe UI" w:eastAsia="Times New Roman" w:hAnsi="Segoe UI" w:cs="Segoe UI"/>
          <w:kern w:val="0"/>
          <w:sz w:val="21"/>
          <w:szCs w:val="21"/>
          <w:lang w:eastAsia="en-GB"/>
          <w14:ligatures w14:val="none"/>
        </w:rPr>
        <w:t>. Available at: https://digital.nhs.uk (Accessed: 26 July 2026).</w:t>
      </w:r>
    </w:p>
    <w:p w14:paraId="5AC1BBB9"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lastRenderedPageBreak/>
        <w:t xml:space="preserve">NHS England (2023) </w:t>
      </w:r>
      <w:r>
        <w:rPr>
          <w:rFonts w:ascii="Segoe UI" w:eastAsia="Times New Roman" w:hAnsi="Segoe UI" w:cs="Segoe UI"/>
          <w:i/>
          <w:iCs/>
          <w:kern w:val="0"/>
          <w:sz w:val="21"/>
          <w:szCs w:val="21"/>
          <w:lang w:eastAsia="en-GB"/>
          <w14:ligatures w14:val="none"/>
        </w:rPr>
        <w:t>NHS Long Term Workforce Plan</w:t>
      </w:r>
      <w:r>
        <w:rPr>
          <w:rFonts w:ascii="Segoe UI" w:eastAsia="Times New Roman" w:hAnsi="Segoe UI" w:cs="Segoe UI"/>
          <w:kern w:val="0"/>
          <w:sz w:val="21"/>
          <w:szCs w:val="21"/>
          <w:lang w:eastAsia="en-GB"/>
          <w14:ligatures w14:val="none"/>
        </w:rPr>
        <w:t>. Available at: https://www.england.nhs.uk (Accessed: 26 July 2026).</w:t>
      </w:r>
    </w:p>
    <w:p w14:paraId="554B7CCD"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NHS England (2024) </w:t>
      </w:r>
      <w:r>
        <w:rPr>
          <w:rFonts w:ascii="Segoe UI" w:eastAsia="Times New Roman" w:hAnsi="Segoe UI" w:cs="Segoe UI"/>
          <w:i/>
          <w:iCs/>
          <w:kern w:val="0"/>
          <w:sz w:val="21"/>
          <w:szCs w:val="21"/>
          <w:lang w:eastAsia="en-GB"/>
          <w14:ligatures w14:val="none"/>
        </w:rPr>
        <w:t>Priorities and Operational Planning Guidance 2024/25</w:t>
      </w:r>
      <w:r>
        <w:rPr>
          <w:rFonts w:ascii="Segoe UI" w:eastAsia="Times New Roman" w:hAnsi="Segoe UI" w:cs="Segoe UI"/>
          <w:kern w:val="0"/>
          <w:sz w:val="21"/>
          <w:szCs w:val="21"/>
          <w:lang w:eastAsia="en-GB"/>
          <w14:ligatures w14:val="none"/>
        </w:rPr>
        <w:t>. Available at: https://www.england.nhs.uk (Accessed: 26 July 2026).</w:t>
      </w:r>
    </w:p>
    <w:p w14:paraId="31E8B85A" w14:textId="1269D7EB" w:rsidR="00B75A04" w:rsidRDefault="00B75A04">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sidRPr="00B75A04">
        <w:rPr>
          <w:rFonts w:ascii="Segoe UI" w:eastAsia="Times New Roman" w:hAnsi="Segoe UI" w:cs="Segoe UI"/>
          <w:kern w:val="0"/>
          <w:sz w:val="21"/>
          <w:szCs w:val="21"/>
          <w:lang w:eastAsia="en-GB"/>
          <w14:ligatures w14:val="none"/>
        </w:rPr>
        <w:t xml:space="preserve">NHS England (2024) Summary of </w:t>
      </w:r>
      <w:proofErr w:type="gramStart"/>
      <w:r w:rsidRPr="00B75A04">
        <w:rPr>
          <w:rFonts w:ascii="Segoe UI" w:eastAsia="Times New Roman" w:hAnsi="Segoe UI" w:cs="Segoe UI"/>
          <w:kern w:val="0"/>
          <w:sz w:val="21"/>
          <w:szCs w:val="21"/>
          <w:lang w:eastAsia="en-GB"/>
          <w14:ligatures w14:val="none"/>
        </w:rPr>
        <w:t>South East</w:t>
      </w:r>
      <w:proofErr w:type="gramEnd"/>
      <w:r w:rsidRPr="00B75A04">
        <w:rPr>
          <w:rFonts w:ascii="Segoe UI" w:eastAsia="Times New Roman" w:hAnsi="Segoe UI" w:cs="Segoe UI"/>
          <w:kern w:val="0"/>
          <w:sz w:val="21"/>
          <w:szCs w:val="21"/>
          <w:lang w:eastAsia="en-GB"/>
          <w14:ligatures w14:val="none"/>
        </w:rPr>
        <w:t xml:space="preserve"> region virtual wards evaluation. Available at: https://www.england.nhs.uk/long-read/summary-of-south-east-region-virtual-wards-evaluation/ (Accessed: 5 August 2026)</w:t>
      </w:r>
    </w:p>
    <w:p w14:paraId="4BFFA115"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NIHR Evidence (2022) </w:t>
      </w:r>
      <w:r>
        <w:rPr>
          <w:rFonts w:ascii="Segoe UI" w:eastAsia="Times New Roman" w:hAnsi="Segoe UI" w:cs="Segoe UI"/>
          <w:i/>
          <w:iCs/>
          <w:kern w:val="0"/>
          <w:sz w:val="21"/>
          <w:szCs w:val="21"/>
          <w:lang w:eastAsia="en-GB"/>
          <w14:ligatures w14:val="none"/>
        </w:rPr>
        <w:t>What is digital health technology and what can it do for me?</w:t>
      </w:r>
      <w:r>
        <w:rPr>
          <w:rFonts w:ascii="Segoe UI" w:eastAsia="Times New Roman" w:hAnsi="Segoe UI" w:cs="Segoe UI"/>
          <w:kern w:val="0"/>
          <w:sz w:val="21"/>
          <w:szCs w:val="21"/>
          <w:lang w:eastAsia="en-GB"/>
          <w14:ligatures w14:val="none"/>
        </w:rPr>
        <w:t xml:space="preserve"> Available at: https://evidence.nihr.ac.uk/collection/what-is-digital-health-technology/ (Accessed: 27 July 2026).</w:t>
      </w:r>
    </w:p>
    <w:p w14:paraId="28D38FF3"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Porter, M.E. (2010) ‘What is value in health care?’, </w:t>
      </w:r>
      <w:r>
        <w:rPr>
          <w:rFonts w:ascii="Segoe UI" w:eastAsia="Times New Roman" w:hAnsi="Segoe UI" w:cs="Segoe UI"/>
          <w:i/>
          <w:iCs/>
          <w:kern w:val="0"/>
          <w:sz w:val="21"/>
          <w:szCs w:val="21"/>
          <w:lang w:eastAsia="en-GB"/>
          <w14:ligatures w14:val="none"/>
        </w:rPr>
        <w:t>New England Journal of Medicine</w:t>
      </w:r>
      <w:r>
        <w:rPr>
          <w:rFonts w:ascii="Segoe UI" w:eastAsia="Times New Roman" w:hAnsi="Segoe UI" w:cs="Segoe UI"/>
          <w:kern w:val="0"/>
          <w:sz w:val="21"/>
          <w:szCs w:val="21"/>
          <w:lang w:eastAsia="en-GB"/>
          <w14:ligatures w14:val="none"/>
        </w:rPr>
        <w:t>, 363(26), pp. 2477-2481. (Accessed: 26 July 2026).</w:t>
      </w:r>
    </w:p>
    <w:p w14:paraId="574637A4"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Rogers, E.M. (2003) </w:t>
      </w:r>
      <w:r>
        <w:rPr>
          <w:rFonts w:ascii="Segoe UI" w:eastAsia="Times New Roman" w:hAnsi="Segoe UI" w:cs="Segoe UI"/>
          <w:i/>
          <w:iCs/>
          <w:kern w:val="0"/>
          <w:sz w:val="21"/>
          <w:szCs w:val="21"/>
          <w:lang w:eastAsia="en-GB"/>
          <w14:ligatures w14:val="none"/>
        </w:rPr>
        <w:t>Diffusion of Innovations</w:t>
      </w:r>
      <w:r>
        <w:rPr>
          <w:rFonts w:ascii="Segoe UI" w:eastAsia="Times New Roman" w:hAnsi="Segoe UI" w:cs="Segoe UI"/>
          <w:kern w:val="0"/>
          <w:sz w:val="21"/>
          <w:szCs w:val="21"/>
          <w:lang w:eastAsia="en-GB"/>
          <w14:ligatures w14:val="none"/>
        </w:rPr>
        <w:t xml:space="preserve">. 5th </w:t>
      </w:r>
      <w:proofErr w:type="spellStart"/>
      <w:r>
        <w:rPr>
          <w:rFonts w:ascii="Segoe UI" w:eastAsia="Times New Roman" w:hAnsi="Segoe UI" w:cs="Segoe UI"/>
          <w:kern w:val="0"/>
          <w:sz w:val="21"/>
          <w:szCs w:val="21"/>
          <w:lang w:eastAsia="en-GB"/>
          <w14:ligatures w14:val="none"/>
        </w:rPr>
        <w:t>edn</w:t>
      </w:r>
      <w:proofErr w:type="spellEnd"/>
      <w:r>
        <w:rPr>
          <w:rFonts w:ascii="Segoe UI" w:eastAsia="Times New Roman" w:hAnsi="Segoe UI" w:cs="Segoe UI"/>
          <w:kern w:val="0"/>
          <w:sz w:val="21"/>
          <w:szCs w:val="21"/>
          <w:lang w:eastAsia="en-GB"/>
          <w14:ligatures w14:val="none"/>
        </w:rPr>
        <w:t>. New York: Free Press. (Accessed: 25 July 2026).</w:t>
      </w:r>
    </w:p>
    <w:p w14:paraId="3BD16AAA"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Senge, P.M. (2006) </w:t>
      </w:r>
      <w:r>
        <w:rPr>
          <w:rFonts w:ascii="Segoe UI" w:eastAsia="Times New Roman" w:hAnsi="Segoe UI" w:cs="Segoe UI"/>
          <w:i/>
          <w:iCs/>
          <w:kern w:val="0"/>
          <w:sz w:val="21"/>
          <w:szCs w:val="21"/>
          <w:lang w:eastAsia="en-GB"/>
          <w14:ligatures w14:val="none"/>
        </w:rPr>
        <w:t>The Fifth Discipline: The Art and Practice of the Learning Organisation</w:t>
      </w:r>
      <w:r>
        <w:rPr>
          <w:rFonts w:ascii="Segoe UI" w:eastAsia="Times New Roman" w:hAnsi="Segoe UI" w:cs="Segoe UI"/>
          <w:kern w:val="0"/>
          <w:sz w:val="21"/>
          <w:szCs w:val="21"/>
          <w:lang w:eastAsia="en-GB"/>
          <w14:ligatures w14:val="none"/>
        </w:rPr>
        <w:t xml:space="preserve">. Revised </w:t>
      </w:r>
      <w:proofErr w:type="spellStart"/>
      <w:r>
        <w:rPr>
          <w:rFonts w:ascii="Segoe UI" w:eastAsia="Times New Roman" w:hAnsi="Segoe UI" w:cs="Segoe UI"/>
          <w:kern w:val="0"/>
          <w:sz w:val="21"/>
          <w:szCs w:val="21"/>
          <w:lang w:eastAsia="en-GB"/>
          <w14:ligatures w14:val="none"/>
        </w:rPr>
        <w:t>edn</w:t>
      </w:r>
      <w:proofErr w:type="spellEnd"/>
      <w:r>
        <w:rPr>
          <w:rFonts w:ascii="Segoe UI" w:eastAsia="Times New Roman" w:hAnsi="Segoe UI" w:cs="Segoe UI"/>
          <w:kern w:val="0"/>
          <w:sz w:val="21"/>
          <w:szCs w:val="21"/>
          <w:lang w:eastAsia="en-GB"/>
          <w14:ligatures w14:val="none"/>
        </w:rPr>
        <w:t>. London: Random House Business Books. (Accessed: 27 July 2026).</w:t>
      </w:r>
    </w:p>
    <w:p w14:paraId="6BF5DEA9"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Sutton, R.T., Pincock, D., Baumgart, D.C., Sadowski, D.C., Fedorak, R.N. and Kroeker, K.I. (2020) ‘An overview of clinical decision support systems: benefits, risks, and strategies for success’, </w:t>
      </w:r>
      <w:proofErr w:type="spellStart"/>
      <w:r>
        <w:rPr>
          <w:rFonts w:ascii="Segoe UI" w:eastAsia="Times New Roman" w:hAnsi="Segoe UI" w:cs="Segoe UI"/>
          <w:i/>
          <w:iCs/>
          <w:kern w:val="0"/>
          <w:sz w:val="21"/>
          <w:szCs w:val="21"/>
          <w:lang w:eastAsia="en-GB"/>
          <w14:ligatures w14:val="none"/>
        </w:rPr>
        <w:t>npj</w:t>
      </w:r>
      <w:proofErr w:type="spellEnd"/>
      <w:r>
        <w:rPr>
          <w:rFonts w:ascii="Segoe UI" w:eastAsia="Times New Roman" w:hAnsi="Segoe UI" w:cs="Segoe UI"/>
          <w:i/>
          <w:iCs/>
          <w:kern w:val="0"/>
          <w:sz w:val="21"/>
          <w:szCs w:val="21"/>
          <w:lang w:eastAsia="en-GB"/>
          <w14:ligatures w14:val="none"/>
        </w:rPr>
        <w:t xml:space="preserve"> Digital Medicine</w:t>
      </w:r>
      <w:r>
        <w:rPr>
          <w:rFonts w:ascii="Segoe UI" w:eastAsia="Times New Roman" w:hAnsi="Segoe UI" w:cs="Segoe UI"/>
          <w:kern w:val="0"/>
          <w:sz w:val="21"/>
          <w:szCs w:val="21"/>
          <w:lang w:eastAsia="en-GB"/>
          <w14:ligatures w14:val="none"/>
        </w:rPr>
        <w:t>, 3(17), pp. 1-10. Available at: https://doi.org/10.1038/s41746-020-0221-y (Accessed: 28 July 2026).</w:t>
      </w:r>
    </w:p>
    <w:p w14:paraId="526BF09B" w14:textId="77777777" w:rsidR="00873843" w:rsidRDefault="002E15D9">
      <w:pPr>
        <w:suppressAutoHyphens w:val="0"/>
        <w:spacing w:beforeAutospacing="1"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West, M.A. and Farr, J.L. (1990) </w:t>
      </w:r>
      <w:r>
        <w:rPr>
          <w:rFonts w:ascii="Segoe UI" w:eastAsia="Times New Roman" w:hAnsi="Segoe UI" w:cs="Segoe UI"/>
          <w:i/>
          <w:iCs/>
          <w:kern w:val="0"/>
          <w:sz w:val="21"/>
          <w:szCs w:val="21"/>
          <w:lang w:eastAsia="en-GB"/>
          <w14:ligatures w14:val="none"/>
        </w:rPr>
        <w:t>Innovation and Creativity at Work: Psychological and Organisational Strategies</w:t>
      </w:r>
      <w:r>
        <w:rPr>
          <w:rFonts w:ascii="Segoe UI" w:eastAsia="Times New Roman" w:hAnsi="Segoe UI" w:cs="Segoe UI"/>
          <w:kern w:val="0"/>
          <w:sz w:val="21"/>
          <w:szCs w:val="21"/>
          <w:lang w:eastAsia="en-GB"/>
          <w14:ligatures w14:val="none"/>
        </w:rPr>
        <w:t>. Chichester: Wiley.</w:t>
      </w:r>
      <w:r>
        <w:t xml:space="preserve"> </w:t>
      </w:r>
      <w:r>
        <w:rPr>
          <w:rFonts w:ascii="Segoe UI" w:eastAsia="Times New Roman" w:hAnsi="Segoe UI" w:cs="Segoe UI"/>
          <w:kern w:val="0"/>
          <w:sz w:val="21"/>
          <w:szCs w:val="21"/>
          <w:lang w:eastAsia="en-GB"/>
          <w14:ligatures w14:val="none"/>
        </w:rPr>
        <w:t>(Accessed: 24 July 2026).</w:t>
      </w:r>
    </w:p>
    <w:p w14:paraId="11FA43DA" w14:textId="77777777" w:rsidR="00873843" w:rsidRDefault="00873843">
      <w:pPr>
        <w:spacing w:line="360" w:lineRule="auto"/>
        <w:jc w:val="both"/>
        <w:rPr>
          <w:rFonts w:ascii="Arial" w:hAnsi="Arial" w:cs="Arial"/>
          <w:i/>
          <w:iCs/>
        </w:rPr>
      </w:pPr>
    </w:p>
    <w:sectPr w:rsidR="00873843">
      <w:footerReference w:type="default" r:id="rId8"/>
      <w:pgSz w:w="11906" w:h="16838"/>
      <w:pgMar w:top="1440"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B53EF" w14:textId="77777777" w:rsidR="00F0004D" w:rsidRDefault="00F0004D">
      <w:pPr>
        <w:spacing w:after="0" w:line="240" w:lineRule="auto"/>
      </w:pPr>
      <w:r>
        <w:separator/>
      </w:r>
    </w:p>
  </w:endnote>
  <w:endnote w:type="continuationSeparator" w:id="0">
    <w:p w14:paraId="079ACAB5" w14:textId="77777777" w:rsidR="00F0004D" w:rsidRDefault="00F00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9083402"/>
      <w:docPartObj>
        <w:docPartGallery w:val="Page Numbers (Bottom of Page)"/>
        <w:docPartUnique/>
      </w:docPartObj>
    </w:sdtPr>
    <w:sdtEndPr/>
    <w:sdtContent>
      <w:p w14:paraId="437291EB" w14:textId="77777777" w:rsidR="00873843" w:rsidRDefault="002E15D9">
        <w:pPr>
          <w:pStyle w:val="Footer"/>
          <w:jc w:val="right"/>
        </w:pPr>
        <w:r>
          <w:fldChar w:fldCharType="begin"/>
        </w:r>
        <w:r>
          <w:instrText xml:space="preserve"> PAGE </w:instrText>
        </w:r>
        <w:r>
          <w:fldChar w:fldCharType="separate"/>
        </w:r>
        <w:r>
          <w:t>13</w:t>
        </w:r>
        <w:r>
          <w:fldChar w:fldCharType="end"/>
        </w:r>
      </w:p>
    </w:sdtContent>
  </w:sdt>
  <w:p w14:paraId="1D54AB55" w14:textId="77777777" w:rsidR="00873843" w:rsidRDefault="00873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1E3B6" w14:textId="77777777" w:rsidR="00F0004D" w:rsidRDefault="00F0004D">
      <w:pPr>
        <w:spacing w:after="0" w:line="240" w:lineRule="auto"/>
      </w:pPr>
      <w:r>
        <w:separator/>
      </w:r>
    </w:p>
  </w:footnote>
  <w:footnote w:type="continuationSeparator" w:id="0">
    <w:p w14:paraId="02270678" w14:textId="77777777" w:rsidR="00F0004D" w:rsidRDefault="00F000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843"/>
    <w:rsid w:val="000C012F"/>
    <w:rsid w:val="001D44AB"/>
    <w:rsid w:val="002E15D9"/>
    <w:rsid w:val="00820FA3"/>
    <w:rsid w:val="00873843"/>
    <w:rsid w:val="00894BCD"/>
    <w:rsid w:val="00B75A04"/>
    <w:rsid w:val="00DA02E2"/>
    <w:rsid w:val="00DE4524"/>
    <w:rsid w:val="00E66C15"/>
    <w:rsid w:val="00F0004D"/>
    <w:rsid w:val="00FF154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751CD"/>
  <w15:docId w15:val="{9E834BFA-8E7B-49A6-A052-0D3919C3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6" w:lineRule="auto"/>
    </w:pPr>
  </w:style>
  <w:style w:type="paragraph" w:styleId="Heading1">
    <w:name w:val="heading 1"/>
    <w:basedOn w:val="Normal"/>
    <w:next w:val="Normal"/>
    <w:link w:val="Heading1Char"/>
    <w:uiPriority w:val="9"/>
    <w:qFormat/>
    <w:rsid w:val="007731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1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1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1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1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1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1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1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1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7731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7731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7731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7731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7731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7731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7731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7731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773185"/>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773185"/>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773185"/>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773185"/>
    <w:rPr>
      <w:i/>
      <w:iCs/>
      <w:color w:val="404040" w:themeColor="text1" w:themeTint="BF"/>
    </w:rPr>
  </w:style>
  <w:style w:type="character" w:styleId="IntenseEmphasis">
    <w:name w:val="Intense Emphasis"/>
    <w:basedOn w:val="DefaultParagraphFont"/>
    <w:uiPriority w:val="21"/>
    <w:qFormat/>
    <w:rsid w:val="00773185"/>
    <w:rPr>
      <w:i/>
      <w:iCs/>
      <w:color w:val="0F4761" w:themeColor="accent1" w:themeShade="BF"/>
    </w:rPr>
  </w:style>
  <w:style w:type="character" w:customStyle="1" w:styleId="IntenseQuoteChar">
    <w:name w:val="Intense Quote Char"/>
    <w:basedOn w:val="DefaultParagraphFont"/>
    <w:link w:val="IntenseQuote"/>
    <w:uiPriority w:val="30"/>
    <w:qFormat/>
    <w:rsid w:val="00773185"/>
    <w:rPr>
      <w:i/>
      <w:iCs/>
      <w:color w:val="0F4761" w:themeColor="accent1" w:themeShade="BF"/>
    </w:rPr>
  </w:style>
  <w:style w:type="character" w:styleId="IntenseReference">
    <w:name w:val="Intense Reference"/>
    <w:basedOn w:val="DefaultParagraphFont"/>
    <w:uiPriority w:val="32"/>
    <w:qFormat/>
    <w:rsid w:val="00773185"/>
    <w:rPr>
      <w:b/>
      <w:bCs/>
      <w:smallCaps/>
      <w:color w:val="0F4761" w:themeColor="accent1" w:themeShade="BF"/>
      <w:spacing w:val="5"/>
    </w:rPr>
  </w:style>
  <w:style w:type="character" w:styleId="Strong">
    <w:name w:val="Strong"/>
    <w:uiPriority w:val="22"/>
    <w:qFormat/>
    <w:rsid w:val="00773185"/>
    <w:rPr>
      <w:b/>
      <w:bCs/>
    </w:rPr>
  </w:style>
  <w:style w:type="character" w:styleId="Hyperlink">
    <w:name w:val="Hyperlink"/>
    <w:basedOn w:val="DefaultParagraphFont"/>
    <w:uiPriority w:val="99"/>
    <w:unhideWhenUsed/>
    <w:rsid w:val="0030494A"/>
    <w:rPr>
      <w:color w:val="467886" w:themeColor="hyperlink"/>
      <w:u w:val="single"/>
    </w:rPr>
  </w:style>
  <w:style w:type="character" w:styleId="UnresolvedMention">
    <w:name w:val="Unresolved Mention"/>
    <w:basedOn w:val="DefaultParagraphFont"/>
    <w:uiPriority w:val="99"/>
    <w:semiHidden/>
    <w:unhideWhenUsed/>
    <w:qFormat/>
    <w:rsid w:val="0030494A"/>
    <w:rPr>
      <w:color w:val="605E5C"/>
      <w:shd w:val="clear" w:color="auto" w:fill="E1DFDD"/>
    </w:rPr>
  </w:style>
  <w:style w:type="character" w:customStyle="1" w:styleId="apple-converted-space">
    <w:name w:val="apple-converted-space"/>
    <w:basedOn w:val="DefaultParagraphFont"/>
    <w:qFormat/>
    <w:rsid w:val="007130AC"/>
  </w:style>
  <w:style w:type="character" w:customStyle="1" w:styleId="HeaderChar">
    <w:name w:val="Header Char"/>
    <w:basedOn w:val="DefaultParagraphFont"/>
    <w:link w:val="Header"/>
    <w:uiPriority w:val="99"/>
    <w:qFormat/>
    <w:rsid w:val="009B58A3"/>
  </w:style>
  <w:style w:type="character" w:customStyle="1" w:styleId="FooterChar">
    <w:name w:val="Footer Char"/>
    <w:basedOn w:val="DefaultParagraphFont"/>
    <w:link w:val="Footer"/>
    <w:uiPriority w:val="99"/>
    <w:qFormat/>
    <w:rsid w:val="009B58A3"/>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rPr>
  </w:style>
  <w:style w:type="paragraph" w:styleId="Title">
    <w:name w:val="Title"/>
    <w:basedOn w:val="Normal"/>
    <w:next w:val="Normal"/>
    <w:link w:val="TitleChar"/>
    <w:uiPriority w:val="10"/>
    <w:qFormat/>
    <w:rsid w:val="00773185"/>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7731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185"/>
    <w:pPr>
      <w:spacing w:before="160"/>
      <w:jc w:val="center"/>
    </w:pPr>
    <w:rPr>
      <w:i/>
      <w:iCs/>
      <w:color w:val="404040" w:themeColor="text1" w:themeTint="BF"/>
    </w:rPr>
  </w:style>
  <w:style w:type="paragraph" w:styleId="ListParagraph">
    <w:name w:val="List Paragraph"/>
    <w:basedOn w:val="Normal"/>
    <w:uiPriority w:val="34"/>
    <w:qFormat/>
    <w:rsid w:val="00773185"/>
    <w:pPr>
      <w:ind w:left="720"/>
      <w:contextualSpacing/>
    </w:pPr>
  </w:style>
  <w:style w:type="paragraph" w:styleId="IntenseQuote">
    <w:name w:val="Intense Quote"/>
    <w:basedOn w:val="Normal"/>
    <w:next w:val="Normal"/>
    <w:link w:val="IntenseQuoteChar"/>
    <w:uiPriority w:val="30"/>
    <w:qFormat/>
    <w:rsid w:val="007731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styleId="NormalWeb">
    <w:name w:val="Normal (Web)"/>
    <w:basedOn w:val="Normal"/>
    <w:uiPriority w:val="99"/>
    <w:semiHidden/>
    <w:unhideWhenUsed/>
    <w:qFormat/>
    <w:rsid w:val="00927EB1"/>
    <w:rPr>
      <w:rFonts w:ascii="Times New Roman" w:hAnsi="Times New Roman" w:cs="Times New Roman"/>
    </w:rPr>
  </w:style>
  <w:style w:type="paragraph" w:styleId="NoSpacing">
    <w:name w:val="No Spacing"/>
    <w:uiPriority w:val="1"/>
    <w:qFormat/>
    <w:rsid w:val="007B38F7"/>
    <w:rPr>
      <w:rFonts w:ascii="Aptos" w:eastAsia="Aptos" w:hAnsi="Aptos" w:cs="Times New Roman"/>
      <w14:ligatures w14:val="none"/>
    </w:rPr>
  </w:style>
  <w:style w:type="paragraph" w:customStyle="1" w:styleId="HeaderandFooter">
    <w:name w:val="Header and Footer"/>
    <w:basedOn w:val="Normal"/>
    <w:qFormat/>
  </w:style>
  <w:style w:type="paragraph" w:styleId="Header">
    <w:name w:val="header"/>
    <w:basedOn w:val="Normal"/>
    <w:link w:val="HeaderChar"/>
    <w:uiPriority w:val="99"/>
    <w:unhideWhenUsed/>
    <w:rsid w:val="009B58A3"/>
    <w:pPr>
      <w:tabs>
        <w:tab w:val="center" w:pos="4513"/>
        <w:tab w:val="right" w:pos="9026"/>
      </w:tabs>
      <w:spacing w:after="0" w:line="240" w:lineRule="auto"/>
    </w:pPr>
  </w:style>
  <w:style w:type="paragraph" w:styleId="Footer">
    <w:name w:val="footer"/>
    <w:basedOn w:val="Normal"/>
    <w:link w:val="FooterChar"/>
    <w:uiPriority w:val="99"/>
    <w:unhideWhenUsed/>
    <w:rsid w:val="009B58A3"/>
    <w:pPr>
      <w:tabs>
        <w:tab w:val="center" w:pos="4513"/>
        <w:tab w:val="right" w:pos="9026"/>
      </w:tabs>
      <w:spacing w:after="0" w:line="240" w:lineRule="auto"/>
    </w:pPr>
  </w:style>
  <w:style w:type="table" w:styleId="TableGrid">
    <w:name w:val="Table Grid"/>
    <w:basedOn w:val="TableNormal"/>
    <w:uiPriority w:val="39"/>
    <w:rsid w:val="007B3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A69B8-D15C-4439-B498-DAECE35C8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3453</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Bolo Viviane Goubo (2424588)</dc:creator>
  <dc:description/>
  <cp:lastModifiedBy>Bolo Viviane Goubo (2424588)</cp:lastModifiedBy>
  <cp:revision>2</cp:revision>
  <dcterms:created xsi:type="dcterms:W3CDTF">2026-08-05T17:43:00Z</dcterms:created>
  <dcterms:modified xsi:type="dcterms:W3CDTF">2026-08-05T17:43:00Z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77def29c-2dc7-454a-975b-74e9886ca215</vt:lpwstr>
  </property>
</Properties>
</file>