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E7223" w14:textId="77777777" w:rsidR="00107D0E" w:rsidRPr="00152029" w:rsidRDefault="00FB3373" w:rsidP="008A2A74">
      <w:pPr>
        <w:pStyle w:val="BodyText"/>
        <w:ind w:left="180"/>
        <w:jc w:val="center"/>
        <w:rPr>
          <w:lang w:val="en-GB"/>
        </w:rPr>
      </w:pPr>
      <w:r w:rsidRPr="00152029">
        <w:rPr>
          <w:noProof/>
        </w:rPr>
        <w:drawing>
          <wp:inline distT="0" distB="0" distL="0" distR="0" wp14:anchorId="09D4A628" wp14:editId="3DF70E8B">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7D9E7224" w14:textId="75263CBC" w:rsidR="00107D0E" w:rsidRPr="00152029" w:rsidRDefault="00107D0E" w:rsidP="00B6332A">
      <w:pPr>
        <w:pStyle w:val="BodyText"/>
        <w:spacing w:before="10"/>
        <w:rPr>
          <w:b/>
          <w:lang w:val="en-GB"/>
        </w:rPr>
      </w:pPr>
    </w:p>
    <w:p w14:paraId="7D9E7225" w14:textId="1325766A" w:rsidR="00107D0E" w:rsidRPr="00152029" w:rsidRDefault="00107D0E" w:rsidP="00B6332A">
      <w:pPr>
        <w:pStyle w:val="BodyText"/>
        <w:spacing w:before="6" w:after="1"/>
        <w:rPr>
          <w:b/>
          <w:bCs/>
          <w:color w:val="0070C0"/>
          <w:lang w:val="en-GB"/>
        </w:rPr>
      </w:pPr>
    </w:p>
    <w:tbl>
      <w:tblPr>
        <w:tblW w:w="9927" w:type="dxa"/>
        <w:tblInd w:w="-4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2736"/>
        <w:gridCol w:w="2572"/>
        <w:gridCol w:w="2523"/>
      </w:tblGrid>
      <w:tr w:rsidR="000E5A6C" w14:paraId="7D9E7228" w14:textId="77777777" w:rsidTr="00107D0E">
        <w:trPr>
          <w:trHeight w:val="491"/>
        </w:trPr>
        <w:tc>
          <w:tcPr>
            <w:tcW w:w="2096" w:type="dxa"/>
            <w:shd w:val="clear" w:color="auto" w:fill="D9D9D9"/>
          </w:tcPr>
          <w:p w14:paraId="7D9E7226" w14:textId="77777777" w:rsidR="00107D0E" w:rsidRPr="00152029" w:rsidRDefault="00FB3373" w:rsidP="00B6332A">
            <w:pPr>
              <w:pStyle w:val="TableParagraph"/>
              <w:spacing w:before="115"/>
              <w:rPr>
                <w:b/>
                <w:lang w:val="en-GB"/>
              </w:rPr>
            </w:pPr>
            <w:r w:rsidRPr="00152029">
              <w:rPr>
                <w:b/>
                <w:lang w:val="en-GB"/>
              </w:rPr>
              <w:t>Programme:</w:t>
            </w:r>
          </w:p>
        </w:tc>
        <w:tc>
          <w:tcPr>
            <w:tcW w:w="7831" w:type="dxa"/>
            <w:gridSpan w:val="3"/>
          </w:tcPr>
          <w:p w14:paraId="7D9E7227" w14:textId="77777777" w:rsidR="00107D0E" w:rsidRPr="00152029" w:rsidRDefault="00FB3373" w:rsidP="00B6332A">
            <w:pPr>
              <w:pStyle w:val="TableParagraph"/>
              <w:spacing w:before="115"/>
              <w:ind w:left="105"/>
              <w:rPr>
                <w:b/>
                <w:lang w:val="en-GB"/>
              </w:rPr>
            </w:pPr>
            <w:r w:rsidRPr="00152029">
              <w:rPr>
                <w:b/>
                <w:lang w:val="en-GB"/>
              </w:rPr>
              <w:t>BA Business Management</w:t>
            </w:r>
          </w:p>
        </w:tc>
      </w:tr>
      <w:tr w:rsidR="000E5A6C" w14:paraId="7D9E722B" w14:textId="77777777" w:rsidTr="00107D0E">
        <w:trPr>
          <w:trHeight w:val="494"/>
        </w:trPr>
        <w:tc>
          <w:tcPr>
            <w:tcW w:w="2096" w:type="dxa"/>
            <w:shd w:val="clear" w:color="auto" w:fill="D9D9D9"/>
          </w:tcPr>
          <w:p w14:paraId="7D9E7229" w14:textId="77777777" w:rsidR="00107D0E" w:rsidRPr="00152029" w:rsidRDefault="00FB3373" w:rsidP="00B6332A">
            <w:pPr>
              <w:pStyle w:val="TableParagraph"/>
              <w:spacing w:before="117"/>
              <w:rPr>
                <w:b/>
                <w:lang w:val="en-GB"/>
              </w:rPr>
            </w:pPr>
            <w:r w:rsidRPr="00152029">
              <w:rPr>
                <w:b/>
                <w:lang w:val="en-GB"/>
              </w:rPr>
              <w:t>Module:</w:t>
            </w:r>
          </w:p>
        </w:tc>
        <w:tc>
          <w:tcPr>
            <w:tcW w:w="7831" w:type="dxa"/>
            <w:gridSpan w:val="3"/>
          </w:tcPr>
          <w:p w14:paraId="7D9E722A" w14:textId="77777777" w:rsidR="00107D0E" w:rsidRPr="00152029" w:rsidRDefault="00FB3373" w:rsidP="00B6332A">
            <w:pPr>
              <w:pStyle w:val="TableParagraph"/>
              <w:spacing w:before="117"/>
              <w:ind w:left="105"/>
              <w:rPr>
                <w:b/>
                <w:lang w:val="en-GB"/>
              </w:rPr>
            </w:pPr>
            <w:r w:rsidRPr="00152029">
              <w:rPr>
                <w:b/>
                <w:lang w:val="en-GB"/>
              </w:rPr>
              <w:t>Managing People</w:t>
            </w:r>
          </w:p>
        </w:tc>
      </w:tr>
      <w:tr w:rsidR="000E5A6C" w14:paraId="7D9E7231" w14:textId="77777777" w:rsidTr="00822FFC">
        <w:trPr>
          <w:trHeight w:val="758"/>
        </w:trPr>
        <w:tc>
          <w:tcPr>
            <w:tcW w:w="2096" w:type="dxa"/>
            <w:shd w:val="clear" w:color="auto" w:fill="D9D9D9"/>
          </w:tcPr>
          <w:p w14:paraId="7D9E722C" w14:textId="77777777" w:rsidR="00107D0E" w:rsidRPr="00152029" w:rsidRDefault="00FB3373" w:rsidP="00B6332A">
            <w:pPr>
              <w:pStyle w:val="TableParagraph"/>
              <w:spacing w:before="115"/>
              <w:rPr>
                <w:b/>
                <w:lang w:val="en-GB"/>
              </w:rPr>
            </w:pPr>
            <w:r w:rsidRPr="00152029">
              <w:rPr>
                <w:b/>
                <w:lang w:val="en-GB"/>
              </w:rPr>
              <w:t>Module code:</w:t>
            </w:r>
          </w:p>
        </w:tc>
        <w:tc>
          <w:tcPr>
            <w:tcW w:w="2736" w:type="dxa"/>
          </w:tcPr>
          <w:p w14:paraId="7D9E722D" w14:textId="77777777" w:rsidR="00107D0E" w:rsidRPr="00152029" w:rsidRDefault="00FB3373" w:rsidP="00B6332A">
            <w:pPr>
              <w:pStyle w:val="TableParagraph"/>
              <w:spacing w:before="115"/>
              <w:ind w:left="105"/>
              <w:rPr>
                <w:b/>
                <w:lang w:val="en-GB"/>
              </w:rPr>
            </w:pPr>
            <w:r w:rsidRPr="00152029">
              <w:rPr>
                <w:b/>
                <w:lang w:val="en-GB"/>
              </w:rPr>
              <w:t>LCBB5004</w:t>
            </w:r>
          </w:p>
        </w:tc>
        <w:tc>
          <w:tcPr>
            <w:tcW w:w="2572" w:type="dxa"/>
            <w:shd w:val="clear" w:color="auto" w:fill="D9D9D9"/>
          </w:tcPr>
          <w:p w14:paraId="7D9E722E" w14:textId="77777777" w:rsidR="00107D0E" w:rsidRPr="00152029" w:rsidRDefault="00FB3373" w:rsidP="00B6332A">
            <w:pPr>
              <w:pStyle w:val="TableParagraph"/>
              <w:rPr>
                <w:b/>
                <w:lang w:val="en-GB"/>
              </w:rPr>
            </w:pPr>
            <w:r w:rsidRPr="00152029">
              <w:rPr>
                <w:b/>
                <w:lang w:val="en-GB"/>
              </w:rPr>
              <w:t>Contribution to</w:t>
            </w:r>
          </w:p>
          <w:p w14:paraId="7D9E722F" w14:textId="77777777" w:rsidR="00107D0E" w:rsidRPr="00152029" w:rsidRDefault="00FB3373" w:rsidP="00B6332A">
            <w:pPr>
              <w:pStyle w:val="TableParagraph"/>
              <w:spacing w:before="6"/>
              <w:ind w:right="104"/>
              <w:rPr>
                <w:b/>
                <w:lang w:val="en-GB"/>
              </w:rPr>
            </w:pPr>
            <w:r w:rsidRPr="00152029">
              <w:rPr>
                <w:b/>
                <w:lang w:val="en-GB"/>
              </w:rPr>
              <w:t>Overall Module Assessment (%):</w:t>
            </w:r>
          </w:p>
        </w:tc>
        <w:tc>
          <w:tcPr>
            <w:tcW w:w="2523" w:type="dxa"/>
          </w:tcPr>
          <w:p w14:paraId="7D9E7230" w14:textId="77777777" w:rsidR="00107D0E" w:rsidRPr="00152029" w:rsidRDefault="00FB3373" w:rsidP="00B6332A">
            <w:pPr>
              <w:pStyle w:val="TableParagraph"/>
              <w:spacing w:before="115"/>
              <w:rPr>
                <w:b/>
                <w:lang w:val="en-GB"/>
              </w:rPr>
            </w:pPr>
            <w:r w:rsidRPr="00152029">
              <w:rPr>
                <w:b/>
                <w:lang w:val="en-GB"/>
              </w:rPr>
              <w:t>50%</w:t>
            </w:r>
          </w:p>
        </w:tc>
      </w:tr>
      <w:tr w:rsidR="000E5A6C" w14:paraId="7D9E7236" w14:textId="77777777" w:rsidTr="00822FFC">
        <w:trPr>
          <w:trHeight w:val="494"/>
        </w:trPr>
        <w:tc>
          <w:tcPr>
            <w:tcW w:w="2096" w:type="dxa"/>
            <w:shd w:val="clear" w:color="auto" w:fill="D9D9D9"/>
          </w:tcPr>
          <w:p w14:paraId="7D9E7232" w14:textId="77777777" w:rsidR="00107D0E" w:rsidRPr="00152029" w:rsidRDefault="00FB3373" w:rsidP="00B6332A">
            <w:pPr>
              <w:pStyle w:val="TableParagraph"/>
              <w:spacing w:before="115"/>
              <w:rPr>
                <w:b/>
                <w:lang w:val="en-GB"/>
              </w:rPr>
            </w:pPr>
            <w:r w:rsidRPr="00152029">
              <w:rPr>
                <w:b/>
                <w:lang w:val="en-GB"/>
              </w:rPr>
              <w:t>Lecturer:</w:t>
            </w:r>
          </w:p>
        </w:tc>
        <w:tc>
          <w:tcPr>
            <w:tcW w:w="2736" w:type="dxa"/>
          </w:tcPr>
          <w:p w14:paraId="7D9E7233" w14:textId="77777777" w:rsidR="00107D0E" w:rsidRPr="00152029" w:rsidRDefault="00FB3373" w:rsidP="00B6332A">
            <w:pPr>
              <w:pStyle w:val="TableParagraph"/>
              <w:spacing w:before="115"/>
              <w:ind w:left="105"/>
              <w:rPr>
                <w:b/>
                <w:lang w:val="en-GB"/>
              </w:rPr>
            </w:pPr>
            <w:r w:rsidRPr="00152029">
              <w:rPr>
                <w:b/>
                <w:lang w:val="en-GB"/>
              </w:rPr>
              <w:t xml:space="preserve">Charles </w:t>
            </w:r>
            <w:proofErr w:type="spellStart"/>
            <w:r w:rsidRPr="00152029">
              <w:rPr>
                <w:b/>
                <w:lang w:val="en-GB"/>
              </w:rPr>
              <w:t>Oham</w:t>
            </w:r>
            <w:proofErr w:type="spellEnd"/>
          </w:p>
        </w:tc>
        <w:tc>
          <w:tcPr>
            <w:tcW w:w="2572" w:type="dxa"/>
            <w:shd w:val="clear" w:color="auto" w:fill="D9D9D9"/>
          </w:tcPr>
          <w:p w14:paraId="7D9E7234" w14:textId="77777777" w:rsidR="00107D0E" w:rsidRPr="00152029" w:rsidRDefault="00FB3373" w:rsidP="00B6332A">
            <w:pPr>
              <w:pStyle w:val="TableParagraph"/>
              <w:spacing w:before="115"/>
              <w:rPr>
                <w:b/>
                <w:lang w:val="en-GB"/>
              </w:rPr>
            </w:pPr>
            <w:r w:rsidRPr="00152029">
              <w:rPr>
                <w:b/>
                <w:lang w:val="en-GB"/>
              </w:rPr>
              <w:t>Internal Verifier:</w:t>
            </w:r>
          </w:p>
        </w:tc>
        <w:tc>
          <w:tcPr>
            <w:tcW w:w="2523" w:type="dxa"/>
          </w:tcPr>
          <w:p w14:paraId="7D9E7235" w14:textId="77777777" w:rsidR="00107D0E" w:rsidRPr="00152029" w:rsidRDefault="00FB3373" w:rsidP="00B6332A">
            <w:pPr>
              <w:pStyle w:val="TableParagraph"/>
              <w:spacing w:before="115"/>
              <w:rPr>
                <w:b/>
                <w:lang w:val="en-GB"/>
              </w:rPr>
            </w:pPr>
            <w:r w:rsidRPr="00152029">
              <w:rPr>
                <w:b/>
                <w:lang w:val="en-GB"/>
              </w:rPr>
              <w:t xml:space="preserve">Nishi </w:t>
            </w:r>
            <w:proofErr w:type="spellStart"/>
            <w:r w:rsidRPr="00152029">
              <w:rPr>
                <w:b/>
                <w:lang w:val="en-GB"/>
              </w:rPr>
              <w:t>Ramsurrun</w:t>
            </w:r>
            <w:proofErr w:type="spellEnd"/>
          </w:p>
        </w:tc>
      </w:tr>
      <w:tr w:rsidR="000E5A6C" w14:paraId="7D9E723B" w14:textId="77777777" w:rsidTr="00822FFC">
        <w:trPr>
          <w:trHeight w:val="745"/>
        </w:trPr>
        <w:tc>
          <w:tcPr>
            <w:tcW w:w="2096" w:type="dxa"/>
            <w:shd w:val="clear" w:color="auto" w:fill="D9D9D9"/>
          </w:tcPr>
          <w:p w14:paraId="7D9E7237" w14:textId="77777777" w:rsidR="00107D0E" w:rsidRPr="00152029" w:rsidRDefault="00FB3373" w:rsidP="00B6332A">
            <w:pPr>
              <w:pStyle w:val="TableParagraph"/>
              <w:spacing w:before="115"/>
              <w:rPr>
                <w:b/>
                <w:lang w:val="en-GB"/>
              </w:rPr>
            </w:pPr>
            <w:r w:rsidRPr="00152029">
              <w:rPr>
                <w:b/>
                <w:lang w:val="en-GB"/>
              </w:rPr>
              <w:t>Assignment Title:</w:t>
            </w:r>
          </w:p>
        </w:tc>
        <w:tc>
          <w:tcPr>
            <w:tcW w:w="2736" w:type="dxa"/>
          </w:tcPr>
          <w:p w14:paraId="7D9E7238" w14:textId="77777777" w:rsidR="00107D0E" w:rsidRPr="00152029" w:rsidRDefault="00FB3373" w:rsidP="00B6332A">
            <w:pPr>
              <w:pStyle w:val="TableParagraph"/>
              <w:spacing w:before="115"/>
              <w:ind w:left="105"/>
              <w:rPr>
                <w:b/>
                <w:lang w:val="en-GB"/>
              </w:rPr>
            </w:pPr>
            <w:r w:rsidRPr="00152029">
              <w:rPr>
                <w:b/>
                <w:lang w:val="en-GB"/>
              </w:rPr>
              <w:t>Assessment 2</w:t>
            </w:r>
          </w:p>
        </w:tc>
        <w:tc>
          <w:tcPr>
            <w:tcW w:w="2572" w:type="dxa"/>
            <w:shd w:val="clear" w:color="auto" w:fill="D9D9D9"/>
          </w:tcPr>
          <w:p w14:paraId="7D9E7239" w14:textId="77777777" w:rsidR="00107D0E" w:rsidRPr="00152029" w:rsidRDefault="00FB3373" w:rsidP="00B6332A">
            <w:pPr>
              <w:pStyle w:val="TableParagraph"/>
              <w:spacing w:before="115"/>
              <w:ind w:right="300"/>
              <w:rPr>
                <w:b/>
                <w:lang w:val="en-GB"/>
              </w:rPr>
            </w:pPr>
            <w:r w:rsidRPr="00152029">
              <w:rPr>
                <w:b/>
                <w:lang w:val="en-GB"/>
              </w:rPr>
              <w:t>Word count (or equivalent):</w:t>
            </w:r>
          </w:p>
        </w:tc>
        <w:tc>
          <w:tcPr>
            <w:tcW w:w="2523" w:type="dxa"/>
          </w:tcPr>
          <w:p w14:paraId="7D9E723A" w14:textId="77777777" w:rsidR="00107D0E" w:rsidRPr="00152029" w:rsidRDefault="00FB3373" w:rsidP="00B6332A">
            <w:pPr>
              <w:pStyle w:val="TableParagraph"/>
              <w:spacing w:before="115"/>
              <w:rPr>
                <w:b/>
                <w:lang w:val="en-GB"/>
              </w:rPr>
            </w:pPr>
            <w:r w:rsidRPr="00152029">
              <w:rPr>
                <w:b/>
                <w:lang w:val="en-GB"/>
              </w:rPr>
              <w:t>2000 Words</w:t>
            </w:r>
          </w:p>
        </w:tc>
      </w:tr>
      <w:tr w:rsidR="000E5A6C" w14:paraId="7D9E7241" w14:textId="77777777" w:rsidTr="000A1F1E">
        <w:trPr>
          <w:trHeight w:val="6785"/>
        </w:trPr>
        <w:tc>
          <w:tcPr>
            <w:tcW w:w="2096" w:type="dxa"/>
            <w:shd w:val="clear" w:color="auto" w:fill="D9D9D9"/>
          </w:tcPr>
          <w:p w14:paraId="7D9E723C" w14:textId="77777777" w:rsidR="00107D0E" w:rsidRPr="00152029" w:rsidRDefault="00FB3373" w:rsidP="00B6332A">
            <w:pPr>
              <w:pStyle w:val="TableParagraph"/>
              <w:spacing w:before="115"/>
              <w:ind w:right="712"/>
              <w:rPr>
                <w:b/>
                <w:lang w:val="en-GB"/>
              </w:rPr>
            </w:pPr>
            <w:r w:rsidRPr="00152029">
              <w:rPr>
                <w:b/>
                <w:lang w:val="en-GB"/>
              </w:rPr>
              <w:t>Submission deadline:</w:t>
            </w:r>
          </w:p>
        </w:tc>
        <w:tc>
          <w:tcPr>
            <w:tcW w:w="2736" w:type="dxa"/>
          </w:tcPr>
          <w:p w14:paraId="7D9E723E" w14:textId="7C6779D5" w:rsidR="00107D0E" w:rsidRPr="00152029" w:rsidRDefault="00107D0E" w:rsidP="00B6332A">
            <w:pPr>
              <w:pStyle w:val="TableParagraph"/>
              <w:spacing w:before="2"/>
              <w:ind w:left="105" w:right="112"/>
              <w:rPr>
                <w:b/>
                <w:lang w:val="en-GB"/>
              </w:rPr>
            </w:pPr>
          </w:p>
        </w:tc>
        <w:tc>
          <w:tcPr>
            <w:tcW w:w="2572" w:type="dxa"/>
            <w:shd w:val="clear" w:color="auto" w:fill="D9D9D9"/>
          </w:tcPr>
          <w:p w14:paraId="7D9E723F" w14:textId="77777777" w:rsidR="00107D0E" w:rsidRPr="00152029" w:rsidRDefault="00FB3373" w:rsidP="00B6332A">
            <w:pPr>
              <w:pStyle w:val="TableParagraph"/>
              <w:spacing w:before="115"/>
              <w:ind w:right="226"/>
              <w:rPr>
                <w:b/>
                <w:lang w:val="en-GB"/>
              </w:rPr>
            </w:pPr>
            <w:r w:rsidRPr="00152029">
              <w:rPr>
                <w:b/>
                <w:lang w:val="en-GB"/>
              </w:rPr>
              <w:t>The return date of provisional marks &amp; written feedback:</w:t>
            </w:r>
          </w:p>
        </w:tc>
        <w:tc>
          <w:tcPr>
            <w:tcW w:w="2523" w:type="dxa"/>
          </w:tcPr>
          <w:p w14:paraId="7D9E7240" w14:textId="77777777" w:rsidR="00107D0E" w:rsidRPr="00152029" w:rsidRDefault="00FB3373" w:rsidP="00B6332A">
            <w:pPr>
              <w:pStyle w:val="TableParagraph"/>
              <w:spacing w:before="115"/>
              <w:ind w:right="99"/>
              <w:rPr>
                <w:b/>
                <w:lang w:val="en-GB"/>
              </w:rPr>
            </w:pPr>
            <w:r w:rsidRPr="00152029">
              <w:rPr>
                <w:b/>
                <w:color w:val="C00000"/>
                <w:lang w:val="en-GB"/>
              </w:rPr>
              <w:t>20 Working days after the submission deadline</w:t>
            </w:r>
          </w:p>
        </w:tc>
      </w:tr>
    </w:tbl>
    <w:p w14:paraId="7D9E724A" w14:textId="77777777" w:rsidR="00107D0E" w:rsidRPr="00152029" w:rsidRDefault="00107D0E" w:rsidP="00B6332A">
      <w:pPr>
        <w:rPr>
          <w:lang w:val="en-GB"/>
        </w:rPr>
      </w:pPr>
    </w:p>
    <w:p w14:paraId="26FCB209" w14:textId="77777777" w:rsidR="00CC2CB8" w:rsidRDefault="00CC2CB8" w:rsidP="00CC2CB8">
      <w:pPr>
        <w:widowControl/>
        <w:autoSpaceDE/>
        <w:autoSpaceDN/>
        <w:spacing w:after="200" w:line="276" w:lineRule="auto"/>
        <w:jc w:val="left"/>
        <w:rPr>
          <w:bCs/>
          <w:lang w:val="en-GB"/>
        </w:rPr>
      </w:pPr>
    </w:p>
    <w:p w14:paraId="012DB46C" w14:textId="77777777" w:rsidR="00CC2CB8" w:rsidRDefault="00CC2CB8" w:rsidP="00CC2CB8">
      <w:pPr>
        <w:widowControl/>
        <w:autoSpaceDE/>
        <w:autoSpaceDN/>
        <w:spacing w:after="200" w:line="276" w:lineRule="auto"/>
        <w:jc w:val="left"/>
        <w:rPr>
          <w:bCs/>
          <w:lang w:val="en-GB"/>
        </w:rPr>
      </w:pPr>
    </w:p>
    <w:p w14:paraId="44EDF0C6" w14:textId="6C8469E3" w:rsidR="00107D0E" w:rsidRPr="00416F55" w:rsidRDefault="00107D0E" w:rsidP="00416F55">
      <w:pPr>
        <w:widowControl/>
        <w:autoSpaceDE/>
        <w:autoSpaceDN/>
        <w:spacing w:after="200" w:line="276" w:lineRule="auto"/>
        <w:jc w:val="left"/>
        <w:rPr>
          <w:b/>
          <w:lang w:val="en-GB"/>
        </w:rPr>
      </w:pPr>
    </w:p>
    <w:sdt>
      <w:sdtPr>
        <w:rPr>
          <w:rFonts w:ascii="Arial" w:eastAsia="Arial" w:hAnsi="Arial" w:cs="Arial"/>
          <w:b w:val="0"/>
          <w:bCs w:val="0"/>
          <w:color w:val="auto"/>
          <w:sz w:val="22"/>
          <w:szCs w:val="22"/>
          <w:lang w:val="en-GB" w:eastAsia="en-US"/>
        </w:rPr>
        <w:id w:val="912983692"/>
        <w:docPartObj>
          <w:docPartGallery w:val="Table of Contents"/>
          <w:docPartUnique/>
        </w:docPartObj>
      </w:sdtPr>
      <w:sdtEndPr>
        <w:rPr>
          <w:noProof/>
        </w:rPr>
      </w:sdtEndPr>
      <w:sdtContent>
        <w:p w14:paraId="7D9E724C" w14:textId="77777777" w:rsidR="00107D0E" w:rsidRPr="00152029" w:rsidRDefault="00FB3373" w:rsidP="006742B3">
          <w:pPr>
            <w:pStyle w:val="TOCHeading"/>
            <w:spacing w:line="360" w:lineRule="auto"/>
            <w:jc w:val="center"/>
            <w:rPr>
              <w:rFonts w:ascii="Arial" w:hAnsi="Arial" w:cs="Arial"/>
              <w:color w:val="000000" w:themeColor="text1"/>
              <w:sz w:val="22"/>
              <w:szCs w:val="22"/>
              <w:lang w:val="en-GB"/>
            </w:rPr>
          </w:pPr>
          <w:r w:rsidRPr="00152029">
            <w:rPr>
              <w:rFonts w:ascii="Arial" w:hAnsi="Arial" w:cs="Arial"/>
              <w:color w:val="000000" w:themeColor="text1"/>
              <w:sz w:val="22"/>
              <w:szCs w:val="22"/>
              <w:lang w:val="en-GB"/>
            </w:rPr>
            <w:t>Table of Contents</w:t>
          </w:r>
        </w:p>
        <w:p w14:paraId="110F8C54" w14:textId="201361A7" w:rsidR="00CC2CB8" w:rsidRDefault="00FB3373">
          <w:pPr>
            <w:pStyle w:val="TOC1"/>
            <w:tabs>
              <w:tab w:val="right" w:leader="dot" w:pos="9016"/>
            </w:tabs>
            <w:rPr>
              <w:rFonts w:asciiTheme="minorHAnsi" w:eastAsiaTheme="minorEastAsia" w:hAnsiTheme="minorHAnsi" w:cstheme="minorBidi"/>
              <w:noProof/>
              <w:lang w:val="en-IN" w:eastAsia="en-IN"/>
            </w:rPr>
          </w:pPr>
          <w:r w:rsidRPr="00152029">
            <w:rPr>
              <w:lang w:val="en-GB"/>
            </w:rPr>
            <w:fldChar w:fldCharType="begin"/>
          </w:r>
          <w:r w:rsidRPr="00152029">
            <w:rPr>
              <w:lang w:val="en-GB"/>
            </w:rPr>
            <w:instrText xml:space="preserve"> TOC \o "1-3" \h \z \u </w:instrText>
          </w:r>
          <w:r w:rsidRPr="00152029">
            <w:rPr>
              <w:lang w:val="en-GB"/>
            </w:rPr>
            <w:fldChar w:fldCharType="separate"/>
          </w:r>
          <w:hyperlink w:anchor="_Toc100739538" w:history="1">
            <w:r w:rsidR="00CC2CB8" w:rsidRPr="00B057E8">
              <w:rPr>
                <w:rStyle w:val="Hyperlink"/>
                <w:noProof/>
                <w:lang w:val="en-GB"/>
              </w:rPr>
              <w:t>Introduction</w:t>
            </w:r>
            <w:r w:rsidR="00CC2CB8">
              <w:rPr>
                <w:noProof/>
                <w:webHidden/>
              </w:rPr>
              <w:tab/>
            </w:r>
            <w:r w:rsidR="00CC2CB8">
              <w:rPr>
                <w:noProof/>
                <w:webHidden/>
              </w:rPr>
              <w:fldChar w:fldCharType="begin"/>
            </w:r>
            <w:r w:rsidR="00CC2CB8">
              <w:rPr>
                <w:noProof/>
                <w:webHidden/>
              </w:rPr>
              <w:instrText xml:space="preserve"> PAGEREF _Toc100739538 \h </w:instrText>
            </w:r>
            <w:r w:rsidR="00CC2CB8">
              <w:rPr>
                <w:noProof/>
                <w:webHidden/>
              </w:rPr>
            </w:r>
            <w:r w:rsidR="00CC2CB8">
              <w:rPr>
                <w:noProof/>
                <w:webHidden/>
              </w:rPr>
              <w:fldChar w:fldCharType="separate"/>
            </w:r>
            <w:r w:rsidR="00CC2CB8">
              <w:rPr>
                <w:noProof/>
                <w:webHidden/>
              </w:rPr>
              <w:t>3</w:t>
            </w:r>
            <w:r w:rsidR="00CC2CB8">
              <w:rPr>
                <w:noProof/>
                <w:webHidden/>
              </w:rPr>
              <w:fldChar w:fldCharType="end"/>
            </w:r>
          </w:hyperlink>
        </w:p>
        <w:p w14:paraId="1C873E92" w14:textId="6535E0C1" w:rsidR="00CC2CB8" w:rsidRDefault="00C44C36">
          <w:pPr>
            <w:pStyle w:val="TOC1"/>
            <w:tabs>
              <w:tab w:val="right" w:leader="dot" w:pos="9016"/>
            </w:tabs>
            <w:rPr>
              <w:rFonts w:asciiTheme="minorHAnsi" w:eastAsiaTheme="minorEastAsia" w:hAnsiTheme="minorHAnsi" w:cstheme="minorBidi"/>
              <w:noProof/>
              <w:lang w:val="en-IN" w:eastAsia="en-IN"/>
            </w:rPr>
          </w:pPr>
          <w:hyperlink w:anchor="_Toc100739539" w:history="1">
            <w:r w:rsidR="00CC2CB8" w:rsidRPr="00B057E8">
              <w:rPr>
                <w:rStyle w:val="Hyperlink"/>
                <w:noProof/>
                <w:lang w:val="en-GB"/>
              </w:rPr>
              <w:t>Reviews the concept and drivers of employee</w:t>
            </w:r>
            <w:r w:rsidR="00CC2CB8" w:rsidRPr="00B057E8">
              <w:rPr>
                <w:rStyle w:val="Hyperlink"/>
                <w:noProof/>
                <w:spacing w:val="-2"/>
                <w:lang w:val="en-GB"/>
              </w:rPr>
              <w:t xml:space="preserve"> </w:t>
            </w:r>
            <w:r w:rsidR="00CC2CB8" w:rsidRPr="00B057E8">
              <w:rPr>
                <w:rStyle w:val="Hyperlink"/>
                <w:noProof/>
                <w:lang w:val="en-GB"/>
              </w:rPr>
              <w:t>engagement</w:t>
            </w:r>
            <w:r w:rsidR="00CC2CB8">
              <w:rPr>
                <w:noProof/>
                <w:webHidden/>
              </w:rPr>
              <w:tab/>
            </w:r>
            <w:r w:rsidR="00CC2CB8">
              <w:rPr>
                <w:noProof/>
                <w:webHidden/>
              </w:rPr>
              <w:fldChar w:fldCharType="begin"/>
            </w:r>
            <w:r w:rsidR="00CC2CB8">
              <w:rPr>
                <w:noProof/>
                <w:webHidden/>
              </w:rPr>
              <w:instrText xml:space="preserve"> PAGEREF _Toc100739539 \h </w:instrText>
            </w:r>
            <w:r w:rsidR="00CC2CB8">
              <w:rPr>
                <w:noProof/>
                <w:webHidden/>
              </w:rPr>
            </w:r>
            <w:r w:rsidR="00CC2CB8">
              <w:rPr>
                <w:noProof/>
                <w:webHidden/>
              </w:rPr>
              <w:fldChar w:fldCharType="separate"/>
            </w:r>
            <w:r w:rsidR="00CC2CB8">
              <w:rPr>
                <w:noProof/>
                <w:webHidden/>
              </w:rPr>
              <w:t>4</w:t>
            </w:r>
            <w:r w:rsidR="00CC2CB8">
              <w:rPr>
                <w:noProof/>
                <w:webHidden/>
              </w:rPr>
              <w:fldChar w:fldCharType="end"/>
            </w:r>
          </w:hyperlink>
        </w:p>
        <w:p w14:paraId="0B782888" w14:textId="25884805" w:rsidR="00CC2CB8" w:rsidRDefault="00C44C36">
          <w:pPr>
            <w:pStyle w:val="TOC1"/>
            <w:tabs>
              <w:tab w:val="right" w:leader="dot" w:pos="9016"/>
            </w:tabs>
            <w:rPr>
              <w:rFonts w:asciiTheme="minorHAnsi" w:eastAsiaTheme="minorEastAsia" w:hAnsiTheme="minorHAnsi" w:cstheme="minorBidi"/>
              <w:noProof/>
              <w:lang w:val="en-IN" w:eastAsia="en-IN"/>
            </w:rPr>
          </w:pPr>
          <w:hyperlink w:anchor="_Toc100739540" w:history="1">
            <w:r w:rsidR="00CC2CB8" w:rsidRPr="00B057E8">
              <w:rPr>
                <w:rStyle w:val="Hyperlink"/>
                <w:noProof/>
                <w:lang w:val="en-GB"/>
              </w:rPr>
              <w:t>Evaluates diagnostic tools to measure</w:t>
            </w:r>
            <w:r w:rsidR="00CC2CB8" w:rsidRPr="00B057E8">
              <w:rPr>
                <w:rStyle w:val="Hyperlink"/>
                <w:noProof/>
                <w:spacing w:val="-1"/>
                <w:lang w:val="en-GB"/>
              </w:rPr>
              <w:t xml:space="preserve"> </w:t>
            </w:r>
            <w:r w:rsidR="00CC2CB8" w:rsidRPr="00B057E8">
              <w:rPr>
                <w:rStyle w:val="Hyperlink"/>
                <w:noProof/>
                <w:lang w:val="en-GB"/>
              </w:rPr>
              <w:t>the engagement</w:t>
            </w:r>
            <w:r w:rsidR="00CC2CB8">
              <w:rPr>
                <w:noProof/>
                <w:webHidden/>
              </w:rPr>
              <w:tab/>
            </w:r>
            <w:r w:rsidR="00CC2CB8">
              <w:rPr>
                <w:noProof/>
                <w:webHidden/>
              </w:rPr>
              <w:fldChar w:fldCharType="begin"/>
            </w:r>
            <w:r w:rsidR="00CC2CB8">
              <w:rPr>
                <w:noProof/>
                <w:webHidden/>
              </w:rPr>
              <w:instrText xml:space="preserve"> PAGEREF _Toc100739540 \h </w:instrText>
            </w:r>
            <w:r w:rsidR="00CC2CB8">
              <w:rPr>
                <w:noProof/>
                <w:webHidden/>
              </w:rPr>
            </w:r>
            <w:r w:rsidR="00CC2CB8">
              <w:rPr>
                <w:noProof/>
                <w:webHidden/>
              </w:rPr>
              <w:fldChar w:fldCharType="separate"/>
            </w:r>
            <w:r w:rsidR="00CC2CB8">
              <w:rPr>
                <w:noProof/>
                <w:webHidden/>
              </w:rPr>
              <w:t>6</w:t>
            </w:r>
            <w:r w:rsidR="00CC2CB8">
              <w:rPr>
                <w:noProof/>
                <w:webHidden/>
              </w:rPr>
              <w:fldChar w:fldCharType="end"/>
            </w:r>
          </w:hyperlink>
        </w:p>
        <w:p w14:paraId="1BB79372" w14:textId="5CA78AE7" w:rsidR="00CC2CB8" w:rsidRDefault="00C44C36">
          <w:pPr>
            <w:pStyle w:val="TOC1"/>
            <w:tabs>
              <w:tab w:val="right" w:leader="dot" w:pos="9016"/>
            </w:tabs>
            <w:rPr>
              <w:rFonts w:asciiTheme="minorHAnsi" w:eastAsiaTheme="minorEastAsia" w:hAnsiTheme="minorHAnsi" w:cstheme="minorBidi"/>
              <w:noProof/>
              <w:lang w:val="en-IN" w:eastAsia="en-IN"/>
            </w:rPr>
          </w:pPr>
          <w:hyperlink w:anchor="_Toc100739541" w:history="1">
            <w:r w:rsidR="00CC2CB8" w:rsidRPr="00B057E8">
              <w:rPr>
                <w:rStyle w:val="Hyperlink"/>
                <w:noProof/>
                <w:lang w:val="en-GB"/>
              </w:rPr>
              <w:t>Constructs an employee value proposition from the ideas and analysis previously covered, including strategies to raise levels of</w:t>
            </w:r>
            <w:r w:rsidR="00CC2CB8" w:rsidRPr="00B057E8">
              <w:rPr>
                <w:rStyle w:val="Hyperlink"/>
                <w:noProof/>
                <w:spacing w:val="-11"/>
                <w:lang w:val="en-GB"/>
              </w:rPr>
              <w:t xml:space="preserve"> </w:t>
            </w:r>
            <w:r w:rsidR="00CC2CB8" w:rsidRPr="00B057E8">
              <w:rPr>
                <w:rStyle w:val="Hyperlink"/>
                <w:noProof/>
                <w:lang w:val="en-GB"/>
              </w:rPr>
              <w:t>engagement.</w:t>
            </w:r>
            <w:r w:rsidR="00CC2CB8">
              <w:rPr>
                <w:noProof/>
                <w:webHidden/>
              </w:rPr>
              <w:tab/>
            </w:r>
            <w:r w:rsidR="00CC2CB8">
              <w:rPr>
                <w:noProof/>
                <w:webHidden/>
              </w:rPr>
              <w:fldChar w:fldCharType="begin"/>
            </w:r>
            <w:r w:rsidR="00CC2CB8">
              <w:rPr>
                <w:noProof/>
                <w:webHidden/>
              </w:rPr>
              <w:instrText xml:space="preserve"> PAGEREF _Toc100739541 \h </w:instrText>
            </w:r>
            <w:r w:rsidR="00CC2CB8">
              <w:rPr>
                <w:noProof/>
                <w:webHidden/>
              </w:rPr>
            </w:r>
            <w:r w:rsidR="00CC2CB8">
              <w:rPr>
                <w:noProof/>
                <w:webHidden/>
              </w:rPr>
              <w:fldChar w:fldCharType="separate"/>
            </w:r>
            <w:r w:rsidR="00CC2CB8">
              <w:rPr>
                <w:noProof/>
                <w:webHidden/>
              </w:rPr>
              <w:t>7</w:t>
            </w:r>
            <w:r w:rsidR="00CC2CB8">
              <w:rPr>
                <w:noProof/>
                <w:webHidden/>
              </w:rPr>
              <w:fldChar w:fldCharType="end"/>
            </w:r>
          </w:hyperlink>
        </w:p>
        <w:p w14:paraId="6CA02C11" w14:textId="0C193A52" w:rsidR="00CC2CB8" w:rsidRDefault="00C44C36">
          <w:pPr>
            <w:pStyle w:val="TOC1"/>
            <w:tabs>
              <w:tab w:val="right" w:leader="dot" w:pos="9016"/>
            </w:tabs>
            <w:rPr>
              <w:rFonts w:asciiTheme="minorHAnsi" w:eastAsiaTheme="minorEastAsia" w:hAnsiTheme="minorHAnsi" w:cstheme="minorBidi"/>
              <w:noProof/>
              <w:lang w:val="en-IN" w:eastAsia="en-IN"/>
            </w:rPr>
          </w:pPr>
          <w:hyperlink w:anchor="_Toc100739542" w:history="1">
            <w:r w:rsidR="00CC2CB8" w:rsidRPr="00B057E8">
              <w:rPr>
                <w:rStyle w:val="Hyperlink"/>
                <w:noProof/>
                <w:lang w:val="en-GB"/>
              </w:rPr>
              <w:t>Conclusion</w:t>
            </w:r>
            <w:r w:rsidR="00CC2CB8">
              <w:rPr>
                <w:noProof/>
                <w:webHidden/>
              </w:rPr>
              <w:tab/>
            </w:r>
            <w:r w:rsidR="00CC2CB8">
              <w:rPr>
                <w:noProof/>
                <w:webHidden/>
              </w:rPr>
              <w:fldChar w:fldCharType="begin"/>
            </w:r>
            <w:r w:rsidR="00CC2CB8">
              <w:rPr>
                <w:noProof/>
                <w:webHidden/>
              </w:rPr>
              <w:instrText xml:space="preserve"> PAGEREF _Toc100739542 \h </w:instrText>
            </w:r>
            <w:r w:rsidR="00CC2CB8">
              <w:rPr>
                <w:noProof/>
                <w:webHidden/>
              </w:rPr>
            </w:r>
            <w:r w:rsidR="00CC2CB8">
              <w:rPr>
                <w:noProof/>
                <w:webHidden/>
              </w:rPr>
              <w:fldChar w:fldCharType="separate"/>
            </w:r>
            <w:r w:rsidR="00CC2CB8">
              <w:rPr>
                <w:noProof/>
                <w:webHidden/>
              </w:rPr>
              <w:t>9</w:t>
            </w:r>
            <w:r w:rsidR="00CC2CB8">
              <w:rPr>
                <w:noProof/>
                <w:webHidden/>
              </w:rPr>
              <w:fldChar w:fldCharType="end"/>
            </w:r>
          </w:hyperlink>
        </w:p>
        <w:p w14:paraId="57C77618" w14:textId="20481A39" w:rsidR="00CC2CB8" w:rsidRDefault="00C44C36">
          <w:pPr>
            <w:pStyle w:val="TOC1"/>
            <w:tabs>
              <w:tab w:val="right" w:leader="dot" w:pos="9016"/>
            </w:tabs>
            <w:rPr>
              <w:rFonts w:asciiTheme="minorHAnsi" w:eastAsiaTheme="minorEastAsia" w:hAnsiTheme="minorHAnsi" w:cstheme="minorBidi"/>
              <w:noProof/>
              <w:lang w:val="en-IN" w:eastAsia="en-IN"/>
            </w:rPr>
          </w:pPr>
          <w:hyperlink w:anchor="_Toc100739543" w:history="1">
            <w:r w:rsidR="00CC2CB8" w:rsidRPr="00B057E8">
              <w:rPr>
                <w:rStyle w:val="Hyperlink"/>
                <w:noProof/>
                <w:lang w:val="en-GB"/>
              </w:rPr>
              <w:t>Reference List</w:t>
            </w:r>
            <w:r w:rsidR="00CC2CB8">
              <w:rPr>
                <w:noProof/>
                <w:webHidden/>
              </w:rPr>
              <w:tab/>
            </w:r>
            <w:r w:rsidR="00CC2CB8">
              <w:rPr>
                <w:noProof/>
                <w:webHidden/>
              </w:rPr>
              <w:fldChar w:fldCharType="begin"/>
            </w:r>
            <w:r w:rsidR="00CC2CB8">
              <w:rPr>
                <w:noProof/>
                <w:webHidden/>
              </w:rPr>
              <w:instrText xml:space="preserve"> PAGEREF _Toc100739543 \h </w:instrText>
            </w:r>
            <w:r w:rsidR="00CC2CB8">
              <w:rPr>
                <w:noProof/>
                <w:webHidden/>
              </w:rPr>
            </w:r>
            <w:r w:rsidR="00CC2CB8">
              <w:rPr>
                <w:noProof/>
                <w:webHidden/>
              </w:rPr>
              <w:fldChar w:fldCharType="separate"/>
            </w:r>
            <w:r w:rsidR="00CC2CB8">
              <w:rPr>
                <w:noProof/>
                <w:webHidden/>
              </w:rPr>
              <w:t>10</w:t>
            </w:r>
            <w:r w:rsidR="00CC2CB8">
              <w:rPr>
                <w:noProof/>
                <w:webHidden/>
              </w:rPr>
              <w:fldChar w:fldCharType="end"/>
            </w:r>
          </w:hyperlink>
        </w:p>
        <w:p w14:paraId="7D9E7253" w14:textId="1A0A628B" w:rsidR="00107D0E" w:rsidRPr="00152029" w:rsidRDefault="00FB3373" w:rsidP="00B6332A">
          <w:pPr>
            <w:rPr>
              <w:lang w:val="en-GB"/>
            </w:rPr>
          </w:pPr>
          <w:r w:rsidRPr="00152029">
            <w:rPr>
              <w:b/>
              <w:bCs/>
              <w:noProof/>
              <w:lang w:val="en-GB"/>
            </w:rPr>
            <w:fldChar w:fldCharType="end"/>
          </w:r>
        </w:p>
      </w:sdtContent>
    </w:sdt>
    <w:p w14:paraId="7D9E7254" w14:textId="23BB285F" w:rsidR="000A1F1E" w:rsidRDefault="00FB3373" w:rsidP="00B6332A">
      <w:pPr>
        <w:widowControl/>
        <w:autoSpaceDE/>
        <w:autoSpaceDN/>
        <w:spacing w:after="200"/>
        <w:rPr>
          <w:b/>
          <w:lang w:val="en-GB"/>
        </w:rPr>
      </w:pPr>
      <w:r w:rsidRPr="00152029">
        <w:rPr>
          <w:b/>
          <w:lang w:val="en-GB"/>
        </w:rPr>
        <w:br w:type="page"/>
      </w:r>
    </w:p>
    <w:p w14:paraId="0010E668" w14:textId="511754CF" w:rsidR="00BA2EA4" w:rsidRDefault="00BA2EA4" w:rsidP="00BA2EA4">
      <w:pPr>
        <w:widowControl/>
        <w:autoSpaceDE/>
        <w:autoSpaceDN/>
        <w:spacing w:after="200"/>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Module </w:t>
      </w:r>
      <w:r w:rsidR="00FF4C44">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Number: LCBB</w:t>
      </w:r>
      <w:r>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5004</w:t>
      </w:r>
    </w:p>
    <w:p w14:paraId="2363DD67" w14:textId="77777777" w:rsidR="00BA2EA4" w:rsidRDefault="00BA2EA4" w:rsidP="00BA2EA4">
      <w:pPr>
        <w:widowControl/>
        <w:autoSpaceDE/>
        <w:autoSpaceDN/>
        <w:spacing w:after="200"/>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Managing People</w:t>
      </w:r>
    </w:p>
    <w:p w14:paraId="4931860B" w14:textId="171A8906" w:rsidR="00BA2EA4" w:rsidRDefault="00BA2EA4" w:rsidP="00BA2EA4">
      <w:pPr>
        <w:widowControl/>
        <w:autoSpaceDE/>
        <w:autoSpaceDN/>
        <w:spacing w:after="200"/>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w:t>
      </w:r>
      <w:r w:rsidR="00FF4C44">
        <w:rPr>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 Assessment</w:t>
      </w:r>
      <w:r>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 </w:t>
      </w:r>
    </w:p>
    <w:p w14:paraId="0BF0425E" w14:textId="5923C65D" w:rsidR="00BA2EA4" w:rsidRDefault="00FF4C44" w:rsidP="00BA2EA4">
      <w:pPr>
        <w:widowControl/>
        <w:autoSpaceDE/>
        <w:autoSpaceDN/>
        <w:spacing w:after="200"/>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Sabina</w:t>
      </w:r>
      <w:r w:rsidR="00BA2EA4">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Ioana </w:t>
      </w:r>
      <w:proofErr w:type="spellStart"/>
      <w:r w:rsidR="00BA2EA4">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Murgu</w:t>
      </w:r>
      <w:proofErr w:type="spellEnd"/>
    </w:p>
    <w:p w14:paraId="47435EEB" w14:textId="0D971514" w:rsidR="00BA2EA4" w:rsidRDefault="00BA2EA4" w:rsidP="00BA2EA4">
      <w:pPr>
        <w:widowControl/>
        <w:autoSpaceDE/>
        <w:autoSpaceDN/>
        <w:spacing w:after="200"/>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number:2018269</w:t>
      </w:r>
    </w:p>
    <w:p w14:paraId="1B2ED8FB" w14:textId="77777777" w:rsidR="00BA2EA4" w:rsidRDefault="00BA2EA4" w:rsidP="00BA2EA4">
      <w:pPr>
        <w:widowControl/>
        <w:autoSpaceDE/>
        <w:autoSpaceDN/>
        <w:spacing w:after="200"/>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Date:13.05.2022</w:t>
      </w:r>
    </w:p>
    <w:p w14:paraId="6F46DDF0" w14:textId="2896ED19" w:rsidR="00BA2EA4" w:rsidRPr="00822FFC" w:rsidRDefault="00BA2EA4" w:rsidP="00BA2EA4">
      <w:pPr>
        <w:widowControl/>
        <w:autoSpaceDE/>
        <w:autoSpaceDN/>
        <w:spacing w:after="200"/>
        <w:rPr>
          <w:bCs/>
          <w:lang w:val="en-GB"/>
        </w:rPr>
      </w:pPr>
      <w:r>
        <w:rPr>
          <w:bCs/>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:2033</w:t>
      </w:r>
      <w:r w:rsidRPr="00822FFC">
        <w:rPr>
          <w:bCs/>
          <w:lang w:val="en-GB"/>
        </w:rPr>
        <w:br w:type="page"/>
      </w:r>
    </w:p>
    <w:p w14:paraId="6937FB93" w14:textId="77777777" w:rsidR="00107D0E" w:rsidRPr="00152029" w:rsidRDefault="00107D0E" w:rsidP="00B6332A">
      <w:pPr>
        <w:widowControl/>
        <w:autoSpaceDE/>
        <w:autoSpaceDN/>
        <w:spacing w:after="200"/>
        <w:rPr>
          <w:b/>
          <w:lang w:val="en-GB"/>
        </w:rPr>
      </w:pPr>
    </w:p>
    <w:p w14:paraId="7D9E7255" w14:textId="381466B3" w:rsidR="00107D0E" w:rsidRPr="00152029" w:rsidRDefault="00FB3373" w:rsidP="00B6332A">
      <w:pPr>
        <w:pStyle w:val="Heading1"/>
        <w:rPr>
          <w:rFonts w:cs="Arial"/>
          <w:szCs w:val="22"/>
          <w:lang w:val="en-GB"/>
        </w:rPr>
      </w:pPr>
      <w:bookmarkStart w:id="0" w:name="_Toc100739538"/>
      <w:r w:rsidRPr="00152029">
        <w:rPr>
          <w:rFonts w:cs="Arial"/>
          <w:szCs w:val="22"/>
          <w:lang w:val="en-GB"/>
        </w:rPr>
        <w:t>Introduction</w:t>
      </w:r>
      <w:bookmarkEnd w:id="0"/>
      <w:r w:rsidR="00FE57F6" w:rsidRPr="00152029">
        <w:rPr>
          <w:rFonts w:cs="Arial"/>
          <w:szCs w:val="22"/>
          <w:lang w:val="en-GB"/>
        </w:rPr>
        <w:t xml:space="preserve"> </w:t>
      </w:r>
    </w:p>
    <w:p w14:paraId="7D9E7256" w14:textId="0636379D" w:rsidR="00107D0E" w:rsidRPr="00152029" w:rsidRDefault="00FB3373" w:rsidP="00B6332A">
      <w:pPr>
        <w:rPr>
          <w:lang w:val="en-GB"/>
        </w:rPr>
      </w:pPr>
      <w:r w:rsidRPr="00152029">
        <w:rPr>
          <w:lang w:val="en-GB"/>
        </w:rPr>
        <w:t xml:space="preserve">Employee engagement can be referred to as the commitment to the values and goals of an organization, which impacts their productivity and motivated them to contribute to the progress of the organization. Employee engagement is crucial for an organization as it helps to create a better work culture, </w:t>
      </w:r>
      <w:r w:rsidR="00FC0285" w:rsidRPr="00152029">
        <w:rPr>
          <w:lang w:val="en-GB"/>
        </w:rPr>
        <w:t>increases productivity</w:t>
      </w:r>
      <w:r w:rsidR="00E60AFF" w:rsidRPr="00152029">
        <w:rPr>
          <w:lang w:val="en-GB"/>
        </w:rPr>
        <w:t xml:space="preserve"> and </w:t>
      </w:r>
      <w:r w:rsidR="00FC0285" w:rsidRPr="00152029">
        <w:rPr>
          <w:lang w:val="en-GB"/>
        </w:rPr>
        <w:t>impacts the overall profitability of the company</w:t>
      </w:r>
      <w:r w:rsidR="004622A1" w:rsidRPr="00152029">
        <w:rPr>
          <w:lang w:val="en-GB"/>
        </w:rPr>
        <w:t xml:space="preserve"> (Men </w:t>
      </w:r>
      <w:r w:rsidR="004622A1" w:rsidRPr="00152029">
        <w:rPr>
          <w:i/>
          <w:lang w:val="en-GB"/>
        </w:rPr>
        <w:t>et al.,</w:t>
      </w:r>
      <w:r w:rsidR="004622A1" w:rsidRPr="00152029">
        <w:rPr>
          <w:lang w:val="en-GB"/>
        </w:rPr>
        <w:t xml:space="preserve"> 2020)</w:t>
      </w:r>
      <w:r w:rsidR="00FC0285" w:rsidRPr="00152029">
        <w:rPr>
          <w:lang w:val="en-GB"/>
        </w:rPr>
        <w:t>.</w:t>
      </w:r>
      <w:r w:rsidR="00E60AFF" w:rsidRPr="00152029">
        <w:rPr>
          <w:lang w:val="en-GB"/>
        </w:rPr>
        <w:t xml:space="preserve"> A low level of employee engagement might impact the viability of the company; the impacts of employee engagement will be addressed in this report. The drivers of employee engagement will be addressed in this report along with the tools used to diagnose and measure engagement. Finally, a value proposition will be created for employees and strategies will be provided for </w:t>
      </w:r>
      <w:r w:rsidR="00B27B39" w:rsidRPr="00152029">
        <w:rPr>
          <w:lang w:val="en-GB"/>
        </w:rPr>
        <w:t>raising</w:t>
      </w:r>
      <w:r w:rsidR="00E60AFF" w:rsidRPr="00152029">
        <w:rPr>
          <w:lang w:val="en-GB"/>
        </w:rPr>
        <w:t xml:space="preserve"> the levels of </w:t>
      </w:r>
      <w:r w:rsidR="00823E0F" w:rsidRPr="00152029">
        <w:rPr>
          <w:lang w:val="en-GB"/>
        </w:rPr>
        <w:t>employee</w:t>
      </w:r>
      <w:r w:rsidR="00E60AFF" w:rsidRPr="00152029">
        <w:rPr>
          <w:lang w:val="en-GB"/>
        </w:rPr>
        <w:t xml:space="preserve"> engagement</w:t>
      </w:r>
      <w:r w:rsidR="00823E0F" w:rsidRPr="00152029">
        <w:rPr>
          <w:lang w:val="en-GB"/>
        </w:rPr>
        <w:t>.</w:t>
      </w:r>
      <w:r w:rsidR="00B27B39" w:rsidRPr="00152029">
        <w:rPr>
          <w:lang w:val="en-GB"/>
        </w:rPr>
        <w:t xml:space="preserve"> The </w:t>
      </w:r>
      <w:r w:rsidR="00B018BF" w:rsidRPr="00152029">
        <w:rPr>
          <w:lang w:val="en-GB"/>
        </w:rPr>
        <w:t>clothing retailer Next Plc. will be referred to in this report. Headquarters of Next Plc. is in Leicester, United Kingdom. The company generates revenue of $5 billion and has over 40,867 employees</w:t>
      </w:r>
      <w:r w:rsidR="00C6564E" w:rsidRPr="00152029">
        <w:rPr>
          <w:lang w:val="en-GB"/>
        </w:rPr>
        <w:t xml:space="preserve"> (</w:t>
      </w:r>
      <w:proofErr w:type="spellStart"/>
      <w:r w:rsidR="00C6564E" w:rsidRPr="00152029">
        <w:rPr>
          <w:lang w:val="en-GB"/>
        </w:rPr>
        <w:t>Zoominfo</w:t>
      </w:r>
      <w:proofErr w:type="spellEnd"/>
      <w:r w:rsidR="00C6564E" w:rsidRPr="00152029">
        <w:rPr>
          <w:lang w:val="en-GB"/>
        </w:rPr>
        <w:t>, 2022)</w:t>
      </w:r>
      <w:r w:rsidR="00B018BF" w:rsidRPr="00152029">
        <w:rPr>
          <w:lang w:val="en-GB"/>
        </w:rPr>
        <w:t xml:space="preserve">. </w:t>
      </w:r>
      <w:r w:rsidR="00E60AFF" w:rsidRPr="00152029">
        <w:rPr>
          <w:lang w:val="en-GB"/>
        </w:rPr>
        <w:t xml:space="preserve">    </w:t>
      </w:r>
      <w:r w:rsidR="00FC0285" w:rsidRPr="00152029">
        <w:rPr>
          <w:lang w:val="en-GB"/>
        </w:rPr>
        <w:t xml:space="preserve"> </w:t>
      </w:r>
      <w:r w:rsidRPr="00152029">
        <w:rPr>
          <w:lang w:val="en-GB"/>
        </w:rPr>
        <w:t xml:space="preserve">    </w:t>
      </w:r>
      <w:r w:rsidRPr="00152029">
        <w:rPr>
          <w:lang w:val="en-GB"/>
        </w:rPr>
        <w:br w:type="page"/>
      </w:r>
    </w:p>
    <w:p w14:paraId="7D9E7257" w14:textId="5ACF0298" w:rsidR="00107D0E" w:rsidRPr="00152029" w:rsidRDefault="00FB3373" w:rsidP="00B6332A">
      <w:pPr>
        <w:pStyle w:val="Heading1"/>
        <w:rPr>
          <w:rFonts w:cs="Arial"/>
          <w:szCs w:val="22"/>
          <w:lang w:val="en-GB"/>
        </w:rPr>
      </w:pPr>
      <w:bookmarkStart w:id="1" w:name="_Toc100739539"/>
      <w:r w:rsidRPr="00152029">
        <w:rPr>
          <w:rFonts w:cs="Arial"/>
          <w:szCs w:val="22"/>
          <w:lang w:val="en-GB"/>
        </w:rPr>
        <w:lastRenderedPageBreak/>
        <w:t>Reviews the concept and drivers of employee</w:t>
      </w:r>
      <w:r w:rsidRPr="00152029">
        <w:rPr>
          <w:rFonts w:cs="Arial"/>
          <w:spacing w:val="-2"/>
          <w:szCs w:val="22"/>
          <w:lang w:val="en-GB"/>
        </w:rPr>
        <w:t xml:space="preserve"> </w:t>
      </w:r>
      <w:r w:rsidRPr="00152029">
        <w:rPr>
          <w:rFonts w:cs="Arial"/>
          <w:szCs w:val="22"/>
          <w:lang w:val="en-GB"/>
        </w:rPr>
        <w:t>engagement</w:t>
      </w:r>
      <w:bookmarkEnd w:id="1"/>
      <w:r w:rsidR="00E60AFF" w:rsidRPr="00152029">
        <w:rPr>
          <w:rFonts w:cs="Arial"/>
          <w:szCs w:val="22"/>
          <w:lang w:val="en-GB"/>
        </w:rPr>
        <w:t xml:space="preserve"> </w:t>
      </w:r>
    </w:p>
    <w:p w14:paraId="2589FD0F" w14:textId="77777777" w:rsidR="00B6332A" w:rsidRPr="00152029" w:rsidRDefault="00FB3373" w:rsidP="00B6332A">
      <w:pPr>
        <w:rPr>
          <w:b/>
          <w:bCs/>
          <w:lang w:val="en-GB"/>
        </w:rPr>
      </w:pPr>
      <w:r w:rsidRPr="00152029">
        <w:rPr>
          <w:b/>
          <w:bCs/>
          <w:lang w:val="en-GB"/>
        </w:rPr>
        <w:t>Concept of Employee Engagement</w:t>
      </w:r>
    </w:p>
    <w:p w14:paraId="135FC69A" w14:textId="1B2A8A0E" w:rsidR="00B6332A" w:rsidRPr="00152029" w:rsidRDefault="00FB3373" w:rsidP="00B6332A">
      <w:pPr>
        <w:rPr>
          <w:lang w:val="en-GB"/>
        </w:rPr>
      </w:pPr>
      <w:r w:rsidRPr="00152029">
        <w:rPr>
          <w:lang w:val="en-GB"/>
        </w:rPr>
        <w:t xml:space="preserve">The approach of an organization in ensuring the right working conditions of an employee motivates them to perform at their optimal levels every day. Engaged employees have a higher feeling of well-being and align the values and ethics of the organization with their individual values and ethics. </w:t>
      </w:r>
      <w:r w:rsidR="000816B9" w:rsidRPr="00152029">
        <w:rPr>
          <w:lang w:val="en-GB"/>
        </w:rPr>
        <w:t xml:space="preserve">According to </w:t>
      </w:r>
      <w:proofErr w:type="spellStart"/>
      <w:r w:rsidR="000816B9" w:rsidRPr="00152029">
        <w:rPr>
          <w:lang w:val="en-GB"/>
        </w:rPr>
        <w:t>Tanwar</w:t>
      </w:r>
      <w:proofErr w:type="spellEnd"/>
      <w:r w:rsidR="000816B9" w:rsidRPr="00152029">
        <w:rPr>
          <w:lang w:val="en-GB"/>
        </w:rPr>
        <w:t xml:space="preserve"> (2017), e</w:t>
      </w:r>
      <w:r w:rsidRPr="00152029">
        <w:rPr>
          <w:lang w:val="en-GB"/>
        </w:rPr>
        <w:t xml:space="preserve">ffective employee engagement improves the profitability of the enterprise and its success and contributes to individual and organizational performance, well-being and productivity. Employee engagement can be measured and it can be nurtured to increase its levels. The understanding of an individual about their role in the organization and their ability to see where they fit in the overall objectives of the organization is known as employee engagement. </w:t>
      </w:r>
      <w:r w:rsidR="00273935" w:rsidRPr="00152029">
        <w:rPr>
          <w:lang w:val="en-GB"/>
        </w:rPr>
        <w:t>Employee engagement implies portraying a combination of traits such as being committed to the organisational welfare, its values and having the willingness to assist colleagues (From the lecture notes).</w:t>
      </w:r>
      <w:r w:rsidR="005E2617" w:rsidRPr="00152029">
        <w:rPr>
          <w:lang w:val="en-GB"/>
        </w:rPr>
        <w:t xml:space="preserve"> Understandingly, it can be assessed that focusing on employee motivation and welfare for keeping them satisfied and also committed to organisational wellbeing is important for employee engagement. </w:t>
      </w:r>
    </w:p>
    <w:p w14:paraId="31FF2DBA" w14:textId="2B1CCF5E" w:rsidR="00B6332A" w:rsidRPr="00152029" w:rsidRDefault="00FB3373" w:rsidP="00B6332A">
      <w:pPr>
        <w:rPr>
          <w:lang w:val="en-GB"/>
        </w:rPr>
      </w:pPr>
      <w:r w:rsidRPr="00152029">
        <w:rPr>
          <w:lang w:val="en-GB"/>
        </w:rPr>
        <w:t xml:space="preserve">According to Sun and </w:t>
      </w:r>
      <w:proofErr w:type="spellStart"/>
      <w:r w:rsidRPr="00152029">
        <w:rPr>
          <w:lang w:val="en-GB"/>
        </w:rPr>
        <w:t>Bunchapattanasakda</w:t>
      </w:r>
      <w:proofErr w:type="spellEnd"/>
      <w:r w:rsidRPr="00152029">
        <w:rPr>
          <w:lang w:val="en-GB"/>
        </w:rPr>
        <w:t xml:space="preserve"> (2019), different factors have an influence on employee engagement and they can be understood by reviewing Kahn's needs-satisfaction framework.  </w:t>
      </w:r>
      <w:r w:rsidR="000816B9" w:rsidRPr="00152029">
        <w:rPr>
          <w:lang w:val="en-GB"/>
        </w:rPr>
        <w:t xml:space="preserve">This framework stated that employees can be optimally engaged when three psychological needs are met by organisations. </w:t>
      </w:r>
    </w:p>
    <w:p w14:paraId="37BFDBA3" w14:textId="4F029AF3" w:rsidR="00FE57F6" w:rsidRPr="00152029" w:rsidRDefault="00FB3373" w:rsidP="00B6332A">
      <w:pPr>
        <w:rPr>
          <w:b/>
          <w:bCs/>
          <w:lang w:val="en-GB"/>
        </w:rPr>
      </w:pPr>
      <w:r w:rsidRPr="00152029">
        <w:rPr>
          <w:b/>
          <w:bCs/>
          <w:lang w:val="en-GB"/>
        </w:rPr>
        <w:t>Drivers of Employee Engagement</w:t>
      </w:r>
    </w:p>
    <w:p w14:paraId="76829E12" w14:textId="297032A2" w:rsidR="00EE1BC1" w:rsidRPr="00152029" w:rsidRDefault="00FB3373" w:rsidP="00B6332A">
      <w:pPr>
        <w:rPr>
          <w:lang w:val="en-GB"/>
        </w:rPr>
      </w:pPr>
      <w:r w:rsidRPr="00152029">
        <w:rPr>
          <w:lang w:val="en-GB"/>
        </w:rPr>
        <w:t xml:space="preserve">The building block of employee engagement is trust, commitment, integrity and effective communication between the leadership roles of the organization and the members Next Plc. (Men </w:t>
      </w:r>
      <w:r w:rsidRPr="00152029">
        <w:rPr>
          <w:i/>
          <w:lang w:val="en-GB"/>
        </w:rPr>
        <w:t>et el.,</w:t>
      </w:r>
      <w:r w:rsidRPr="00152029">
        <w:rPr>
          <w:lang w:val="en-GB"/>
        </w:rPr>
        <w:t xml:space="preserve"> 2020). It can be assessed that h</w:t>
      </w:r>
      <w:r w:rsidR="00C41D89" w:rsidRPr="00152029">
        <w:rPr>
          <w:lang w:val="en-GB"/>
        </w:rPr>
        <w:t>aving a clear understanding of the purpose of the organization and the methods adopted by it to reach those purposes impacts employee engagement.</w:t>
      </w:r>
      <w:r w:rsidR="00037ECD" w:rsidRPr="00152029">
        <w:rPr>
          <w:lang w:val="en-GB"/>
        </w:rPr>
        <w:t xml:space="preserve"> </w:t>
      </w:r>
      <w:r w:rsidR="00CD11DD" w:rsidRPr="00152029">
        <w:rPr>
          <w:lang w:val="en-GB"/>
        </w:rPr>
        <w:t>I</w:t>
      </w:r>
      <w:r w:rsidR="00037ECD" w:rsidRPr="00152029">
        <w:rPr>
          <w:lang w:val="en-GB"/>
        </w:rPr>
        <w:t>t</w:t>
      </w:r>
      <w:r w:rsidR="00C41D89" w:rsidRPr="00152029">
        <w:rPr>
          <w:lang w:val="en-GB"/>
        </w:rPr>
        <w:t xml:space="preserve"> provides the employees with a voice </w:t>
      </w:r>
      <w:r w:rsidR="00E51C28" w:rsidRPr="00152029">
        <w:rPr>
          <w:lang w:val="en-GB"/>
        </w:rPr>
        <w:t xml:space="preserve">in the journey and progress of the company by providing ideas and their views that are taken into account while making decisions. </w:t>
      </w:r>
      <w:r w:rsidR="00D8401E" w:rsidRPr="00152029">
        <w:rPr>
          <w:lang w:val="en-GB"/>
        </w:rPr>
        <w:t>The process of employee engagement also</w:t>
      </w:r>
      <w:r w:rsidR="004070BF" w:rsidRPr="00152029">
        <w:rPr>
          <w:lang w:val="en-GB"/>
        </w:rPr>
        <w:t xml:space="preserve"> involves</w:t>
      </w:r>
      <w:r w:rsidR="00D8401E" w:rsidRPr="00152029">
        <w:rPr>
          <w:lang w:val="en-GB"/>
        </w:rPr>
        <w:t xml:space="preserve"> the individual</w:t>
      </w:r>
      <w:r w:rsidR="004070BF" w:rsidRPr="00152029">
        <w:rPr>
          <w:lang w:val="en-GB"/>
        </w:rPr>
        <w:t xml:space="preserve"> feeling included</w:t>
      </w:r>
      <w:r w:rsidR="00D8401E" w:rsidRPr="00152029">
        <w:rPr>
          <w:lang w:val="en-GB"/>
        </w:rPr>
        <w:t xml:space="preserve"> as a dedicated member of the organization</w:t>
      </w:r>
      <w:r w:rsidR="00ED4290" w:rsidRPr="00152029">
        <w:rPr>
          <w:lang w:val="en-GB"/>
        </w:rPr>
        <w:t xml:space="preserve"> (Men </w:t>
      </w:r>
      <w:r w:rsidR="00ED4290" w:rsidRPr="00152029">
        <w:rPr>
          <w:i/>
          <w:lang w:val="en-GB"/>
        </w:rPr>
        <w:t>et el.,</w:t>
      </w:r>
      <w:r w:rsidR="00ED4290" w:rsidRPr="00152029">
        <w:rPr>
          <w:lang w:val="en-GB"/>
        </w:rPr>
        <w:t xml:space="preserve"> 2020)</w:t>
      </w:r>
      <w:r w:rsidR="00D8401E" w:rsidRPr="00152029">
        <w:rPr>
          <w:lang w:val="en-GB"/>
        </w:rPr>
        <w:t>.</w:t>
      </w:r>
      <w:r w:rsidR="004070BF" w:rsidRPr="00152029">
        <w:rPr>
          <w:lang w:val="en-GB"/>
        </w:rPr>
        <w:t xml:space="preserve"> </w:t>
      </w:r>
      <w:r w:rsidRPr="00152029">
        <w:rPr>
          <w:lang w:val="en-GB"/>
        </w:rPr>
        <w:t xml:space="preserve">Accordingly, interpersonal relationships with the stakeholders and a sense of belonging within the workforce positively impact the employee engagement levels. </w:t>
      </w:r>
      <w:r w:rsidR="008B2850" w:rsidRPr="00152029">
        <w:rPr>
          <w:lang w:val="en-GB"/>
        </w:rPr>
        <w:t xml:space="preserve">Clear goals, </w:t>
      </w:r>
      <w:r w:rsidR="002C3617" w:rsidRPr="00152029">
        <w:rPr>
          <w:lang w:val="en-GB"/>
        </w:rPr>
        <w:t xml:space="preserve">empowerment, trust, constructive feedback, developing new sets of skills are effective in developing employee engagement. </w:t>
      </w:r>
      <w:r w:rsidRPr="00152029">
        <w:rPr>
          <w:lang w:val="en-GB"/>
        </w:rPr>
        <w:t xml:space="preserve">Accordingly, having a clear goal and purpose helps in aligning the daily activities of the employees with the </w:t>
      </w:r>
      <w:r w:rsidR="002936E0" w:rsidRPr="00152029">
        <w:rPr>
          <w:lang w:val="en-GB"/>
        </w:rPr>
        <w:t>fulfilment</w:t>
      </w:r>
      <w:r w:rsidRPr="00152029">
        <w:rPr>
          <w:lang w:val="en-GB"/>
        </w:rPr>
        <w:t xml:space="preserve"> of organisational objectives and a sense of understanding helps in increasing the motivation of the workforce. </w:t>
      </w:r>
      <w:r w:rsidR="00C41D89" w:rsidRPr="00152029">
        <w:rPr>
          <w:lang w:val="en-GB"/>
        </w:rPr>
        <w:t>Organizations that have strong employee engagement have strong values, clear trust among employees, and clearly designated roles</w:t>
      </w:r>
      <w:r w:rsidRPr="00152029">
        <w:rPr>
          <w:lang w:val="en-GB"/>
        </w:rPr>
        <w:t xml:space="preserve"> and thus it can be considered as a key driver of employee engagement</w:t>
      </w:r>
      <w:r w:rsidR="00C41D89" w:rsidRPr="00152029">
        <w:rPr>
          <w:lang w:val="en-GB"/>
        </w:rPr>
        <w:t xml:space="preserve">. </w:t>
      </w:r>
    </w:p>
    <w:p w14:paraId="7D9E7259" w14:textId="226DB3F4" w:rsidR="009C257D" w:rsidRPr="00152029" w:rsidRDefault="00FB3373" w:rsidP="00B6332A">
      <w:pPr>
        <w:rPr>
          <w:lang w:val="en-GB"/>
        </w:rPr>
      </w:pPr>
      <w:r w:rsidRPr="00152029">
        <w:rPr>
          <w:lang w:val="en-GB"/>
        </w:rPr>
        <w:lastRenderedPageBreak/>
        <w:t xml:space="preserve">Employee engagement and their belief greatly depend on the belief of the employers. According to the unitary perspective, all stakeholders have the same interest, while in </w:t>
      </w:r>
      <w:r w:rsidR="005E2617" w:rsidRPr="00152029">
        <w:rPr>
          <w:lang w:val="en-GB"/>
        </w:rPr>
        <w:t xml:space="preserve">the pluralist perspective, employers believe that stakeholders have a range of interests (From the lecture notes). </w:t>
      </w:r>
    </w:p>
    <w:p w14:paraId="7D9E725A" w14:textId="77777777" w:rsidR="001B1872" w:rsidRPr="00152029" w:rsidRDefault="001B1872" w:rsidP="00B6332A">
      <w:pPr>
        <w:rPr>
          <w:lang w:val="en-GB"/>
        </w:rPr>
      </w:pPr>
    </w:p>
    <w:p w14:paraId="7D9E725B" w14:textId="77777777" w:rsidR="009C257D" w:rsidRPr="00152029" w:rsidRDefault="009C257D" w:rsidP="00B6332A">
      <w:pPr>
        <w:rPr>
          <w:lang w:val="en-GB"/>
        </w:rPr>
      </w:pPr>
    </w:p>
    <w:p w14:paraId="7D9E725C" w14:textId="77777777" w:rsidR="00107D0E" w:rsidRPr="00152029" w:rsidRDefault="00FB3373" w:rsidP="00B6332A">
      <w:pPr>
        <w:rPr>
          <w:rFonts w:eastAsiaTheme="majorEastAsia"/>
          <w:b/>
          <w:bCs/>
          <w:color w:val="000000" w:themeColor="text1"/>
          <w:lang w:val="en-GB"/>
        </w:rPr>
      </w:pPr>
      <w:r w:rsidRPr="00152029">
        <w:rPr>
          <w:lang w:val="en-GB"/>
        </w:rPr>
        <w:br w:type="page"/>
      </w:r>
    </w:p>
    <w:p w14:paraId="026E6850" w14:textId="1B349B2F" w:rsidR="00381631" w:rsidRPr="00152029" w:rsidRDefault="00FB3373" w:rsidP="00B6332A">
      <w:pPr>
        <w:pStyle w:val="Heading1"/>
        <w:rPr>
          <w:rFonts w:cs="Arial"/>
          <w:szCs w:val="22"/>
          <w:lang w:val="en-GB"/>
        </w:rPr>
      </w:pPr>
      <w:bookmarkStart w:id="2" w:name="_Toc100739540"/>
      <w:r w:rsidRPr="00152029">
        <w:rPr>
          <w:rFonts w:cs="Arial"/>
          <w:szCs w:val="22"/>
          <w:lang w:val="en-GB"/>
        </w:rPr>
        <w:lastRenderedPageBreak/>
        <w:t>Evaluates diagnostic tools to measure</w:t>
      </w:r>
      <w:r w:rsidRPr="00152029">
        <w:rPr>
          <w:rFonts w:cs="Arial"/>
          <w:spacing w:val="-1"/>
          <w:szCs w:val="22"/>
          <w:lang w:val="en-GB"/>
        </w:rPr>
        <w:t xml:space="preserve"> </w:t>
      </w:r>
      <w:r w:rsidRPr="00152029">
        <w:rPr>
          <w:rFonts w:cs="Arial"/>
          <w:szCs w:val="22"/>
          <w:lang w:val="en-GB"/>
        </w:rPr>
        <w:t>the engagement</w:t>
      </w:r>
      <w:bookmarkEnd w:id="2"/>
      <w:r w:rsidR="00E60AFF" w:rsidRPr="00152029">
        <w:rPr>
          <w:rFonts w:cs="Arial"/>
          <w:szCs w:val="22"/>
          <w:lang w:val="en-GB"/>
        </w:rPr>
        <w:t xml:space="preserve"> </w:t>
      </w:r>
    </w:p>
    <w:p w14:paraId="0D82DAF5" w14:textId="0F632FC7" w:rsidR="00376082" w:rsidRPr="00152029" w:rsidRDefault="00FB3373" w:rsidP="00381631">
      <w:pPr>
        <w:rPr>
          <w:lang w:val="en-GB"/>
        </w:rPr>
      </w:pPr>
      <w:r w:rsidRPr="00152029">
        <w:rPr>
          <w:lang w:val="en-GB"/>
        </w:rPr>
        <w:t xml:space="preserve">Understanding that employee satisfaction levels have a major role in determining employee engagement levels, assessment of employee happiness is an effective way of measuring engagement levels. Conducting regular check-ins with the employees and taking feedback and promoting open dialogue is an effective ways of measuring employee satisfaction levels (Small Business Trends, 2022). </w:t>
      </w:r>
      <w:r w:rsidR="00C412D0" w:rsidRPr="00152029">
        <w:rPr>
          <w:lang w:val="en-GB"/>
        </w:rPr>
        <w:t xml:space="preserve">However, Byrne </w:t>
      </w:r>
      <w:r w:rsidR="00C412D0" w:rsidRPr="00152029">
        <w:rPr>
          <w:i/>
          <w:iCs/>
          <w:lang w:val="en-GB"/>
        </w:rPr>
        <w:t xml:space="preserve">et al. </w:t>
      </w:r>
      <w:r w:rsidR="00C412D0" w:rsidRPr="00152029">
        <w:rPr>
          <w:lang w:val="en-GB"/>
        </w:rPr>
        <w:t xml:space="preserve">(2016) commented that measuring employee engagement is not the same as assessing the opposite of employee burnout and therefore psychological meaningfulness also needs to be assessed. Understandingly, it can be assessed that along with the </w:t>
      </w:r>
      <w:r w:rsidRPr="00152029">
        <w:rPr>
          <w:lang w:val="en-GB"/>
        </w:rPr>
        <w:t xml:space="preserve">observable key performance indicators such as employee retention rate and the number of hours put in by employees, other aspects are also required to be considered. According to Brown (2020), engagement surveys for efficient identification of problem areas and strengths of the organisation in relation to their workforce are necessary for measuring engagement. </w:t>
      </w:r>
    </w:p>
    <w:p w14:paraId="6A18CB67" w14:textId="012CC6EC" w:rsidR="00AF7D4B" w:rsidRPr="00152029" w:rsidRDefault="00FB3373" w:rsidP="00381631">
      <w:pPr>
        <w:rPr>
          <w:lang w:val="en-GB"/>
        </w:rPr>
      </w:pPr>
      <w:r w:rsidRPr="00152029">
        <w:rPr>
          <w:lang w:val="en-GB"/>
        </w:rPr>
        <w:t xml:space="preserve">Determination of engagement outcome is the first element that needs to be considered while measuring employee engagement levels. It refers to the survey questions that represent the feeling and behaviour of engaged employees. As per Brown (2020), engagement outcomes help organisations to identify targets that the companies should aim to attain in relation to employee engagement. The next step involved in this process of identifying the activities and attributes that employees consider being crucial for employee engagement. </w:t>
      </w:r>
      <w:r w:rsidR="005950F5" w:rsidRPr="00152029">
        <w:rPr>
          <w:lang w:val="en-GB"/>
        </w:rPr>
        <w:t xml:space="preserve">For instance, effective communications have been said to increase employee engagement by making the employees feel involved in the company </w:t>
      </w:r>
      <w:r w:rsidR="00556C77" w:rsidRPr="00152029">
        <w:rPr>
          <w:lang w:val="en-GB"/>
        </w:rPr>
        <w:t xml:space="preserve">(From the lecture notes). Conducting a driver analysis would also enable organisations to identify the key drivers which have a major impact on employee motivation. Driver analysis by involving the employees in understanding the workforce perspective would enable organisations to identify the factors that need to be improved within the workforce (Brown, 2020). </w:t>
      </w:r>
    </w:p>
    <w:p w14:paraId="6E64DB94" w14:textId="20201BE6" w:rsidR="00C412D0" w:rsidRPr="00152029" w:rsidRDefault="00CD59D5" w:rsidP="00381631">
      <w:pPr>
        <w:rPr>
          <w:lang w:val="en-GB"/>
        </w:rPr>
      </w:pPr>
      <w:r w:rsidRPr="00152029">
        <w:rPr>
          <w:lang w:val="en-GB"/>
        </w:rPr>
        <w:t>Employee listening strategy also plays a role in engaging the employees in a decision-making process and this improves their motivation, and commitment towards the organisation (People Insight, 2022). This strategy generally includes the survey method and listening group. Surveys can help in identifying the key moments of the employee life cycle and track the employee engagement levels of the workforce. However, in the case of a questionnaire survey, objective data is collected and thus in-depth information is not obtained (</w:t>
      </w:r>
      <w:r w:rsidR="000D650A" w:rsidRPr="00152029">
        <w:rPr>
          <w:lang w:val="en-GB"/>
        </w:rPr>
        <w:t>Sincero, 2022</w:t>
      </w:r>
      <w:r w:rsidRPr="00152029">
        <w:rPr>
          <w:lang w:val="en-GB"/>
        </w:rPr>
        <w:t xml:space="preserve">). This challenge can be overcome by organising listening groups as they help in collecting qualitative feedback on significant issues that are identified in questionnaire survey analysis (People Insight, 2022).  </w:t>
      </w:r>
    </w:p>
    <w:p w14:paraId="05D8CBE4" w14:textId="77777777" w:rsidR="00152029" w:rsidRDefault="00FB3373">
      <w:pPr>
        <w:widowControl/>
        <w:autoSpaceDE/>
        <w:autoSpaceDN/>
        <w:spacing w:after="200" w:line="276" w:lineRule="auto"/>
        <w:jc w:val="left"/>
        <w:rPr>
          <w:rFonts w:eastAsiaTheme="majorEastAsia"/>
          <w:b/>
          <w:bCs/>
          <w:color w:val="000000" w:themeColor="text1"/>
          <w:lang w:val="en-GB"/>
        </w:rPr>
      </w:pPr>
      <w:r>
        <w:rPr>
          <w:lang w:val="en-GB"/>
        </w:rPr>
        <w:br w:type="page"/>
      </w:r>
    </w:p>
    <w:p w14:paraId="7D9E725F" w14:textId="3424E102" w:rsidR="00107D0E" w:rsidRPr="00152029" w:rsidRDefault="00FB3373" w:rsidP="00B6332A">
      <w:pPr>
        <w:pStyle w:val="Heading1"/>
        <w:rPr>
          <w:rFonts w:cs="Arial"/>
          <w:szCs w:val="22"/>
          <w:lang w:val="en-GB"/>
        </w:rPr>
      </w:pPr>
      <w:bookmarkStart w:id="3" w:name="_Toc100739541"/>
      <w:r w:rsidRPr="00152029">
        <w:rPr>
          <w:rFonts w:cs="Arial"/>
          <w:szCs w:val="22"/>
          <w:lang w:val="en-GB"/>
        </w:rPr>
        <w:lastRenderedPageBreak/>
        <w:t>Constructs an employee value proposition from the ideas and analysis previously covered, including strategies to raise levels of</w:t>
      </w:r>
      <w:r w:rsidRPr="00152029">
        <w:rPr>
          <w:rFonts w:cs="Arial"/>
          <w:spacing w:val="-11"/>
          <w:szCs w:val="22"/>
          <w:lang w:val="en-GB"/>
        </w:rPr>
        <w:t xml:space="preserve"> </w:t>
      </w:r>
      <w:r w:rsidRPr="00152029">
        <w:rPr>
          <w:rFonts w:cs="Arial"/>
          <w:szCs w:val="22"/>
          <w:lang w:val="en-GB"/>
        </w:rPr>
        <w:t>engagement.</w:t>
      </w:r>
      <w:bookmarkEnd w:id="3"/>
    </w:p>
    <w:p w14:paraId="5C234811" w14:textId="576916D0" w:rsidR="00F45D86" w:rsidRPr="00152029" w:rsidRDefault="00FB3373" w:rsidP="00F45D86">
      <w:pPr>
        <w:rPr>
          <w:lang w:val="en-GB"/>
        </w:rPr>
      </w:pPr>
      <w:r w:rsidRPr="00152029">
        <w:rPr>
          <w:lang w:val="en-GB"/>
        </w:rPr>
        <w:t xml:space="preserve">Looking after the organisational culture, work environment careers growth prospects, employee benefits and compensations are different elements of EVP that companies focus on for improving employee productivity (TalentLyft, 2022). </w:t>
      </w:r>
    </w:p>
    <w:p w14:paraId="28B239F3" w14:textId="613A8128" w:rsidR="00F45D86" w:rsidRPr="00152029" w:rsidRDefault="00FB3373" w:rsidP="00F45D86">
      <w:pPr>
        <w:jc w:val="center"/>
        <w:rPr>
          <w:lang w:val="en-GB"/>
        </w:rPr>
      </w:pPr>
      <w:r w:rsidRPr="00152029">
        <w:rPr>
          <w:noProof/>
        </w:rPr>
        <w:drawing>
          <wp:inline distT="0" distB="0" distL="0" distR="0" wp14:anchorId="49F5C54F" wp14:editId="749F473B">
            <wp:extent cx="3967701" cy="2203642"/>
            <wp:effectExtent l="76200" t="76200" r="128270" b="139700"/>
            <wp:docPr id="3" name="Picture 3" descr="what is EV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what is EVP"/>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987053" cy="2214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79CDE0" w14:textId="4937B6C4" w:rsidR="00F45D86" w:rsidRPr="00152029" w:rsidRDefault="00FB3373" w:rsidP="00F45D86">
      <w:pPr>
        <w:jc w:val="center"/>
        <w:rPr>
          <w:b/>
          <w:bCs/>
          <w:lang w:val="en-GB"/>
        </w:rPr>
      </w:pPr>
      <w:r w:rsidRPr="00152029">
        <w:rPr>
          <w:b/>
          <w:bCs/>
          <w:lang w:val="en-GB"/>
        </w:rPr>
        <w:t>Figure 1: Employee Value Proposition</w:t>
      </w:r>
    </w:p>
    <w:p w14:paraId="796B5457" w14:textId="50C9AC9C" w:rsidR="00F45D86" w:rsidRPr="00152029" w:rsidRDefault="00FB3373" w:rsidP="00F45D86">
      <w:pPr>
        <w:jc w:val="center"/>
        <w:rPr>
          <w:lang w:val="en-GB"/>
        </w:rPr>
      </w:pPr>
      <w:r w:rsidRPr="00152029">
        <w:rPr>
          <w:lang w:val="en-GB"/>
        </w:rPr>
        <w:t>(Source: TalentLyft, 2022)</w:t>
      </w:r>
    </w:p>
    <w:p w14:paraId="0C5E4E4A" w14:textId="64CE71CA" w:rsidR="001F775D" w:rsidRPr="00152029" w:rsidRDefault="00FB3373" w:rsidP="00B6332A">
      <w:pPr>
        <w:widowControl/>
        <w:autoSpaceDE/>
        <w:autoSpaceDN/>
        <w:spacing w:after="200"/>
        <w:rPr>
          <w:lang w:val="en-GB"/>
        </w:rPr>
      </w:pPr>
      <w:r w:rsidRPr="00152029">
        <w:rPr>
          <w:b/>
          <w:bCs/>
          <w:lang w:val="en-GB"/>
        </w:rPr>
        <w:t>Organisational Culture:</w:t>
      </w:r>
      <w:r w:rsidRPr="00152029">
        <w:rPr>
          <w:lang w:val="en-GB"/>
        </w:rPr>
        <w:t xml:space="preserve"> </w:t>
      </w:r>
      <w:r w:rsidR="00BD6B14" w:rsidRPr="00152029">
        <w:rPr>
          <w:lang w:val="en-GB"/>
        </w:rPr>
        <w:t xml:space="preserve">NEXT PLC promotes a work environment where the contribution of each employee is valued (Next, 2021). Consequently, it can be assessed that the company maintains an inclusive work culture. However, in order to further develop the organisational culture, NEXT Plc must encourage a learning culture where employees continually improve their skills and efficiencies.  </w:t>
      </w:r>
    </w:p>
    <w:p w14:paraId="3EC22369" w14:textId="7E99D6EC" w:rsidR="001F775D" w:rsidRPr="00152029" w:rsidRDefault="00FB3373" w:rsidP="00B6332A">
      <w:pPr>
        <w:widowControl/>
        <w:autoSpaceDE/>
        <w:autoSpaceDN/>
        <w:spacing w:after="200"/>
        <w:rPr>
          <w:lang w:val="en-GB"/>
        </w:rPr>
      </w:pPr>
      <w:r w:rsidRPr="00152029">
        <w:rPr>
          <w:b/>
          <w:bCs/>
          <w:lang w:val="en-GB"/>
        </w:rPr>
        <w:t>Work Environment</w:t>
      </w:r>
      <w:r w:rsidRPr="00152029">
        <w:rPr>
          <w:lang w:val="en-GB"/>
        </w:rPr>
        <w:t>:</w:t>
      </w:r>
      <w:r w:rsidR="00EF3552" w:rsidRPr="00152029">
        <w:rPr>
          <w:lang w:val="en-GB"/>
        </w:rPr>
        <w:t xml:space="preserve"> NEXT Plc focuses on training the site managers and avoiding unnecessary controls and safety rules for avoiding confusion within the workforce and thus focus carefully on the wellbeing of the employees (Next, 2021). It can thus be assessed that the company maintains a safe work environment for its workforce to keep them satisfied. It can further be improved by increasing the cultural awareness of all employees for ensuring that the company can maintain a highly </w:t>
      </w:r>
    </w:p>
    <w:p w14:paraId="46A26754" w14:textId="77777777" w:rsidR="00BD6B14" w:rsidRPr="00152029" w:rsidRDefault="00FB3373" w:rsidP="00B6332A">
      <w:pPr>
        <w:widowControl/>
        <w:autoSpaceDE/>
        <w:autoSpaceDN/>
        <w:spacing w:after="200"/>
        <w:rPr>
          <w:lang w:val="en-GB"/>
        </w:rPr>
      </w:pPr>
      <w:r w:rsidRPr="00152029">
        <w:rPr>
          <w:b/>
          <w:bCs/>
          <w:lang w:val="en-GB"/>
        </w:rPr>
        <w:t>Careers Growth Prospects</w:t>
      </w:r>
      <w:r w:rsidRPr="00152029">
        <w:rPr>
          <w:lang w:val="en-GB"/>
        </w:rPr>
        <w:t xml:space="preserve">: As commented by Marchington and Wilkinson (2012), it has been noted that focus on learning and knowledge development is also crucial for motivating the employees and engaging them. It can be assessed that in Next PLC, investments in training and development of digital skills will increase the ability of the employees to work remotely and thereby their engagement levels and motivation would improve as well. This would also increase the employability of the employees and consequently, serve as steps of career growth. </w:t>
      </w:r>
    </w:p>
    <w:p w14:paraId="0B15967A" w14:textId="41130370" w:rsidR="001F775D" w:rsidRPr="00152029" w:rsidRDefault="00FB3373" w:rsidP="00B6332A">
      <w:pPr>
        <w:widowControl/>
        <w:autoSpaceDE/>
        <w:autoSpaceDN/>
        <w:spacing w:after="200"/>
        <w:rPr>
          <w:rFonts w:eastAsiaTheme="majorEastAsia"/>
          <w:b/>
          <w:bCs/>
          <w:color w:val="000000" w:themeColor="text1"/>
          <w:lang w:val="en-GB"/>
        </w:rPr>
      </w:pPr>
      <w:r w:rsidRPr="00152029">
        <w:rPr>
          <w:b/>
          <w:bCs/>
          <w:lang w:val="en-GB"/>
        </w:rPr>
        <w:lastRenderedPageBreak/>
        <w:t>Employee Benefits</w:t>
      </w:r>
      <w:r w:rsidRPr="00152029">
        <w:rPr>
          <w:lang w:val="en-GB"/>
        </w:rPr>
        <w:t xml:space="preserve">: </w:t>
      </w:r>
      <w:r w:rsidR="00EF3552" w:rsidRPr="00152029">
        <w:rPr>
          <w:lang w:val="en-GB"/>
        </w:rPr>
        <w:t xml:space="preserve">According to Taylor (2018), looking after employee well-being is a major role of HRM practices as a focus on employee well-being is positively correlated with employee satisfaction and motivation. In the times of COVID-19 pandemic situation, employees can be provided with options to work more flexibly and this would have a positive impact on employee wellbeing. It can be assessed that the option of remote working would enable the employees to stay safe from chances of coronavirus transmission during work and therefore look after the health of the employees. Flexible working enables employees to focus on their own well-being and this helps in keeping them satisfied and motivated at the workplace (Campbell and Rice, 2022). Therefore, Next PLC can offer the benefit of flexible working for its employees to increase their loyalty and engagement towards the organisation. </w:t>
      </w:r>
    </w:p>
    <w:p w14:paraId="14685DB9" w14:textId="573E70EE" w:rsidR="00DB4E1B" w:rsidRPr="00152029" w:rsidRDefault="00FB3373" w:rsidP="00B6332A">
      <w:pPr>
        <w:widowControl/>
        <w:autoSpaceDE/>
        <w:autoSpaceDN/>
        <w:spacing w:after="200"/>
        <w:rPr>
          <w:lang w:val="en-GB"/>
        </w:rPr>
      </w:pPr>
      <w:r w:rsidRPr="00152029">
        <w:rPr>
          <w:b/>
          <w:bCs/>
          <w:lang w:val="en-GB"/>
        </w:rPr>
        <w:t>Compensations</w:t>
      </w:r>
      <w:r w:rsidR="00BD6B14" w:rsidRPr="00152029">
        <w:rPr>
          <w:lang w:val="en-GB"/>
        </w:rPr>
        <w:t xml:space="preserve">: </w:t>
      </w:r>
      <w:r w:rsidR="006742B3" w:rsidRPr="00152029">
        <w:rPr>
          <w:lang w:val="en-GB"/>
        </w:rPr>
        <w:t xml:space="preserve">Taylor (2018) commented that sufficient compensations for the employees as per their contribution to the organisation would help in making the employees satisfied. </w:t>
      </w:r>
    </w:p>
    <w:p w14:paraId="0B46E149" w14:textId="77777777" w:rsidR="006742B3" w:rsidRPr="00152029" w:rsidRDefault="00FB3373">
      <w:pPr>
        <w:widowControl/>
        <w:autoSpaceDE/>
        <w:autoSpaceDN/>
        <w:spacing w:after="200" w:line="276" w:lineRule="auto"/>
        <w:jc w:val="left"/>
        <w:rPr>
          <w:rFonts w:eastAsiaTheme="majorEastAsia"/>
          <w:b/>
          <w:bCs/>
          <w:color w:val="000000" w:themeColor="text1"/>
          <w:lang w:val="en-GB"/>
        </w:rPr>
      </w:pPr>
      <w:r w:rsidRPr="00152029">
        <w:rPr>
          <w:lang w:val="en-GB"/>
        </w:rPr>
        <w:br w:type="page"/>
      </w:r>
    </w:p>
    <w:p w14:paraId="7D9E7261" w14:textId="17696838" w:rsidR="00107D0E" w:rsidRPr="00152029" w:rsidRDefault="00FB3373" w:rsidP="00B6332A">
      <w:pPr>
        <w:pStyle w:val="Heading1"/>
        <w:rPr>
          <w:rFonts w:cs="Arial"/>
          <w:szCs w:val="22"/>
          <w:lang w:val="en-GB"/>
        </w:rPr>
      </w:pPr>
      <w:bookmarkStart w:id="4" w:name="_Toc100739542"/>
      <w:r w:rsidRPr="00152029">
        <w:rPr>
          <w:rFonts w:cs="Arial"/>
          <w:szCs w:val="22"/>
          <w:lang w:val="en-GB"/>
        </w:rPr>
        <w:lastRenderedPageBreak/>
        <w:t>Conclusion</w:t>
      </w:r>
      <w:bookmarkEnd w:id="4"/>
      <w:r w:rsidR="00E60AFF" w:rsidRPr="00152029">
        <w:rPr>
          <w:rFonts w:cs="Arial"/>
          <w:szCs w:val="22"/>
          <w:lang w:val="en-GB"/>
        </w:rPr>
        <w:t xml:space="preserve"> </w:t>
      </w:r>
    </w:p>
    <w:p w14:paraId="38C8846D" w14:textId="77777777" w:rsidR="00416F55" w:rsidRDefault="00FB3373" w:rsidP="00416F55">
      <w:r w:rsidRPr="00152029">
        <w:rPr>
          <w:lang w:val="en-GB"/>
        </w:rPr>
        <w:t xml:space="preserve">The report has discussed the importance of employee engagement and has concluded that in order to ensure organisational success, this element is essential. It has been noted that employee engagement improves the motivation and productivity levels of the employees. The study has concluded that the beliefs of leaders, focus on employee wellbeing, clear organisational goals and visions are some drivers of employee engagement. It has also been noted that trust and good relations among employees also promote employee engagement. The study has concluded that employee feedback and listening groups would help in measuring employee engagement and the creation of an effective employee value proposition would help improve it. </w:t>
      </w:r>
      <w:r w:rsidR="00416F55" w:rsidRPr="00822FFC">
        <w:rPr>
          <w:bCs/>
          <w:lang w:val="en-GB"/>
        </w:rPr>
        <w:t>The report has discussed the concept of employee engagement and has noted that i</w:t>
      </w:r>
      <w:r w:rsidR="00416F55">
        <w:rPr>
          <w:bCs/>
          <w:lang w:val="en-GB"/>
        </w:rPr>
        <w:t xml:space="preserve">n order to increase employee productivity levels, improvement in this regard is essential. </w:t>
      </w:r>
    </w:p>
    <w:p w14:paraId="7F8D1F2A" w14:textId="77777777" w:rsidR="00416F55" w:rsidRDefault="00416F55" w:rsidP="00416F55">
      <w:r>
        <w:rPr>
          <w:bCs/>
          <w:lang w:val="en-GB"/>
        </w:rPr>
        <w:t xml:space="preserve">The research has recommended Next Plc that the company should conduct frequent employee feedback questionnaires and actively listen to employee problems and mitigate them for increasing employee engagement. Furthermore, the need of becoming more flexible and offer necessary training in digital skills in times of COVID-19 has also been noted. </w:t>
      </w:r>
    </w:p>
    <w:p w14:paraId="0D41B108" w14:textId="63F178BB" w:rsidR="00152029" w:rsidRPr="00152029" w:rsidRDefault="00152029" w:rsidP="00152029">
      <w:pPr>
        <w:widowControl/>
        <w:autoSpaceDE/>
        <w:autoSpaceDN/>
        <w:spacing w:after="200"/>
        <w:rPr>
          <w:rFonts w:eastAsiaTheme="majorEastAsia"/>
          <w:b/>
          <w:bCs/>
          <w:color w:val="000000" w:themeColor="text1"/>
          <w:lang w:val="en-GB"/>
        </w:rPr>
      </w:pPr>
    </w:p>
    <w:p w14:paraId="04324B03" w14:textId="77777777" w:rsidR="00152029" w:rsidRDefault="00FB3373">
      <w:pPr>
        <w:widowControl/>
        <w:autoSpaceDE/>
        <w:autoSpaceDN/>
        <w:spacing w:after="200" w:line="276" w:lineRule="auto"/>
        <w:jc w:val="left"/>
        <w:rPr>
          <w:rFonts w:eastAsiaTheme="majorEastAsia"/>
          <w:b/>
          <w:bCs/>
          <w:color w:val="000000" w:themeColor="text1"/>
          <w:lang w:val="en-GB"/>
        </w:rPr>
      </w:pPr>
      <w:r>
        <w:rPr>
          <w:lang w:val="en-GB"/>
        </w:rPr>
        <w:br w:type="page"/>
      </w:r>
    </w:p>
    <w:p w14:paraId="7D9E7263" w14:textId="041712A1" w:rsidR="00107D0E" w:rsidRPr="00152029" w:rsidRDefault="00FB3373" w:rsidP="00B6332A">
      <w:pPr>
        <w:pStyle w:val="Heading1"/>
        <w:rPr>
          <w:rFonts w:cs="Arial"/>
          <w:szCs w:val="22"/>
          <w:lang w:val="en-GB"/>
        </w:rPr>
      </w:pPr>
      <w:bookmarkStart w:id="5" w:name="_Toc100739543"/>
      <w:r w:rsidRPr="00152029">
        <w:rPr>
          <w:rFonts w:cs="Arial"/>
          <w:szCs w:val="22"/>
          <w:lang w:val="en-GB"/>
        </w:rPr>
        <w:lastRenderedPageBreak/>
        <w:t>Reference List</w:t>
      </w:r>
      <w:bookmarkEnd w:id="5"/>
    </w:p>
    <w:p w14:paraId="54021848" w14:textId="77777777" w:rsidR="007101D1" w:rsidRPr="00FB3373" w:rsidRDefault="007101D1" w:rsidP="00FB3373">
      <w:pPr>
        <w:rPr>
          <w:lang w:val="en-GB"/>
        </w:rPr>
      </w:pPr>
      <w:r w:rsidRPr="00FB3373">
        <w:rPr>
          <w:lang w:val="en-GB"/>
        </w:rPr>
        <w:t>Byrne, Z.S., Peters, J.M. and Weston, J.W., 2016. The struggle with employee engagement: Measures and construct clarification using five samples. </w:t>
      </w:r>
      <w:r w:rsidRPr="00FB3373">
        <w:rPr>
          <w:i/>
          <w:iCs/>
          <w:lang w:val="en-GB"/>
        </w:rPr>
        <w:t>Journal of Applied Psychology</w:t>
      </w:r>
      <w:r w:rsidRPr="00FB3373">
        <w:rPr>
          <w:lang w:val="en-GB"/>
        </w:rPr>
        <w:t>, </w:t>
      </w:r>
      <w:r w:rsidRPr="00FB3373">
        <w:rPr>
          <w:i/>
          <w:iCs/>
          <w:lang w:val="en-GB"/>
        </w:rPr>
        <w:t>101</w:t>
      </w:r>
      <w:r w:rsidRPr="00FB3373">
        <w:rPr>
          <w:lang w:val="en-GB"/>
        </w:rPr>
        <w:t>(9), p.1201.</w:t>
      </w:r>
    </w:p>
    <w:p w14:paraId="6F6A752B" w14:textId="77777777" w:rsidR="007101D1" w:rsidRPr="00FB3373" w:rsidRDefault="007101D1" w:rsidP="00FB3373">
      <w:pPr>
        <w:widowControl/>
        <w:autoSpaceDE/>
        <w:autoSpaceDN/>
        <w:spacing w:after="200"/>
        <w:rPr>
          <w:lang w:val="en-GB"/>
        </w:rPr>
      </w:pPr>
      <w:r w:rsidRPr="00FB3373">
        <w:rPr>
          <w:lang w:val="en-GB"/>
        </w:rPr>
        <w:t xml:space="preserve">Campbell, M. and Rice, J., 2022. </w:t>
      </w:r>
      <w:r w:rsidRPr="00FB3373">
        <w:rPr>
          <w:i/>
          <w:iCs/>
          <w:lang w:val="en-IN"/>
        </w:rPr>
        <w:t xml:space="preserve">Understanding the benefits of flexible working </w:t>
      </w:r>
      <w:r w:rsidRPr="00FB3373">
        <w:rPr>
          <w:lang w:val="en-GB"/>
        </w:rPr>
        <w:t>[online] Available at: https://www.peoplemanagement.co.uk/experts/legal/understanding-benefits-flexible-working [Accessed 21 March 2022].</w:t>
      </w:r>
    </w:p>
    <w:p w14:paraId="621DEBDA" w14:textId="77777777" w:rsidR="007101D1" w:rsidRPr="00152029" w:rsidRDefault="007101D1" w:rsidP="00FB3373">
      <w:pPr>
        <w:widowControl/>
        <w:autoSpaceDE/>
        <w:autoSpaceDN/>
        <w:spacing w:after="200"/>
      </w:pPr>
      <w:r w:rsidRPr="00152029">
        <w:t xml:space="preserve">Marchington, M., Wilkinson, A., Donnelly, R. and </w:t>
      </w:r>
      <w:proofErr w:type="spellStart"/>
      <w:r w:rsidRPr="00152029">
        <w:t>Kynighou</w:t>
      </w:r>
      <w:proofErr w:type="spellEnd"/>
      <w:r w:rsidRPr="00152029">
        <w:t>, A., 2016. </w:t>
      </w:r>
      <w:r w:rsidRPr="00FB3373">
        <w:rPr>
          <w:i/>
          <w:iCs/>
        </w:rPr>
        <w:t>Human resource management at work</w:t>
      </w:r>
      <w:r w:rsidRPr="00152029">
        <w:t>. London: Kogan Page Publishers.</w:t>
      </w:r>
    </w:p>
    <w:p w14:paraId="30EE0681" w14:textId="77777777" w:rsidR="007101D1" w:rsidRPr="00FB3373" w:rsidRDefault="007101D1" w:rsidP="00FB3373">
      <w:pPr>
        <w:rPr>
          <w:i/>
          <w:lang w:val="en-GB"/>
        </w:rPr>
      </w:pPr>
      <w:r w:rsidRPr="00FB3373">
        <w:rPr>
          <w:shd w:val="clear" w:color="auto" w:fill="FFFFFF"/>
          <w:lang w:val="en-GB"/>
        </w:rPr>
        <w:t>Men, L.R., O’Neil, J. and Ewing, M., 2020. Examining the effects of internal social media usage on employee engagement. </w:t>
      </w:r>
      <w:r w:rsidRPr="00FB3373">
        <w:rPr>
          <w:i/>
          <w:iCs/>
          <w:shd w:val="clear" w:color="auto" w:fill="FFFFFF"/>
          <w:lang w:val="en-GB"/>
        </w:rPr>
        <w:t>Public Relations Review</w:t>
      </w:r>
      <w:r w:rsidRPr="00FB3373">
        <w:rPr>
          <w:shd w:val="clear" w:color="auto" w:fill="FFFFFF"/>
          <w:lang w:val="en-GB"/>
        </w:rPr>
        <w:t>, </w:t>
      </w:r>
      <w:r w:rsidRPr="00FB3373">
        <w:rPr>
          <w:i/>
          <w:iCs/>
          <w:shd w:val="clear" w:color="auto" w:fill="FFFFFF"/>
          <w:lang w:val="en-GB"/>
        </w:rPr>
        <w:t>46</w:t>
      </w:r>
      <w:r w:rsidRPr="00FB3373">
        <w:rPr>
          <w:shd w:val="clear" w:color="auto" w:fill="FFFFFF"/>
          <w:lang w:val="en-GB"/>
        </w:rPr>
        <w:t>(2), p.101880.</w:t>
      </w:r>
    </w:p>
    <w:p w14:paraId="367C4374" w14:textId="77777777" w:rsidR="007101D1" w:rsidRPr="00FB3373" w:rsidRDefault="007101D1" w:rsidP="00FB3373">
      <w:pPr>
        <w:widowControl/>
        <w:autoSpaceDE/>
        <w:autoSpaceDN/>
        <w:spacing w:after="200"/>
        <w:rPr>
          <w:lang w:val="en-GB"/>
        </w:rPr>
      </w:pPr>
      <w:r w:rsidRPr="00FB3373">
        <w:rPr>
          <w:lang w:val="en-GB"/>
        </w:rPr>
        <w:t xml:space="preserve">Next, 2021. </w:t>
      </w:r>
      <w:r w:rsidRPr="00FB3373">
        <w:rPr>
          <w:i/>
          <w:iCs/>
        </w:rPr>
        <w:t>Our People</w:t>
      </w:r>
      <w:r w:rsidRPr="00FB3373">
        <w:rPr>
          <w:i/>
          <w:iCs/>
          <w:lang w:val="en-IN"/>
        </w:rPr>
        <w:t xml:space="preserve"> </w:t>
      </w:r>
      <w:r w:rsidRPr="00FB3373">
        <w:rPr>
          <w:lang w:val="en-GB"/>
        </w:rPr>
        <w:t>[online] Available at: https://www.nextplc.co.uk/~/media/Files/N/Next-PLC-V2/documents/corporate-responsibility/our-approach-2021.pdf?#page=14 [Accessed 21 March 2022].</w:t>
      </w:r>
    </w:p>
    <w:p w14:paraId="583482A5" w14:textId="77777777" w:rsidR="007101D1" w:rsidRPr="00FB3373" w:rsidRDefault="007101D1" w:rsidP="00FB3373">
      <w:pPr>
        <w:widowControl/>
        <w:autoSpaceDE/>
        <w:autoSpaceDN/>
        <w:spacing w:after="200"/>
        <w:rPr>
          <w:lang w:val="en-GB"/>
        </w:rPr>
      </w:pPr>
      <w:r w:rsidRPr="00FB3373">
        <w:rPr>
          <w:lang w:val="en-GB"/>
        </w:rPr>
        <w:t xml:space="preserve">People Insight, 2022. </w:t>
      </w:r>
      <w:r w:rsidRPr="00FB3373">
        <w:rPr>
          <w:i/>
          <w:iCs/>
        </w:rPr>
        <w:t>What is an Employee Listening Strategy?</w:t>
      </w:r>
      <w:r w:rsidRPr="00FB3373">
        <w:rPr>
          <w:lang w:val="en-GB"/>
        </w:rPr>
        <w:t xml:space="preserve"> [online] Available at: https://peopleinsight.co.uk/wp-content/uploads/2021/07/New-People-Insight-What-is-an-Employee-Listening-Strategy.pdf [Accessed 21 March 2022].</w:t>
      </w:r>
    </w:p>
    <w:p w14:paraId="7184D50C" w14:textId="77777777" w:rsidR="007101D1" w:rsidRPr="00FB3373" w:rsidRDefault="007101D1" w:rsidP="00FB3373">
      <w:pPr>
        <w:widowControl/>
        <w:autoSpaceDE/>
        <w:autoSpaceDN/>
        <w:spacing w:after="200"/>
        <w:rPr>
          <w:b/>
          <w:bCs/>
          <w:lang w:val="en-IN"/>
        </w:rPr>
      </w:pPr>
      <w:r w:rsidRPr="00FB3373">
        <w:rPr>
          <w:lang w:val="en-GB"/>
        </w:rPr>
        <w:t xml:space="preserve">Sincero, S. M., 2022. </w:t>
      </w:r>
      <w:r w:rsidRPr="00FB3373">
        <w:rPr>
          <w:i/>
          <w:iCs/>
          <w:lang w:val="en-IN"/>
        </w:rPr>
        <w:t>Advantages and Disadvantages of Surveys</w:t>
      </w:r>
      <w:r w:rsidRPr="00FB3373">
        <w:rPr>
          <w:lang w:val="en-GB"/>
        </w:rPr>
        <w:t xml:space="preserve"> [online] Available at: https://explorable.com/advantages-and-disadvantages-of-surveys [Accessed 21 March 2022].</w:t>
      </w:r>
    </w:p>
    <w:p w14:paraId="0FEE16C9" w14:textId="77777777" w:rsidR="007101D1" w:rsidRPr="00FB3373" w:rsidRDefault="007101D1" w:rsidP="00FB3373">
      <w:pPr>
        <w:widowControl/>
        <w:autoSpaceDE/>
        <w:autoSpaceDN/>
        <w:spacing w:after="200"/>
        <w:rPr>
          <w:i/>
          <w:iCs/>
          <w:lang w:val="en-GB"/>
        </w:rPr>
      </w:pPr>
      <w:r w:rsidRPr="00FB3373">
        <w:rPr>
          <w:lang w:val="en-GB"/>
        </w:rPr>
        <w:t xml:space="preserve">Small Business Trends, 2022. </w:t>
      </w:r>
      <w:r w:rsidRPr="00FB3373">
        <w:rPr>
          <w:i/>
          <w:iCs/>
          <w:lang w:val="en-GB"/>
        </w:rPr>
        <w:t>10 Effective Methods for Measuring Employee Happiness</w:t>
      </w:r>
      <w:r w:rsidRPr="00FB3373">
        <w:rPr>
          <w:i/>
          <w:lang w:val="en-GB"/>
        </w:rPr>
        <w:t xml:space="preserve"> </w:t>
      </w:r>
      <w:r w:rsidRPr="00FB3373">
        <w:rPr>
          <w:lang w:val="en-GB"/>
        </w:rPr>
        <w:t>[online] Available at: https://smallbiztrends.com/2021/06/measuring-employee-happiness.html [Accessed 21 March 2022].</w:t>
      </w:r>
    </w:p>
    <w:p w14:paraId="3BECE660" w14:textId="77777777" w:rsidR="007101D1" w:rsidRPr="00FB3373" w:rsidRDefault="007101D1" w:rsidP="00FB3373">
      <w:pPr>
        <w:rPr>
          <w:lang w:val="en-GB"/>
        </w:rPr>
      </w:pPr>
      <w:r w:rsidRPr="00FB3373">
        <w:rPr>
          <w:lang w:val="en-GB"/>
        </w:rPr>
        <w:t xml:space="preserve">Sun, L. and </w:t>
      </w:r>
      <w:proofErr w:type="spellStart"/>
      <w:r w:rsidRPr="00FB3373">
        <w:rPr>
          <w:lang w:val="en-GB"/>
        </w:rPr>
        <w:t>Bunchapattanasakda</w:t>
      </w:r>
      <w:proofErr w:type="spellEnd"/>
      <w:r w:rsidRPr="00FB3373">
        <w:rPr>
          <w:lang w:val="en-GB"/>
        </w:rPr>
        <w:t>, C., 2019. Employee engagement: A literature review. </w:t>
      </w:r>
      <w:r w:rsidRPr="00FB3373">
        <w:rPr>
          <w:i/>
          <w:iCs/>
          <w:lang w:val="en-GB"/>
        </w:rPr>
        <w:t>International Journal of Human Resource Studies</w:t>
      </w:r>
      <w:r w:rsidRPr="00FB3373">
        <w:rPr>
          <w:lang w:val="en-GB"/>
        </w:rPr>
        <w:t>, </w:t>
      </w:r>
      <w:r w:rsidRPr="00FB3373">
        <w:rPr>
          <w:i/>
          <w:iCs/>
          <w:lang w:val="en-GB"/>
        </w:rPr>
        <w:t>9</w:t>
      </w:r>
      <w:r w:rsidRPr="00FB3373">
        <w:rPr>
          <w:lang w:val="en-GB"/>
        </w:rPr>
        <w:t>(1), pp.63-80.</w:t>
      </w:r>
    </w:p>
    <w:p w14:paraId="0A4EC40D" w14:textId="77777777" w:rsidR="007101D1" w:rsidRPr="00FB3373" w:rsidRDefault="007101D1" w:rsidP="00FB3373">
      <w:pPr>
        <w:widowControl/>
        <w:autoSpaceDE/>
        <w:autoSpaceDN/>
        <w:spacing w:after="200"/>
        <w:rPr>
          <w:lang w:val="en-IN"/>
        </w:rPr>
      </w:pPr>
      <w:r w:rsidRPr="00FB3373">
        <w:rPr>
          <w:lang w:val="en-GB"/>
        </w:rPr>
        <w:t xml:space="preserve">TalentLyft, 2022. </w:t>
      </w:r>
      <w:r w:rsidRPr="00FB3373">
        <w:rPr>
          <w:i/>
          <w:iCs/>
          <w:lang w:val="en-IN"/>
        </w:rPr>
        <w:t xml:space="preserve">What is Employee Value Proposition (EVP)? </w:t>
      </w:r>
      <w:r w:rsidRPr="00FB3373">
        <w:rPr>
          <w:lang w:val="en-GB"/>
        </w:rPr>
        <w:t>[online] Available at: https://www.talentlyft.com/en/resources/what-is-employee-value-proposition-evp [Accessed 21 March 2022].</w:t>
      </w:r>
    </w:p>
    <w:p w14:paraId="0AC3CBAA" w14:textId="77777777" w:rsidR="007101D1" w:rsidRPr="00FB3373" w:rsidRDefault="007101D1" w:rsidP="00FB3373">
      <w:pPr>
        <w:widowControl/>
        <w:autoSpaceDE/>
        <w:autoSpaceDN/>
        <w:spacing w:after="200"/>
        <w:rPr>
          <w:lang w:val="en-GB"/>
        </w:rPr>
      </w:pPr>
      <w:proofErr w:type="spellStart"/>
      <w:r w:rsidRPr="00FB3373">
        <w:rPr>
          <w:lang w:val="en-GB"/>
        </w:rPr>
        <w:t>Tanwar</w:t>
      </w:r>
      <w:proofErr w:type="spellEnd"/>
      <w:r w:rsidRPr="00FB3373">
        <w:rPr>
          <w:lang w:val="en-GB"/>
        </w:rPr>
        <w:t>, A., 2017. Impact of employee engagement on performance. </w:t>
      </w:r>
      <w:r w:rsidRPr="00FB3373">
        <w:rPr>
          <w:i/>
          <w:iCs/>
          <w:lang w:val="en-GB"/>
        </w:rPr>
        <w:t>International Journal of Advanced Engineering, Management and Science</w:t>
      </w:r>
      <w:r w:rsidRPr="00FB3373">
        <w:rPr>
          <w:lang w:val="en-GB"/>
        </w:rPr>
        <w:t>, </w:t>
      </w:r>
      <w:r w:rsidRPr="00FB3373">
        <w:rPr>
          <w:i/>
          <w:iCs/>
          <w:lang w:val="en-GB"/>
        </w:rPr>
        <w:t>3</w:t>
      </w:r>
      <w:r w:rsidRPr="00FB3373">
        <w:rPr>
          <w:lang w:val="en-GB"/>
        </w:rPr>
        <w:t>(5), p.239845.</w:t>
      </w:r>
    </w:p>
    <w:p w14:paraId="1469014B" w14:textId="77777777" w:rsidR="007101D1" w:rsidRPr="00FB3373" w:rsidRDefault="007101D1" w:rsidP="00FB3373">
      <w:pPr>
        <w:widowControl/>
        <w:autoSpaceDE/>
        <w:autoSpaceDN/>
        <w:spacing w:after="200"/>
        <w:rPr>
          <w:lang w:val="en-IN"/>
        </w:rPr>
      </w:pPr>
      <w:r w:rsidRPr="00C41D89">
        <w:t>Taylor, S., 2018. </w:t>
      </w:r>
      <w:r w:rsidRPr="00FB3373">
        <w:rPr>
          <w:i/>
          <w:iCs/>
        </w:rPr>
        <w:t>Resourcing and talent management</w:t>
      </w:r>
      <w:r w:rsidRPr="00C41D89">
        <w:t xml:space="preserve">. </w:t>
      </w:r>
      <w:r w:rsidRPr="00152029">
        <w:t>London:</w:t>
      </w:r>
      <w:r>
        <w:t xml:space="preserve"> </w:t>
      </w:r>
      <w:r w:rsidRPr="00C41D89">
        <w:t>Kogan Page Publishers.</w:t>
      </w:r>
    </w:p>
    <w:p w14:paraId="1B634721" w14:textId="77777777" w:rsidR="007101D1" w:rsidRPr="00FB3373" w:rsidRDefault="007101D1" w:rsidP="00FB3373">
      <w:pPr>
        <w:rPr>
          <w:lang w:val="en-GB"/>
        </w:rPr>
      </w:pPr>
      <w:proofErr w:type="spellStart"/>
      <w:r w:rsidRPr="00FB3373">
        <w:rPr>
          <w:lang w:val="en-GB"/>
        </w:rPr>
        <w:t>Zoominfo</w:t>
      </w:r>
      <w:proofErr w:type="spellEnd"/>
      <w:r w:rsidRPr="00FB3373">
        <w:rPr>
          <w:lang w:val="en-GB"/>
        </w:rPr>
        <w:t xml:space="preserve">, 2022. </w:t>
      </w:r>
      <w:r w:rsidRPr="00FB3373">
        <w:rPr>
          <w:i/>
          <w:lang w:val="en-GB"/>
        </w:rPr>
        <w:t xml:space="preserve">Who is Next </w:t>
      </w:r>
      <w:r w:rsidRPr="00FB3373">
        <w:rPr>
          <w:lang w:val="en-GB"/>
        </w:rPr>
        <w:t>[online] Available at: https://www.zoominfo.com/c/next-</w:t>
      </w:r>
      <w:r w:rsidRPr="00FB3373">
        <w:rPr>
          <w:lang w:val="en-GB"/>
        </w:rPr>
        <w:lastRenderedPageBreak/>
        <w:t xml:space="preserve">plc/85951313 [Accessed 21 March </w:t>
      </w:r>
      <w:proofErr w:type="gramStart"/>
      <w:r w:rsidRPr="00FB3373">
        <w:rPr>
          <w:lang w:val="en-GB"/>
        </w:rPr>
        <w:t>2022].</w:t>
      </w:r>
      <w:proofErr w:type="gramEnd"/>
      <w:r w:rsidRPr="00FB3373">
        <w:rPr>
          <w:lang w:val="en-GB"/>
        </w:rPr>
        <w:t xml:space="preserve"> </w:t>
      </w:r>
    </w:p>
    <w:sectPr w:rsidR="007101D1" w:rsidRPr="00FB337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BDBF8" w14:textId="77777777" w:rsidR="00C44C36" w:rsidRDefault="00C44C36">
      <w:pPr>
        <w:spacing w:line="240" w:lineRule="auto"/>
      </w:pPr>
      <w:r>
        <w:separator/>
      </w:r>
    </w:p>
  </w:endnote>
  <w:endnote w:type="continuationSeparator" w:id="0">
    <w:p w14:paraId="3155A64A" w14:textId="77777777" w:rsidR="00C44C36" w:rsidRDefault="00C44C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696390"/>
      <w:docPartObj>
        <w:docPartGallery w:val="Page Numbers (Bottom of Page)"/>
        <w:docPartUnique/>
      </w:docPartObj>
    </w:sdtPr>
    <w:sdtEndPr>
      <w:rPr>
        <w:noProof/>
      </w:rPr>
    </w:sdtEndPr>
    <w:sdtContent>
      <w:p w14:paraId="7D9E726C" w14:textId="4F8E9B89" w:rsidR="00A679F1" w:rsidRDefault="00FB3373">
        <w:pPr>
          <w:pStyle w:val="Footer"/>
          <w:jc w:val="right"/>
        </w:pPr>
        <w:r>
          <w:fldChar w:fldCharType="begin"/>
        </w:r>
        <w:r>
          <w:instrText xml:space="preserve"> PAGE   \* MERGEFORMAT </w:instrText>
        </w:r>
        <w:r>
          <w:fldChar w:fldCharType="separate"/>
        </w:r>
        <w:r w:rsidR="00D40D52">
          <w:rPr>
            <w:noProof/>
          </w:rPr>
          <w:t>4</w:t>
        </w:r>
        <w:r>
          <w:rPr>
            <w:noProof/>
          </w:rPr>
          <w:fldChar w:fldCharType="end"/>
        </w:r>
      </w:p>
    </w:sdtContent>
  </w:sdt>
  <w:p w14:paraId="7D9E726D" w14:textId="77777777" w:rsidR="00A679F1" w:rsidRDefault="00A67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A55FE" w14:textId="77777777" w:rsidR="00C44C36" w:rsidRDefault="00C44C36">
      <w:pPr>
        <w:spacing w:line="240" w:lineRule="auto"/>
      </w:pPr>
      <w:r>
        <w:separator/>
      </w:r>
    </w:p>
  </w:footnote>
  <w:footnote w:type="continuationSeparator" w:id="0">
    <w:p w14:paraId="416FAF1A" w14:textId="77777777" w:rsidR="00C44C36" w:rsidRDefault="00C44C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9F6132"/>
    <w:multiLevelType w:val="hybridMultilevel"/>
    <w:tmpl w:val="EC4CD000"/>
    <w:lvl w:ilvl="0" w:tplc="924E5F16">
      <w:numFmt w:val="bullet"/>
      <w:lvlText w:val=""/>
      <w:lvlJc w:val="left"/>
      <w:pPr>
        <w:ind w:left="1466" w:hanging="360"/>
      </w:pPr>
      <w:rPr>
        <w:rFonts w:ascii="Symbol" w:eastAsia="Symbol" w:hAnsi="Symbol" w:cs="Symbol" w:hint="default"/>
        <w:w w:val="100"/>
        <w:sz w:val="24"/>
        <w:szCs w:val="24"/>
        <w:lang w:val="en-US" w:eastAsia="en-US" w:bidi="ar-SA"/>
      </w:rPr>
    </w:lvl>
    <w:lvl w:ilvl="1" w:tplc="4EFEDA08">
      <w:numFmt w:val="bullet"/>
      <w:lvlText w:val="•"/>
      <w:lvlJc w:val="left"/>
      <w:pPr>
        <w:ind w:left="2375" w:hanging="360"/>
      </w:pPr>
      <w:rPr>
        <w:rFonts w:hint="default"/>
        <w:lang w:val="en-US" w:eastAsia="en-US" w:bidi="ar-SA"/>
      </w:rPr>
    </w:lvl>
    <w:lvl w:ilvl="2" w:tplc="FDAA1C4E">
      <w:numFmt w:val="bullet"/>
      <w:lvlText w:val="•"/>
      <w:lvlJc w:val="left"/>
      <w:pPr>
        <w:ind w:left="3291" w:hanging="360"/>
      </w:pPr>
      <w:rPr>
        <w:rFonts w:hint="default"/>
        <w:lang w:val="en-US" w:eastAsia="en-US" w:bidi="ar-SA"/>
      </w:rPr>
    </w:lvl>
    <w:lvl w:ilvl="3" w:tplc="4ED6E198">
      <w:numFmt w:val="bullet"/>
      <w:lvlText w:val="•"/>
      <w:lvlJc w:val="left"/>
      <w:pPr>
        <w:ind w:left="4207" w:hanging="360"/>
      </w:pPr>
      <w:rPr>
        <w:rFonts w:hint="default"/>
        <w:lang w:val="en-US" w:eastAsia="en-US" w:bidi="ar-SA"/>
      </w:rPr>
    </w:lvl>
    <w:lvl w:ilvl="4" w:tplc="272C4290">
      <w:numFmt w:val="bullet"/>
      <w:lvlText w:val="•"/>
      <w:lvlJc w:val="left"/>
      <w:pPr>
        <w:ind w:left="5123" w:hanging="360"/>
      </w:pPr>
      <w:rPr>
        <w:rFonts w:hint="default"/>
        <w:lang w:val="en-US" w:eastAsia="en-US" w:bidi="ar-SA"/>
      </w:rPr>
    </w:lvl>
    <w:lvl w:ilvl="5" w:tplc="E4702B82">
      <w:numFmt w:val="bullet"/>
      <w:lvlText w:val="•"/>
      <w:lvlJc w:val="left"/>
      <w:pPr>
        <w:ind w:left="6039" w:hanging="360"/>
      </w:pPr>
      <w:rPr>
        <w:rFonts w:hint="default"/>
        <w:lang w:val="en-US" w:eastAsia="en-US" w:bidi="ar-SA"/>
      </w:rPr>
    </w:lvl>
    <w:lvl w:ilvl="6" w:tplc="81367FEC">
      <w:numFmt w:val="bullet"/>
      <w:lvlText w:val="•"/>
      <w:lvlJc w:val="left"/>
      <w:pPr>
        <w:ind w:left="6955" w:hanging="360"/>
      </w:pPr>
      <w:rPr>
        <w:rFonts w:hint="default"/>
        <w:lang w:val="en-US" w:eastAsia="en-US" w:bidi="ar-SA"/>
      </w:rPr>
    </w:lvl>
    <w:lvl w:ilvl="7" w:tplc="E832430A">
      <w:numFmt w:val="bullet"/>
      <w:lvlText w:val="•"/>
      <w:lvlJc w:val="left"/>
      <w:pPr>
        <w:ind w:left="7871" w:hanging="360"/>
      </w:pPr>
      <w:rPr>
        <w:rFonts w:hint="default"/>
        <w:lang w:val="en-US" w:eastAsia="en-US" w:bidi="ar-SA"/>
      </w:rPr>
    </w:lvl>
    <w:lvl w:ilvl="8" w:tplc="2DE64F8C">
      <w:numFmt w:val="bullet"/>
      <w:lvlText w:val="•"/>
      <w:lvlJc w:val="left"/>
      <w:pPr>
        <w:ind w:left="8787" w:hanging="360"/>
      </w:pPr>
      <w:rPr>
        <w:rFonts w:hint="default"/>
        <w:lang w:val="en-US" w:eastAsia="en-US" w:bidi="ar-SA"/>
      </w:rPr>
    </w:lvl>
  </w:abstractNum>
  <w:abstractNum w:abstractNumId="1" w15:restartNumberingAfterBreak="0">
    <w:nsid w:val="7C162B8D"/>
    <w:multiLevelType w:val="hybridMultilevel"/>
    <w:tmpl w:val="152214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2995736">
    <w:abstractNumId w:val="0"/>
  </w:num>
  <w:num w:numId="2" w16cid:durableId="1005091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K2tDAztjQ2NjYzMzJR0lEKTi0uzszPAykwqgUAiFRciCwAAAA="/>
  </w:docVars>
  <w:rsids>
    <w:rsidRoot w:val="001F00AE"/>
    <w:rsid w:val="00035B80"/>
    <w:rsid w:val="00037ECD"/>
    <w:rsid w:val="000816B9"/>
    <w:rsid w:val="000A1F1E"/>
    <w:rsid w:val="000D650A"/>
    <w:rsid w:val="000E5A6C"/>
    <w:rsid w:val="000E5D56"/>
    <w:rsid w:val="00101D8C"/>
    <w:rsid w:val="00107D0E"/>
    <w:rsid w:val="00152029"/>
    <w:rsid w:val="001B1872"/>
    <w:rsid w:val="001C50DF"/>
    <w:rsid w:val="001E5362"/>
    <w:rsid w:val="001E65AC"/>
    <w:rsid w:val="001F00AE"/>
    <w:rsid w:val="001F775D"/>
    <w:rsid w:val="00270065"/>
    <w:rsid w:val="00273935"/>
    <w:rsid w:val="00275C59"/>
    <w:rsid w:val="002936E0"/>
    <w:rsid w:val="00294721"/>
    <w:rsid w:val="002C179B"/>
    <w:rsid w:val="002C3617"/>
    <w:rsid w:val="002F6D18"/>
    <w:rsid w:val="00310D19"/>
    <w:rsid w:val="00334FDF"/>
    <w:rsid w:val="00351FBC"/>
    <w:rsid w:val="00376082"/>
    <w:rsid w:val="00381631"/>
    <w:rsid w:val="003B731A"/>
    <w:rsid w:val="003E1EB1"/>
    <w:rsid w:val="003E4453"/>
    <w:rsid w:val="003E6D11"/>
    <w:rsid w:val="004070BF"/>
    <w:rsid w:val="00410B2D"/>
    <w:rsid w:val="00416F55"/>
    <w:rsid w:val="004622A1"/>
    <w:rsid w:val="005314FC"/>
    <w:rsid w:val="00556C77"/>
    <w:rsid w:val="005950F5"/>
    <w:rsid w:val="005C342E"/>
    <w:rsid w:val="005E2617"/>
    <w:rsid w:val="006742B3"/>
    <w:rsid w:val="006E0E20"/>
    <w:rsid w:val="007101D1"/>
    <w:rsid w:val="007205EA"/>
    <w:rsid w:val="00822FFC"/>
    <w:rsid w:val="00823E0F"/>
    <w:rsid w:val="008363D4"/>
    <w:rsid w:val="00891848"/>
    <w:rsid w:val="008A2A74"/>
    <w:rsid w:val="008A62ED"/>
    <w:rsid w:val="008B2850"/>
    <w:rsid w:val="00900743"/>
    <w:rsid w:val="009247FD"/>
    <w:rsid w:val="0093391A"/>
    <w:rsid w:val="00963542"/>
    <w:rsid w:val="00963C57"/>
    <w:rsid w:val="00996F2D"/>
    <w:rsid w:val="009C257D"/>
    <w:rsid w:val="00A5185E"/>
    <w:rsid w:val="00A679F1"/>
    <w:rsid w:val="00A83590"/>
    <w:rsid w:val="00AF7D4B"/>
    <w:rsid w:val="00B018BF"/>
    <w:rsid w:val="00B27B39"/>
    <w:rsid w:val="00B6332A"/>
    <w:rsid w:val="00B65FB0"/>
    <w:rsid w:val="00BA2EA4"/>
    <w:rsid w:val="00BC4545"/>
    <w:rsid w:val="00BC6B0D"/>
    <w:rsid w:val="00BD6B14"/>
    <w:rsid w:val="00BE4162"/>
    <w:rsid w:val="00C04DB1"/>
    <w:rsid w:val="00C412D0"/>
    <w:rsid w:val="00C41D89"/>
    <w:rsid w:val="00C44C36"/>
    <w:rsid w:val="00C6564E"/>
    <w:rsid w:val="00C65B91"/>
    <w:rsid w:val="00CC2CB8"/>
    <w:rsid w:val="00CD11DD"/>
    <w:rsid w:val="00CD59D5"/>
    <w:rsid w:val="00D40D52"/>
    <w:rsid w:val="00D74B11"/>
    <w:rsid w:val="00D8401E"/>
    <w:rsid w:val="00DB4E1B"/>
    <w:rsid w:val="00E51C28"/>
    <w:rsid w:val="00E60AFF"/>
    <w:rsid w:val="00EA79A0"/>
    <w:rsid w:val="00ED4290"/>
    <w:rsid w:val="00ED7898"/>
    <w:rsid w:val="00EE1BC1"/>
    <w:rsid w:val="00EE37A1"/>
    <w:rsid w:val="00EF3552"/>
    <w:rsid w:val="00F45D86"/>
    <w:rsid w:val="00FB3373"/>
    <w:rsid w:val="00FC0285"/>
    <w:rsid w:val="00FE57F6"/>
    <w:rsid w:val="00FF4C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E7223"/>
  <w15:docId w15:val="{F20AAB24-DC7C-48AD-95B3-79C57DA81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07D0E"/>
    <w:pPr>
      <w:widowControl w:val="0"/>
      <w:autoSpaceDE w:val="0"/>
      <w:autoSpaceDN w:val="0"/>
      <w:spacing w:after="0" w:line="360" w:lineRule="auto"/>
      <w:jc w:val="both"/>
    </w:pPr>
    <w:rPr>
      <w:rFonts w:ascii="Arial" w:eastAsia="Arial" w:hAnsi="Arial" w:cs="Arial"/>
      <w:lang w:val="en-US"/>
    </w:rPr>
  </w:style>
  <w:style w:type="paragraph" w:styleId="Heading1">
    <w:name w:val="heading 1"/>
    <w:basedOn w:val="Normal"/>
    <w:next w:val="Normal"/>
    <w:link w:val="Heading1Char"/>
    <w:uiPriority w:val="1"/>
    <w:qFormat/>
    <w:rsid w:val="00EE37A1"/>
    <w:pPr>
      <w:keepNext/>
      <w:keepLines/>
      <w:spacing w:before="480"/>
      <w:outlineLvl w:val="0"/>
    </w:pPr>
    <w:rPr>
      <w:rFonts w:eastAsiaTheme="majorEastAsia" w:cstheme="majorBidi"/>
      <w:b/>
      <w:bCs/>
      <w:color w:val="000000" w:themeColor="text1"/>
      <w:szCs w:val="28"/>
      <w:lang w:val="en-IN"/>
    </w:rPr>
  </w:style>
  <w:style w:type="paragraph" w:styleId="Heading2">
    <w:name w:val="heading 2"/>
    <w:basedOn w:val="Normal"/>
    <w:next w:val="Normal"/>
    <w:link w:val="Heading2Char"/>
    <w:uiPriority w:val="9"/>
    <w:semiHidden/>
    <w:unhideWhenUsed/>
    <w:qFormat/>
    <w:rsid w:val="008A62ED"/>
    <w:pPr>
      <w:keepNext/>
      <w:keepLines/>
      <w:spacing w:before="20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3C57"/>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963C57"/>
    <w:rPr>
      <w:rFonts w:ascii="Times New Roman" w:eastAsiaTheme="majorEastAsia" w:hAnsi="Times New Roman" w:cstheme="majorBidi"/>
      <w:b/>
      <w:color w:val="000000" w:themeColor="text1"/>
      <w:spacing w:val="5"/>
      <w:kern w:val="28"/>
      <w:sz w:val="36"/>
      <w:szCs w:val="52"/>
      <w:lang w:val="en-GB"/>
    </w:rPr>
  </w:style>
  <w:style w:type="character" w:customStyle="1" w:styleId="Heading1Char">
    <w:name w:val="Heading 1 Char"/>
    <w:basedOn w:val="DefaultParagraphFont"/>
    <w:link w:val="Heading1"/>
    <w:uiPriority w:val="9"/>
    <w:rsid w:val="00EE37A1"/>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8A62ED"/>
    <w:rPr>
      <w:rFonts w:ascii="Times New Roman" w:eastAsiaTheme="majorEastAsia" w:hAnsi="Times New Roman" w:cstheme="majorBidi"/>
      <w:b/>
      <w:bCs/>
      <w:color w:val="000000" w:themeColor="text1"/>
      <w:sz w:val="24"/>
      <w:szCs w:val="26"/>
      <w:lang w:val="en-GB"/>
    </w:rPr>
  </w:style>
  <w:style w:type="paragraph" w:styleId="BodyText">
    <w:name w:val="Body Text"/>
    <w:basedOn w:val="Normal"/>
    <w:link w:val="BodyTextChar"/>
    <w:uiPriority w:val="1"/>
    <w:qFormat/>
    <w:rsid w:val="00963542"/>
    <w:rPr>
      <w:u w:color="000000"/>
    </w:rPr>
  </w:style>
  <w:style w:type="character" w:customStyle="1" w:styleId="BodyTextChar">
    <w:name w:val="Body Text Char"/>
    <w:basedOn w:val="DefaultParagraphFont"/>
    <w:link w:val="BodyText"/>
    <w:uiPriority w:val="1"/>
    <w:rsid w:val="00963542"/>
    <w:rPr>
      <w:rFonts w:ascii="Times New Roman" w:eastAsia="Arial" w:hAnsi="Times New Roman" w:cs="Arial"/>
      <w:sz w:val="24"/>
      <w:u w:color="000000"/>
      <w:lang w:val="en-US"/>
    </w:rPr>
  </w:style>
  <w:style w:type="paragraph" w:customStyle="1" w:styleId="TableParagraph">
    <w:name w:val="Table Paragraph"/>
    <w:basedOn w:val="Normal"/>
    <w:uiPriority w:val="1"/>
    <w:qFormat/>
    <w:rsid w:val="00107D0E"/>
    <w:pPr>
      <w:ind w:left="107"/>
    </w:pPr>
  </w:style>
  <w:style w:type="paragraph" w:styleId="BalloonText">
    <w:name w:val="Balloon Text"/>
    <w:basedOn w:val="Normal"/>
    <w:link w:val="BalloonTextChar"/>
    <w:uiPriority w:val="99"/>
    <w:semiHidden/>
    <w:unhideWhenUsed/>
    <w:rsid w:val="00107D0E"/>
    <w:rPr>
      <w:rFonts w:ascii="Tahoma" w:hAnsi="Tahoma" w:cs="Tahoma"/>
      <w:sz w:val="16"/>
      <w:szCs w:val="16"/>
    </w:rPr>
  </w:style>
  <w:style w:type="character" w:customStyle="1" w:styleId="BalloonTextChar">
    <w:name w:val="Balloon Text Char"/>
    <w:basedOn w:val="DefaultParagraphFont"/>
    <w:link w:val="BalloonText"/>
    <w:uiPriority w:val="99"/>
    <w:semiHidden/>
    <w:rsid w:val="00107D0E"/>
    <w:rPr>
      <w:rFonts w:ascii="Tahoma" w:eastAsia="Arial" w:hAnsi="Tahoma" w:cs="Tahoma"/>
      <w:sz w:val="16"/>
      <w:szCs w:val="16"/>
      <w:lang w:val="en-US"/>
    </w:rPr>
  </w:style>
  <w:style w:type="paragraph" w:styleId="TOCHeading">
    <w:name w:val="TOC Heading"/>
    <w:basedOn w:val="Heading1"/>
    <w:next w:val="Normal"/>
    <w:uiPriority w:val="39"/>
    <w:semiHidden/>
    <w:unhideWhenUsed/>
    <w:qFormat/>
    <w:rsid w:val="00107D0E"/>
    <w:pPr>
      <w:widowControl/>
      <w:autoSpaceDE/>
      <w:autoSpaceDN/>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107D0E"/>
    <w:pPr>
      <w:spacing w:after="100"/>
    </w:pPr>
  </w:style>
  <w:style w:type="character" w:styleId="Hyperlink">
    <w:name w:val="Hyperlink"/>
    <w:basedOn w:val="DefaultParagraphFont"/>
    <w:uiPriority w:val="99"/>
    <w:unhideWhenUsed/>
    <w:rsid w:val="00107D0E"/>
    <w:rPr>
      <w:color w:val="0000FF" w:themeColor="hyperlink"/>
      <w:u w:val="single"/>
    </w:rPr>
  </w:style>
  <w:style w:type="paragraph" w:styleId="ListParagraph">
    <w:name w:val="List Paragraph"/>
    <w:basedOn w:val="Normal"/>
    <w:uiPriority w:val="1"/>
    <w:qFormat/>
    <w:rsid w:val="00107D0E"/>
    <w:pPr>
      <w:spacing w:line="240" w:lineRule="auto"/>
      <w:ind w:left="900" w:hanging="361"/>
    </w:pPr>
  </w:style>
  <w:style w:type="paragraph" w:styleId="Header">
    <w:name w:val="header"/>
    <w:basedOn w:val="Normal"/>
    <w:link w:val="HeaderChar"/>
    <w:uiPriority w:val="99"/>
    <w:unhideWhenUsed/>
    <w:rsid w:val="00107D0E"/>
    <w:pPr>
      <w:tabs>
        <w:tab w:val="center" w:pos="4513"/>
        <w:tab w:val="right" w:pos="9026"/>
      </w:tabs>
      <w:spacing w:line="240" w:lineRule="auto"/>
    </w:pPr>
  </w:style>
  <w:style w:type="character" w:customStyle="1" w:styleId="HeaderChar">
    <w:name w:val="Header Char"/>
    <w:basedOn w:val="DefaultParagraphFont"/>
    <w:link w:val="Header"/>
    <w:uiPriority w:val="99"/>
    <w:rsid w:val="00107D0E"/>
    <w:rPr>
      <w:rFonts w:ascii="Arial" w:eastAsia="Arial" w:hAnsi="Arial" w:cs="Arial"/>
      <w:lang w:val="en-US"/>
    </w:rPr>
  </w:style>
  <w:style w:type="paragraph" w:styleId="Footer">
    <w:name w:val="footer"/>
    <w:basedOn w:val="Normal"/>
    <w:link w:val="FooterChar"/>
    <w:uiPriority w:val="99"/>
    <w:unhideWhenUsed/>
    <w:rsid w:val="00107D0E"/>
    <w:pPr>
      <w:tabs>
        <w:tab w:val="center" w:pos="4513"/>
        <w:tab w:val="right" w:pos="9026"/>
      </w:tabs>
      <w:spacing w:line="240" w:lineRule="auto"/>
    </w:pPr>
  </w:style>
  <w:style w:type="character" w:customStyle="1" w:styleId="FooterChar">
    <w:name w:val="Footer Char"/>
    <w:basedOn w:val="DefaultParagraphFont"/>
    <w:link w:val="Footer"/>
    <w:uiPriority w:val="99"/>
    <w:rsid w:val="00107D0E"/>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B37C56-BAC8-4961-B048-3305B8D38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2228</Words>
  <Characters>12700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Sabina Ciobanu</cp:lastModifiedBy>
  <cp:revision>2</cp:revision>
  <dcterms:created xsi:type="dcterms:W3CDTF">2022-04-18T11:35:00Z</dcterms:created>
  <dcterms:modified xsi:type="dcterms:W3CDTF">2022-04-18T11:35:00Z</dcterms:modified>
</cp:coreProperties>
</file>