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2B48F" w14:textId="77777777" w:rsidR="00157DE0" w:rsidRDefault="00157DE0" w:rsidP="00157DE0">
      <w:pPr>
        <w:rPr>
          <w:rFonts w:ascii="Arial" w:hAnsi="Arial" w:cs="Arial"/>
          <w:b/>
          <w:sz w:val="22"/>
          <w:szCs w:val="22"/>
        </w:rPr>
      </w:pPr>
      <w:r>
        <w:rPr>
          <w:rFonts w:ascii="Arial" w:hAnsi="Arial" w:cs="Arial"/>
          <w:b/>
          <w:sz w:val="22"/>
          <w:szCs w:val="22"/>
        </w:rPr>
        <w:t>Mavis Frimpomaa</w:t>
      </w:r>
    </w:p>
    <w:p w14:paraId="0D35B276" w14:textId="77777777" w:rsidR="00157DE0" w:rsidRDefault="00157DE0" w:rsidP="00157DE0">
      <w:pPr>
        <w:rPr>
          <w:rFonts w:ascii="Arial" w:hAnsi="Arial" w:cs="Arial"/>
          <w:b/>
          <w:sz w:val="22"/>
          <w:szCs w:val="22"/>
        </w:rPr>
      </w:pPr>
      <w:r>
        <w:rPr>
          <w:rFonts w:ascii="Arial" w:hAnsi="Arial" w:cs="Arial"/>
          <w:b/>
          <w:sz w:val="22"/>
          <w:szCs w:val="22"/>
        </w:rPr>
        <w:t>Student ID: 2439611</w:t>
      </w:r>
    </w:p>
    <w:p w14:paraId="600C0A8B" w14:textId="77777777" w:rsidR="00157DE0" w:rsidRDefault="00157DE0" w:rsidP="00157DE0">
      <w:pPr>
        <w:rPr>
          <w:rFonts w:ascii="Arial" w:hAnsi="Arial" w:cs="Arial"/>
          <w:b/>
          <w:sz w:val="22"/>
          <w:szCs w:val="22"/>
        </w:rPr>
      </w:pPr>
      <w:r>
        <w:rPr>
          <w:rFonts w:ascii="Arial" w:hAnsi="Arial" w:cs="Arial"/>
          <w:b/>
          <w:sz w:val="22"/>
          <w:szCs w:val="22"/>
        </w:rPr>
        <w:t>Module: Introduction to Physiology.</w:t>
      </w:r>
    </w:p>
    <w:p w14:paraId="48FD60BF" w14:textId="77777777" w:rsidR="00157DE0" w:rsidRDefault="00157DE0" w:rsidP="00157DE0">
      <w:pPr>
        <w:rPr>
          <w:rFonts w:ascii="Arial" w:hAnsi="Arial" w:cs="Arial"/>
          <w:b/>
          <w:sz w:val="22"/>
          <w:szCs w:val="22"/>
        </w:rPr>
      </w:pPr>
      <w:r>
        <w:rPr>
          <w:rFonts w:ascii="Arial" w:hAnsi="Arial" w:cs="Arial"/>
          <w:b/>
          <w:sz w:val="22"/>
          <w:szCs w:val="22"/>
        </w:rPr>
        <w:t>Lecture: Gillian Weaver.</w:t>
      </w:r>
    </w:p>
    <w:p w14:paraId="3B754898" w14:textId="77777777" w:rsidR="00157DE0" w:rsidRDefault="00157DE0" w:rsidP="00157DE0">
      <w:pPr>
        <w:rPr>
          <w:rFonts w:ascii="Arial" w:hAnsi="Arial" w:cs="Arial"/>
          <w:b/>
          <w:bCs/>
          <w:sz w:val="22"/>
          <w:szCs w:val="22"/>
        </w:rPr>
      </w:pPr>
      <w:r>
        <w:rPr>
          <w:rFonts w:ascii="Arial" w:hAnsi="Arial" w:cs="Arial"/>
          <w:b/>
          <w:sz w:val="22"/>
          <w:szCs w:val="22"/>
        </w:rPr>
        <w:t>Component 1: Written Assignment (</w:t>
      </w:r>
      <w:r>
        <w:rPr>
          <w:rFonts w:ascii="Arial" w:hAnsi="Arial" w:cs="Arial"/>
          <w:b/>
          <w:bCs/>
          <w:sz w:val="22"/>
          <w:szCs w:val="22"/>
        </w:rPr>
        <w:t>Case Study Report)</w:t>
      </w:r>
    </w:p>
    <w:p w14:paraId="59F3A253" w14:textId="77777777" w:rsidR="00157DE0" w:rsidRDefault="00157DE0"/>
    <w:p w14:paraId="3B0D99B0" w14:textId="4BE0D0EA" w:rsidR="00157DE0" w:rsidRDefault="00157DE0" w:rsidP="002B1201">
      <w:pPr>
        <w:spacing w:line="276" w:lineRule="auto"/>
        <w:rPr>
          <w:rFonts w:ascii="Aptos" w:eastAsia="Aptos" w:hAnsi="Aptos" w:cs="Aptos"/>
          <w:b/>
          <w:bCs/>
          <w:sz w:val="28"/>
          <w:szCs w:val="28"/>
          <w:lang w:val="en-GB"/>
        </w:rPr>
      </w:pPr>
      <w:r w:rsidRPr="3716E607">
        <w:rPr>
          <w:rFonts w:ascii="Aptos" w:eastAsia="Aptos" w:hAnsi="Aptos" w:cs="Aptos"/>
          <w:b/>
          <w:bCs/>
          <w:sz w:val="28"/>
          <w:szCs w:val="28"/>
          <w:lang w:val="en-GB"/>
        </w:rPr>
        <w:t>Introduction</w:t>
      </w:r>
      <w:r>
        <w:rPr>
          <w:rFonts w:ascii="Aptos" w:eastAsia="Aptos" w:hAnsi="Aptos" w:cs="Aptos"/>
          <w:b/>
          <w:bCs/>
          <w:sz w:val="28"/>
          <w:szCs w:val="28"/>
          <w:lang w:val="en-GB"/>
        </w:rPr>
        <w:t>.</w:t>
      </w:r>
    </w:p>
    <w:p w14:paraId="3B601C67" w14:textId="52B81E89" w:rsidR="00157DE0" w:rsidRDefault="00157DE0" w:rsidP="002B1201">
      <w:pPr>
        <w:spacing w:line="276" w:lineRule="auto"/>
      </w:pPr>
      <w:r w:rsidRPr="00157DE0">
        <w:t>Diabetes is a condition that causes your blood glucose (sugar) level to become too high.</w:t>
      </w:r>
      <w:r>
        <w:t xml:space="preserve"> </w:t>
      </w:r>
      <w:r w:rsidRPr="00157DE0">
        <w:t>Diabetes is caused by your body not making enough or any of a hormone called insulin, or the insulin not working properly (insulin resistance).</w:t>
      </w:r>
      <w:r>
        <w:t xml:space="preserve"> </w:t>
      </w:r>
      <w:r w:rsidRPr="00157DE0">
        <w:t>Insulin helps your body use glucose (sugar) for energy. Without it, the level of glucose in your blood becomes too high</w:t>
      </w:r>
      <w:r>
        <w:t xml:space="preserve"> (NHS,2025).</w:t>
      </w:r>
    </w:p>
    <w:p w14:paraId="71E6D1D7" w14:textId="07103466" w:rsidR="00157DE0" w:rsidRDefault="00157DE0" w:rsidP="002B1201">
      <w:pPr>
        <w:spacing w:line="276" w:lineRule="auto"/>
        <w:rPr>
          <w:b/>
          <w:bCs/>
          <w:lang w:val="en-GB"/>
        </w:rPr>
      </w:pPr>
      <w:r w:rsidRPr="00157DE0">
        <w:rPr>
          <w:b/>
          <w:bCs/>
          <w:lang w:val="en-GB"/>
        </w:rPr>
        <w:t>Outline key risk factors</w:t>
      </w:r>
      <w:r>
        <w:rPr>
          <w:b/>
          <w:bCs/>
          <w:lang w:val="en-GB"/>
        </w:rPr>
        <w:t>:</w:t>
      </w:r>
    </w:p>
    <w:p w14:paraId="094C2761" w14:textId="1D34EA19" w:rsidR="00090AE2" w:rsidRDefault="00073EBA" w:rsidP="002B1201">
      <w:pPr>
        <w:spacing w:line="276" w:lineRule="auto"/>
        <w:rPr>
          <w:b/>
          <w:bCs/>
          <w:lang w:val="en-GB"/>
        </w:rPr>
      </w:pPr>
      <w:r w:rsidRPr="00073EBA">
        <w:rPr>
          <w:b/>
          <w:bCs/>
          <w:lang w:val="en-GB"/>
        </w:rPr>
        <w:t>Obesity and inactivity</w:t>
      </w:r>
      <w:r w:rsidR="002A4E3F">
        <w:rPr>
          <w:b/>
          <w:bCs/>
          <w:lang w:val="en-GB"/>
        </w:rPr>
        <w:t>:</w:t>
      </w:r>
    </w:p>
    <w:p w14:paraId="776C3713" w14:textId="42A1F910" w:rsidR="002A4E3F" w:rsidRDefault="002A4E3F" w:rsidP="002B1201">
      <w:pPr>
        <w:spacing w:line="276" w:lineRule="auto"/>
        <w:rPr>
          <w:rFonts w:ascii="Roboto" w:hAnsi="Roboto"/>
          <w:color w:val="0E0E0E"/>
          <w:sz w:val="27"/>
          <w:szCs w:val="27"/>
          <w:shd w:val="clear" w:color="auto" w:fill="FBFAF8"/>
        </w:rPr>
      </w:pPr>
      <w:r>
        <w:rPr>
          <w:rFonts w:ascii="Roboto" w:hAnsi="Roboto"/>
          <w:color w:val="0E0E0E"/>
          <w:sz w:val="27"/>
          <w:szCs w:val="27"/>
          <w:shd w:val="clear" w:color="auto" w:fill="FBFAF8"/>
        </w:rPr>
        <w:t>People who are overweight or obese (especially with central obesity) and/or have inactive lifestyles are at increased risk for developing type 2 diabetes, as overeating and inactivity can exacerbate insulin resistance. Obesity accounts for 80–85% of the overall risk for developing type 2 diabetes</w:t>
      </w:r>
      <w:r w:rsidR="00264B1B">
        <w:rPr>
          <w:rFonts w:ascii="Roboto" w:hAnsi="Roboto"/>
          <w:color w:val="0E0E0E"/>
          <w:sz w:val="27"/>
          <w:szCs w:val="27"/>
          <w:shd w:val="clear" w:color="auto" w:fill="FBFAF8"/>
        </w:rPr>
        <w:t xml:space="preserve"> (NICE,2026)</w:t>
      </w:r>
    </w:p>
    <w:p w14:paraId="7EB7F440" w14:textId="48BCD8A6" w:rsidR="00325EDE" w:rsidRDefault="00325EDE" w:rsidP="00325EDE">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325EDE">
        <w:rPr>
          <w:rFonts w:ascii="Roboto" w:eastAsia="Times New Roman" w:hAnsi="Roboto" w:cs="Times New Roman"/>
          <w:color w:val="0E0E0E"/>
          <w:kern w:val="0"/>
          <w:sz w:val="27"/>
          <w:szCs w:val="27"/>
          <w14:ligatures w14:val="none"/>
        </w:rPr>
        <w:t>Data from the National Paediatric Diabetes Audit (NPDA) shows that 94% of those under the age of 18 years who were receiving care for type 2 diabetes in paediatric diabetic units in England and Wales in 2023 to 2024 had a weight in the overweight or obese range</w:t>
      </w:r>
      <w:r>
        <w:rPr>
          <w:rFonts w:ascii="Roboto" w:eastAsia="Times New Roman" w:hAnsi="Roboto" w:cs="Times New Roman"/>
          <w:color w:val="0E0E0E"/>
          <w:kern w:val="0"/>
          <w:sz w:val="27"/>
          <w:szCs w:val="27"/>
          <w14:ligatures w14:val="none"/>
        </w:rPr>
        <w:t xml:space="preserve"> (NICE,2026)</w:t>
      </w:r>
    </w:p>
    <w:p w14:paraId="5E914877" w14:textId="77777777" w:rsidR="00F720E9" w:rsidRPr="00F720E9" w:rsidRDefault="00F720E9"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F720E9">
        <w:rPr>
          <w:rFonts w:ascii="Roboto" w:eastAsia="Times New Roman" w:hAnsi="Roboto" w:cs="Times New Roman"/>
          <w:color w:val="0E0E0E"/>
          <w:kern w:val="0"/>
          <w:sz w:val="27"/>
          <w:szCs w:val="27"/>
          <w14:ligatures w14:val="none"/>
        </w:rPr>
        <w:t>History of gestational diabetes</w:t>
      </w:r>
    </w:p>
    <w:p w14:paraId="7469603A" w14:textId="6DCA73C5" w:rsidR="00325EDE" w:rsidRDefault="00F720E9"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F720E9">
        <w:rPr>
          <w:rFonts w:ascii="Roboto" w:eastAsia="Times New Roman" w:hAnsi="Roboto" w:cs="Times New Roman"/>
          <w:color w:val="0E0E0E"/>
          <w:kern w:val="0"/>
          <w:sz w:val="27"/>
          <w:szCs w:val="27"/>
          <w14:ligatures w14:val="none"/>
        </w:rPr>
        <w:t>Women with a history of gestational diabetes have a seven-fold increased risk for developing type 2 diabetes later in life. Children born to mothers with gestational diabetes have a six-fold increased risk for developing type 2 diabetes</w:t>
      </w:r>
      <w:r w:rsidR="00AF6855">
        <w:rPr>
          <w:rFonts w:ascii="Roboto" w:eastAsia="Times New Roman" w:hAnsi="Roboto" w:cs="Times New Roman"/>
          <w:color w:val="0E0E0E"/>
          <w:kern w:val="0"/>
          <w:sz w:val="27"/>
          <w:szCs w:val="27"/>
          <w14:ligatures w14:val="none"/>
        </w:rPr>
        <w:t xml:space="preserve"> (NICE,2026)</w:t>
      </w:r>
    </w:p>
    <w:p w14:paraId="7A5FC20F" w14:textId="48B845C8" w:rsidR="00C61625" w:rsidRPr="00325EDE" w:rsidRDefault="00C61625"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C61625">
        <w:rPr>
          <w:rFonts w:ascii="Roboto" w:eastAsia="Times New Roman" w:hAnsi="Roboto" w:cs="Times New Roman"/>
          <w:color w:val="0E0E0E"/>
          <w:kern w:val="0"/>
          <w:sz w:val="27"/>
          <w:szCs w:val="27"/>
          <w14:ligatures w14:val="none"/>
        </w:rPr>
        <w:t>Low birth weight for gestational age and preterm birth before 37 weeks of gestation — associated with an increased risk of type 2 diabetes in adult life</w:t>
      </w:r>
      <w:r w:rsidR="005B4900">
        <w:rPr>
          <w:rFonts w:ascii="Roboto" w:eastAsia="Times New Roman" w:hAnsi="Roboto" w:cs="Times New Roman"/>
          <w:color w:val="0E0E0E"/>
          <w:kern w:val="0"/>
          <w:sz w:val="27"/>
          <w:szCs w:val="27"/>
          <w14:ligatures w14:val="none"/>
        </w:rPr>
        <w:t xml:space="preserve"> (NICE,2026)</w:t>
      </w:r>
    </w:p>
    <w:p w14:paraId="5D705A58" w14:textId="77777777" w:rsidR="00264B1B" w:rsidRDefault="00264B1B" w:rsidP="002B1201">
      <w:pPr>
        <w:spacing w:line="276" w:lineRule="auto"/>
        <w:rPr>
          <w:b/>
          <w:bCs/>
          <w:lang w:val="en-GB"/>
        </w:rPr>
      </w:pPr>
    </w:p>
    <w:p w14:paraId="43BC0F0F" w14:textId="77777777" w:rsidR="005E0373" w:rsidRPr="005E0373" w:rsidRDefault="005E0373" w:rsidP="002B1201">
      <w:pPr>
        <w:spacing w:line="276" w:lineRule="auto"/>
        <w:rPr>
          <w:lang w:val="en-GB"/>
        </w:rPr>
      </w:pPr>
    </w:p>
    <w:p w14:paraId="676696B3" w14:textId="77777777" w:rsidR="005E0373" w:rsidRDefault="005E0373" w:rsidP="002B1201">
      <w:pPr>
        <w:spacing w:line="276" w:lineRule="auto"/>
      </w:pPr>
    </w:p>
    <w:p w14:paraId="35FB8633" w14:textId="77777777" w:rsidR="005E0373" w:rsidRDefault="005E0373" w:rsidP="002B1201">
      <w:pPr>
        <w:spacing w:line="276" w:lineRule="auto"/>
      </w:pPr>
    </w:p>
    <w:p w14:paraId="08521EDA" w14:textId="77777777" w:rsidR="005E0373" w:rsidRDefault="005E0373" w:rsidP="002B1201">
      <w:pPr>
        <w:spacing w:line="276" w:lineRule="auto"/>
      </w:pPr>
    </w:p>
    <w:p w14:paraId="7C814BEA" w14:textId="77777777" w:rsidR="004F65AC" w:rsidRDefault="004F65AC" w:rsidP="002B1201">
      <w:pPr>
        <w:spacing w:before="240" w:after="240" w:line="276" w:lineRule="auto"/>
        <w:rPr>
          <w:rFonts w:ascii="Aptos" w:eastAsia="Aptos" w:hAnsi="Aptos" w:cs="Aptos"/>
        </w:rPr>
      </w:pPr>
      <w:r w:rsidRPr="3716E607">
        <w:rPr>
          <w:rFonts w:ascii="Aptos" w:eastAsia="Aptos" w:hAnsi="Aptos" w:cs="Aptos"/>
          <w:b/>
          <w:bCs/>
          <w:lang w:val="en-GB"/>
        </w:rPr>
        <w:t>Diabetes</w:t>
      </w:r>
      <w:r w:rsidRPr="3716E607">
        <w:rPr>
          <w:rFonts w:ascii="Aptos" w:eastAsia="Aptos" w:hAnsi="Aptos" w:cs="Aptos"/>
          <w:lang w:val="en-GB"/>
        </w:rPr>
        <w:t>:</w:t>
      </w:r>
    </w:p>
    <w:p w14:paraId="074A51A3" w14:textId="41A7CB87" w:rsidR="004F65AC" w:rsidRDefault="004F65AC" w:rsidP="002B1201">
      <w:pPr>
        <w:pStyle w:val="ListParagraph"/>
        <w:spacing w:before="240" w:after="240" w:line="276" w:lineRule="auto"/>
        <w:rPr>
          <w:rFonts w:ascii="Aptos" w:eastAsia="Aptos" w:hAnsi="Aptos" w:cs="Aptos"/>
          <w:lang w:val="en-GB"/>
        </w:rPr>
      </w:pPr>
      <w:r w:rsidRPr="3716E607">
        <w:rPr>
          <w:rFonts w:ascii="Aptos" w:eastAsia="Aptos" w:hAnsi="Aptos" w:cs="Aptos"/>
          <w:lang w:val="en-GB"/>
        </w:rPr>
        <w:t>Explain how blood sugar is regulated (insulin, pancreas, glucose uptake)</w:t>
      </w:r>
      <w:r>
        <w:rPr>
          <w:rFonts w:ascii="Aptos" w:eastAsia="Aptos" w:hAnsi="Aptos" w:cs="Aptos"/>
          <w:lang w:val="en-GB"/>
        </w:rPr>
        <w:t>.</w:t>
      </w:r>
    </w:p>
    <w:p w14:paraId="42F06974" w14:textId="77777777" w:rsidR="004F65AC" w:rsidRDefault="004F65AC" w:rsidP="002B1201">
      <w:pPr>
        <w:pStyle w:val="ListParagraph"/>
        <w:spacing w:before="240" w:after="240" w:line="276" w:lineRule="auto"/>
        <w:rPr>
          <w:rFonts w:ascii="Aptos" w:eastAsia="Aptos" w:hAnsi="Aptos" w:cs="Aptos"/>
        </w:rPr>
      </w:pPr>
    </w:p>
    <w:p w14:paraId="0F4D3D3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Blood sugar (glucose) regulation is mainly controlled by the pancreas and the hormone insulin. The aim is to keep blood glucose levels within a normal range so that the body's cells have a steady supply of energy.</w:t>
      </w:r>
    </w:p>
    <w:p w14:paraId="213109F2" w14:textId="77777777" w:rsidR="004F65AC" w:rsidRPr="004F65AC" w:rsidRDefault="004F65AC" w:rsidP="002B1201">
      <w:pPr>
        <w:pStyle w:val="ListParagraph"/>
        <w:spacing w:before="240" w:after="240" w:line="276" w:lineRule="auto"/>
        <w:rPr>
          <w:rFonts w:ascii="Aptos" w:eastAsia="Aptos" w:hAnsi="Aptos" w:cs="Aptos"/>
        </w:rPr>
      </w:pPr>
    </w:p>
    <w:p w14:paraId="71574288"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1. Role of the Pancreas</w:t>
      </w:r>
    </w:p>
    <w:p w14:paraId="3BA04F65" w14:textId="77777777" w:rsidR="004F65AC" w:rsidRPr="004F65AC" w:rsidRDefault="004F65AC" w:rsidP="002B1201">
      <w:pPr>
        <w:pStyle w:val="ListParagraph"/>
        <w:spacing w:before="240" w:after="240" w:line="276" w:lineRule="auto"/>
        <w:rPr>
          <w:rFonts w:ascii="Aptos" w:eastAsia="Aptos" w:hAnsi="Aptos" w:cs="Aptos"/>
        </w:rPr>
      </w:pPr>
    </w:p>
    <w:p w14:paraId="1012B66D"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The pancreas is an organ located behind the stomach. It contains specialised cells called beta cells, which produce and release insulin into the bloodstream when blood glucose levels rise, such as after eating.</w:t>
      </w:r>
    </w:p>
    <w:p w14:paraId="38ED3A2E" w14:textId="77777777" w:rsidR="004F65AC" w:rsidRPr="004F65AC" w:rsidRDefault="004F65AC" w:rsidP="002B1201">
      <w:pPr>
        <w:pStyle w:val="ListParagraph"/>
        <w:spacing w:before="240" w:after="240" w:line="276" w:lineRule="auto"/>
        <w:rPr>
          <w:rFonts w:ascii="Aptos" w:eastAsia="Aptos" w:hAnsi="Aptos" w:cs="Aptos"/>
        </w:rPr>
      </w:pPr>
    </w:p>
    <w:p w14:paraId="7FDDD498"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2. Role of Insulin</w:t>
      </w:r>
    </w:p>
    <w:p w14:paraId="7C31BBE8" w14:textId="77777777" w:rsidR="004F65AC" w:rsidRPr="004F65AC" w:rsidRDefault="004F65AC" w:rsidP="002B1201">
      <w:pPr>
        <w:pStyle w:val="ListParagraph"/>
        <w:spacing w:before="240" w:after="240" w:line="276" w:lineRule="auto"/>
        <w:rPr>
          <w:rFonts w:ascii="Aptos" w:eastAsia="Aptos" w:hAnsi="Aptos" w:cs="Aptos"/>
        </w:rPr>
      </w:pPr>
    </w:p>
    <w:p w14:paraId="1B02BAAE"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is a hormone that acts like a key, allowing glucose to move from the blood into body cells. When blood glucose levels increase:</w:t>
      </w:r>
    </w:p>
    <w:p w14:paraId="52C06161" w14:textId="77777777" w:rsidR="004F65AC" w:rsidRPr="004F65AC" w:rsidRDefault="004F65AC" w:rsidP="002B1201">
      <w:pPr>
        <w:pStyle w:val="ListParagraph"/>
        <w:spacing w:before="240" w:after="240" w:line="276" w:lineRule="auto"/>
        <w:rPr>
          <w:rFonts w:ascii="Aptos" w:eastAsia="Aptos" w:hAnsi="Aptos" w:cs="Aptos"/>
        </w:rPr>
      </w:pPr>
    </w:p>
    <w:p w14:paraId="39649A9C"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The pancreas detects the rise in glucose.</w:t>
      </w:r>
    </w:p>
    <w:p w14:paraId="638C1A6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is released into the bloodstream.</w:t>
      </w:r>
    </w:p>
    <w:p w14:paraId="10DCCE9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binds to receptors on cells, particularly muscle, fat, and liver cells.</w:t>
      </w:r>
    </w:p>
    <w:p w14:paraId="01ED1D31"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This enables glucose to enter the cells and be used for energy.</w:t>
      </w:r>
    </w:p>
    <w:p w14:paraId="0085A118" w14:textId="77777777" w:rsidR="004F65AC" w:rsidRPr="004F65AC" w:rsidRDefault="004F65AC" w:rsidP="002B1201">
      <w:pPr>
        <w:pStyle w:val="ListParagraph"/>
        <w:spacing w:before="240" w:after="240" w:line="276" w:lineRule="auto"/>
        <w:rPr>
          <w:rFonts w:ascii="Aptos" w:eastAsia="Aptos" w:hAnsi="Aptos" w:cs="Aptos"/>
        </w:rPr>
      </w:pPr>
    </w:p>
    <w:p w14:paraId="2181C35B"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As glucose leaves the bloodstream and enters the cells, blood sugar levels fall back to a normal range.</w:t>
      </w:r>
    </w:p>
    <w:p w14:paraId="0A3035ED" w14:textId="77777777" w:rsidR="004F65AC" w:rsidRPr="004F65AC" w:rsidRDefault="004F65AC" w:rsidP="002B1201">
      <w:pPr>
        <w:pStyle w:val="ListParagraph"/>
        <w:spacing w:before="240" w:after="240" w:line="276" w:lineRule="auto"/>
        <w:rPr>
          <w:rFonts w:ascii="Aptos" w:eastAsia="Aptos" w:hAnsi="Aptos" w:cs="Aptos"/>
        </w:rPr>
      </w:pPr>
    </w:p>
    <w:p w14:paraId="76916A72"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3. Glucose Uptake and Storage</w:t>
      </w:r>
    </w:p>
    <w:p w14:paraId="43AD9974" w14:textId="77777777" w:rsidR="004F65AC" w:rsidRPr="004F65AC" w:rsidRDefault="004F65AC" w:rsidP="002B1201">
      <w:pPr>
        <w:pStyle w:val="ListParagraph"/>
        <w:spacing w:before="240" w:after="240" w:line="276" w:lineRule="auto"/>
        <w:rPr>
          <w:rFonts w:ascii="Aptos" w:eastAsia="Aptos" w:hAnsi="Aptos" w:cs="Aptos"/>
        </w:rPr>
      </w:pPr>
    </w:p>
    <w:p w14:paraId="75E4C6F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Once inside the cells, glucose can be:</w:t>
      </w:r>
    </w:p>
    <w:p w14:paraId="64B0D02F" w14:textId="77777777" w:rsidR="004F65AC" w:rsidRPr="004F65AC" w:rsidRDefault="004F65AC" w:rsidP="002B1201">
      <w:pPr>
        <w:pStyle w:val="ListParagraph"/>
        <w:spacing w:before="240" w:after="240" w:line="276" w:lineRule="auto"/>
        <w:rPr>
          <w:rFonts w:ascii="Aptos" w:eastAsia="Aptos" w:hAnsi="Aptos" w:cs="Aptos"/>
        </w:rPr>
      </w:pPr>
    </w:p>
    <w:p w14:paraId="6E2F8399"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lastRenderedPageBreak/>
        <w:t>Used immediately to produce energy.</w:t>
      </w:r>
    </w:p>
    <w:p w14:paraId="2FD86D55"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Stored in the liver and muscles as glycogen for future use.</w:t>
      </w:r>
    </w:p>
    <w:p w14:paraId="1CE72D53"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Converted into fat if there is an excess supply.</w:t>
      </w:r>
    </w:p>
    <w:p w14:paraId="6BC27BA7"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4. What Happens Between Meals?</w:t>
      </w:r>
    </w:p>
    <w:p w14:paraId="1F0E9FD8" w14:textId="77777777" w:rsidR="004F65AC" w:rsidRPr="004F65AC" w:rsidRDefault="004F65AC" w:rsidP="002B1201">
      <w:pPr>
        <w:pStyle w:val="ListParagraph"/>
        <w:spacing w:before="240" w:after="240" w:line="276" w:lineRule="auto"/>
        <w:rPr>
          <w:rFonts w:ascii="Aptos" w:eastAsia="Aptos" w:hAnsi="Aptos" w:cs="Aptos"/>
        </w:rPr>
      </w:pPr>
    </w:p>
    <w:p w14:paraId="0F16E3C9"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When blood glucose levels fall, the pancreas releases another hormone called glucagon. Glucagon signals the liver to break down stored glycogen into glucose and release it into the bloodstream, helping to prevent blood sugar levels from dropping too low.</w:t>
      </w:r>
    </w:p>
    <w:p w14:paraId="7C2D3FFA" w14:textId="77777777" w:rsidR="004F65AC" w:rsidRPr="004F65AC" w:rsidRDefault="004F65AC" w:rsidP="002B1201">
      <w:pPr>
        <w:pStyle w:val="ListParagraph"/>
        <w:spacing w:before="240" w:after="240" w:line="276" w:lineRule="auto"/>
        <w:rPr>
          <w:rFonts w:ascii="Aptos" w:eastAsia="Aptos" w:hAnsi="Aptos" w:cs="Aptos"/>
        </w:rPr>
      </w:pPr>
    </w:p>
    <w:p w14:paraId="6EFC4F3B"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Diabetes and Blood Sugar Regulation</w:t>
      </w:r>
    </w:p>
    <w:p w14:paraId="60787C8C" w14:textId="77777777" w:rsidR="004F65AC" w:rsidRPr="004F65AC" w:rsidRDefault="004F65AC" w:rsidP="002B1201">
      <w:pPr>
        <w:pStyle w:val="ListParagraph"/>
        <w:spacing w:before="240" w:after="240" w:line="276" w:lineRule="auto"/>
        <w:rPr>
          <w:rFonts w:ascii="Aptos" w:eastAsia="Aptos" w:hAnsi="Aptos" w:cs="Aptos"/>
        </w:rPr>
      </w:pPr>
    </w:p>
    <w:p w14:paraId="094EF947"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people with diabetes, this regulatory system does not function properly:</w:t>
      </w:r>
    </w:p>
    <w:p w14:paraId="35BDDA48" w14:textId="77777777" w:rsidR="004F65AC" w:rsidRPr="004F65AC" w:rsidRDefault="004F65AC" w:rsidP="002B1201">
      <w:pPr>
        <w:pStyle w:val="ListParagraph"/>
        <w:spacing w:before="240" w:after="240" w:line="276" w:lineRule="auto"/>
        <w:rPr>
          <w:rFonts w:ascii="Aptos" w:eastAsia="Aptos" w:hAnsi="Aptos" w:cs="Aptos"/>
        </w:rPr>
      </w:pPr>
    </w:p>
    <w:p w14:paraId="4F6BCC8E"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Type 1 diabetes, the pancreas produces little or no insulin.</w:t>
      </w:r>
    </w:p>
    <w:p w14:paraId="7593399A"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Type 2 diabetes, the body becomes resistant to insulin or does not produce enough insulin.</w:t>
      </w:r>
    </w:p>
    <w:p w14:paraId="2C15B6DE" w14:textId="77777777" w:rsidR="004F65AC" w:rsidRPr="004F65AC" w:rsidRDefault="004F65AC" w:rsidP="002B1201">
      <w:pPr>
        <w:pStyle w:val="ListParagraph"/>
        <w:spacing w:before="240" w:after="240" w:line="276" w:lineRule="auto"/>
        <w:rPr>
          <w:rFonts w:ascii="Aptos" w:eastAsia="Aptos" w:hAnsi="Aptos" w:cs="Aptos"/>
        </w:rPr>
      </w:pPr>
    </w:p>
    <w:p w14:paraId="1433D40F" w14:textId="5815281B" w:rsid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As a result, glucose remains in the bloodstream instead of entering cells efficiently, leading to high blood sugar levels (hyperglycaemia).</w:t>
      </w:r>
    </w:p>
    <w:p w14:paraId="139BD1C3" w14:textId="77777777" w:rsidR="004F65AC" w:rsidRDefault="004F65AC" w:rsidP="002B1201">
      <w:pPr>
        <w:pStyle w:val="ListParagraph"/>
        <w:spacing w:before="240" w:after="240" w:line="276" w:lineRule="auto"/>
        <w:rPr>
          <w:rFonts w:ascii="Aptos" w:eastAsia="Aptos" w:hAnsi="Aptos" w:cs="Aptos"/>
        </w:rPr>
      </w:pPr>
    </w:p>
    <w:p w14:paraId="3F9EBCCD" w14:textId="77777777" w:rsidR="00F97B01" w:rsidRPr="00F97B01" w:rsidRDefault="00F97B01" w:rsidP="002B1201">
      <w:pPr>
        <w:pStyle w:val="ListParagraph"/>
        <w:numPr>
          <w:ilvl w:val="0"/>
          <w:numId w:val="5"/>
        </w:numPr>
        <w:spacing w:before="240" w:after="240" w:line="276" w:lineRule="auto"/>
        <w:rPr>
          <w:rFonts w:ascii="Aptos" w:eastAsia="Aptos" w:hAnsi="Aptos" w:cs="Aptos"/>
          <w:b/>
          <w:bCs/>
        </w:rPr>
      </w:pPr>
      <w:r w:rsidRPr="00F97B01">
        <w:rPr>
          <w:rFonts w:ascii="Aptos" w:eastAsia="Aptos" w:hAnsi="Aptos" w:cs="Aptos"/>
          <w:b/>
          <w:bCs/>
          <w:lang w:val="en-GB"/>
        </w:rPr>
        <w:t xml:space="preserve">Describe cell metabolism (oxygen + glucose → ATP) </w:t>
      </w:r>
    </w:p>
    <w:p w14:paraId="57DE1E4A" w14:textId="77777777" w:rsidR="00F97B01" w:rsidRPr="002B1201" w:rsidRDefault="00F97B01" w:rsidP="002B1201">
      <w:pPr>
        <w:spacing w:before="100" w:beforeAutospacing="1" w:after="100" w:afterAutospacing="1" w:line="276" w:lineRule="auto"/>
        <w:ind w:left="360"/>
        <w:rPr>
          <w:rFonts w:ascii="Segoe UI" w:eastAsia="Times New Roman" w:hAnsi="Segoe UI" w:cs="Segoe UI"/>
          <w:kern w:val="0"/>
          <w14:ligatures w14:val="none"/>
        </w:rPr>
      </w:pPr>
      <w:r w:rsidRPr="002B1201">
        <w:rPr>
          <w:rFonts w:ascii="Segoe UI" w:eastAsia="Times New Roman" w:hAnsi="Segoe UI" w:cs="Segoe UI"/>
          <w:b/>
          <w:bCs/>
          <w:kern w:val="0"/>
          <w14:ligatures w14:val="none"/>
        </w:rPr>
        <w:t>Cell metabolism</w:t>
      </w:r>
      <w:r w:rsidRPr="002B1201">
        <w:rPr>
          <w:rFonts w:ascii="Segoe UI" w:eastAsia="Times New Roman" w:hAnsi="Segoe UI" w:cs="Segoe UI"/>
          <w:kern w:val="0"/>
          <w14:ligatures w14:val="none"/>
        </w:rPr>
        <w:t xml:space="preserve"> refers to the chemical processes that occur within cells to maintain life. One of the most important metabolic processes is </w:t>
      </w:r>
      <w:r w:rsidRPr="002B1201">
        <w:rPr>
          <w:rFonts w:ascii="Segoe UI" w:eastAsia="Times New Roman" w:hAnsi="Segoe UI" w:cs="Segoe UI"/>
          <w:b/>
          <w:bCs/>
          <w:kern w:val="0"/>
          <w14:ligatures w14:val="none"/>
        </w:rPr>
        <w:t>cellular respiration</w:t>
      </w:r>
      <w:r w:rsidRPr="002B1201">
        <w:rPr>
          <w:rFonts w:ascii="Segoe UI" w:eastAsia="Times New Roman" w:hAnsi="Segoe UI" w:cs="Segoe UI"/>
          <w:kern w:val="0"/>
          <w14:ligatures w14:val="none"/>
        </w:rPr>
        <w:t>, which converts glucose and oxygen into energy in the form of adenosine triphosphate (</w:t>
      </w:r>
      <w:r w:rsidRPr="002B1201">
        <w:rPr>
          <w:rFonts w:ascii="Segoe UI" w:eastAsia="Times New Roman" w:hAnsi="Segoe UI" w:cs="Segoe UI"/>
          <w:b/>
          <w:bCs/>
          <w:kern w:val="0"/>
          <w14:ligatures w14:val="none"/>
        </w:rPr>
        <w:t>ATP</w:t>
      </w:r>
      <w:r w:rsidRPr="002B1201">
        <w:rPr>
          <w:rFonts w:ascii="Segoe UI" w:eastAsia="Times New Roman" w:hAnsi="Segoe UI" w:cs="Segoe UI"/>
          <w:kern w:val="0"/>
          <w14:ligatures w14:val="none"/>
        </w:rPr>
        <w:t>) (Tortora and Derrickson, 2021).</w:t>
      </w:r>
    </w:p>
    <w:p w14:paraId="7F3CECAC" w14:textId="64A02DB4"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Glucose, obtained from food, is transported to body cells through bloodstream. Oxygen is inhaled into the lungs and carried to cells by red blood cells. Inside the cell's mitochondria, glucose combines with oxygen in a series of chemical reactions to produce ATP, which is the main source of energy used for cellular activities such as muscle contraction, nerve transmission, growth, and repair (Marieb and Hoehn, 2019).</w:t>
      </w:r>
    </w:p>
    <w:p w14:paraId="4D2198DD" w14:textId="77777777"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ATP provides the energy required for essential bodily functions. The waste products, carbon dioxide and water, are removed from the body through exhalation, urine, sweat, and other excretory processes (Widmaier, Raff and Strang, 2019).</w:t>
      </w:r>
    </w:p>
    <w:p w14:paraId="169C1B84" w14:textId="11F66FC2"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lastRenderedPageBreak/>
        <w:t>In individuals with diabetes, insufficient insulin production or insulin resistance limits the uptake of glucose into cells. As a result, cells may not receive enough glucose to produce ATP efficiently, despite high levels of glucose being present in the bloodstream. This can lead to fatigue, weakness, and impaired body functioning (International Diabetes Federation, 2025).</w:t>
      </w:r>
    </w:p>
    <w:p w14:paraId="467E53D7" w14:textId="35FFBA5D" w:rsidR="00F97B01" w:rsidRPr="00F97B01" w:rsidRDefault="00F97B01" w:rsidP="002B1201">
      <w:pPr>
        <w:pStyle w:val="ListParagraph"/>
        <w:numPr>
          <w:ilvl w:val="0"/>
          <w:numId w:val="6"/>
        </w:numPr>
        <w:spacing w:before="240" w:after="240" w:line="276" w:lineRule="auto"/>
        <w:rPr>
          <w:rFonts w:ascii="Aptos" w:eastAsia="Aptos" w:hAnsi="Aptos" w:cs="Aptos"/>
          <w:b/>
          <w:bCs/>
        </w:rPr>
      </w:pPr>
      <w:r w:rsidRPr="00F97B01">
        <w:rPr>
          <w:rFonts w:ascii="Aptos" w:eastAsia="Aptos" w:hAnsi="Aptos" w:cs="Aptos"/>
          <w:b/>
          <w:bCs/>
          <w:lang w:val="en-GB"/>
        </w:rPr>
        <w:t>What happens when blood sugar regulation fails</w:t>
      </w:r>
      <w:r>
        <w:rPr>
          <w:rFonts w:ascii="Aptos" w:eastAsia="Aptos" w:hAnsi="Aptos" w:cs="Aptos"/>
          <w:b/>
          <w:bCs/>
          <w:lang w:val="en-GB"/>
        </w:rPr>
        <w:t>.</w:t>
      </w:r>
    </w:p>
    <w:p w14:paraId="515189A6" w14:textId="77777777"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When blood sugar regulation fails, the body is unable to maintain normal levels of glucose in the bloodstream. This usually occurs because the pancreas does not produce enough insulin, the body cannot use insulin effectively (insulin resistance), or both. As a result, glucose accumulates in the blood instead of entering cells where it is needed for energy production (Tortora and Derrickson, 2021).</w:t>
      </w:r>
    </w:p>
    <w:p w14:paraId="65AE5C59" w14:textId="7CA17E23" w:rsidR="00F97B01" w:rsidRDefault="00F97B01" w:rsidP="002B1201">
      <w:pPr>
        <w:spacing w:before="240" w:after="240" w:line="276" w:lineRule="auto"/>
        <w:rPr>
          <w:rFonts w:ascii="Aptos" w:eastAsia="Aptos" w:hAnsi="Aptos" w:cs="Aptos"/>
        </w:rPr>
      </w:pPr>
      <w:r w:rsidRPr="00F97B01">
        <w:rPr>
          <w:rFonts w:ascii="Aptos" w:eastAsia="Aptos" w:hAnsi="Aptos" w:cs="Aptos"/>
        </w:rPr>
        <w:t>High blood glucose levels, known as hyperglycaemia, can develop. Because glucose cannot enter cells efficiently, the cells become deprived of energy, leading to symptoms such as fatigue, weakness, increased thirst, frequent urination, and increased hunger (polyphagia) (Marieb and Hoehn, 2019).</w:t>
      </w:r>
    </w:p>
    <w:p w14:paraId="79E112BF" w14:textId="77777777" w:rsidR="00F97B01" w:rsidRPr="00F97B01" w:rsidRDefault="00F97B01" w:rsidP="002B1201">
      <w:pPr>
        <w:spacing w:before="240" w:after="240" w:line="276" w:lineRule="auto"/>
        <w:rPr>
          <w:rFonts w:ascii="Aptos" w:eastAsia="Aptos" w:hAnsi="Aptos" w:cs="Aptos"/>
          <w:b/>
          <w:bCs/>
        </w:rPr>
      </w:pPr>
      <w:r w:rsidRPr="00F97B01">
        <w:rPr>
          <w:rFonts w:ascii="Aptos" w:eastAsia="Aptos" w:hAnsi="Aptos" w:cs="Aptos"/>
        </w:rPr>
        <w:t xml:space="preserve">Over time, persistently high blood glucose can damage blood vessels and nerves throughout the body. </w:t>
      </w:r>
      <w:r w:rsidRPr="00F97B01">
        <w:rPr>
          <w:rFonts w:ascii="Aptos" w:eastAsia="Aptos" w:hAnsi="Aptos" w:cs="Aptos"/>
          <w:b/>
          <w:bCs/>
        </w:rPr>
        <w:t>This increases the risk of serious complications, including:</w:t>
      </w:r>
    </w:p>
    <w:p w14:paraId="6FA9C55D" w14:textId="2D53C4AA"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Cardiovascular diseases, such as heart attacks and strokes.</w:t>
      </w:r>
    </w:p>
    <w:p w14:paraId="5F056D21" w14:textId="69AE09CB"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Kidney disease, which may lead to kidney failure.</w:t>
      </w:r>
    </w:p>
    <w:p w14:paraId="6E387E00" w14:textId="68DB7172"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Eye disease, which can cause visual impairment and blindness.</w:t>
      </w:r>
    </w:p>
    <w:p w14:paraId="0846BF3D" w14:textId="6B4028E4"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Nerve damage, resulting in pain, numbness, or loss of sensation, particularly in the feet.</w:t>
      </w:r>
    </w:p>
    <w:p w14:paraId="1D2336BE" w14:textId="77777777"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Poor wound healing, increasing the risk of infections and amputations (International Diabetes Federation, 2025).</w:t>
      </w:r>
    </w:p>
    <w:p w14:paraId="3CAE3EEE" w14:textId="41176B8A" w:rsidR="00F97B01" w:rsidRDefault="00F97B01" w:rsidP="00F97B01">
      <w:pPr>
        <w:spacing w:before="240" w:after="240" w:line="279" w:lineRule="auto"/>
        <w:rPr>
          <w:rFonts w:ascii="Aptos" w:eastAsia="Aptos" w:hAnsi="Aptos" w:cs="Aptos"/>
        </w:rPr>
      </w:pPr>
      <w:r w:rsidRPr="00F97B01">
        <w:rPr>
          <w:rFonts w:ascii="Aptos" w:eastAsia="Aptos" w:hAnsi="Aptos" w:cs="Aptos"/>
        </w:rPr>
        <w:t>In severe cases, very high blood glucose levels can lead to acute medical emergencies. People with Type 1 diabetes may develop diabetic ketoacidosis (DKA), while those with Type 2 diabetes may develop hyperosmolar hyperglycaemic state (HHS). Both conditions require urgent medical treatment (NICE, 2024).</w:t>
      </w:r>
    </w:p>
    <w:p w14:paraId="4C6E440E" w14:textId="60E2B9C0" w:rsidR="00F97B01" w:rsidRDefault="00F97B01" w:rsidP="00F97B01">
      <w:pPr>
        <w:spacing w:before="240" w:after="240" w:line="279" w:lineRule="auto"/>
        <w:rPr>
          <w:rFonts w:ascii="Aptos" w:eastAsia="Aptos" w:hAnsi="Aptos" w:cs="Aptos"/>
          <w:b/>
          <w:bCs/>
          <w:lang w:val="en-GB"/>
        </w:rPr>
      </w:pPr>
      <w:r w:rsidRPr="00F97B01">
        <w:rPr>
          <w:rFonts w:ascii="Aptos" w:eastAsia="Aptos" w:hAnsi="Aptos" w:cs="Aptos"/>
          <w:b/>
          <w:bCs/>
          <w:lang w:val="en-GB"/>
        </w:rPr>
        <w:t>How lifestyle factors (diet, smoking, exercise) affect glucose control</w:t>
      </w:r>
      <w:r>
        <w:rPr>
          <w:rFonts w:ascii="Aptos" w:eastAsia="Aptos" w:hAnsi="Aptos" w:cs="Aptos"/>
          <w:b/>
          <w:bCs/>
          <w:lang w:val="en-GB"/>
        </w:rPr>
        <w:t>:</w:t>
      </w:r>
    </w:p>
    <w:p w14:paraId="4922D35F" w14:textId="22101823"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Diet</w:t>
      </w:r>
    </w:p>
    <w:p w14:paraId="239F6914" w14:textId="07514303" w:rsidR="00F97B01" w:rsidRDefault="003B567B" w:rsidP="003B567B">
      <w:pPr>
        <w:spacing w:before="240" w:after="240" w:line="279" w:lineRule="auto"/>
        <w:rPr>
          <w:rFonts w:ascii="Aptos" w:eastAsia="Aptos" w:hAnsi="Aptos" w:cs="Aptos"/>
        </w:rPr>
      </w:pPr>
      <w:r w:rsidRPr="003B567B">
        <w:rPr>
          <w:rFonts w:ascii="Aptos" w:eastAsia="Aptos" w:hAnsi="Aptos" w:cs="Aptos"/>
        </w:rPr>
        <w:lastRenderedPageBreak/>
        <w:t>Diet has a direct impact on blood glucose levels. Consuming large amounts of foods high in refined sugars and saturated fats can contribute to weight gain and insulin resistance, making it more difficult for the body to control blood glucose. In contrast, a balanced diet rich in whole grains, fruits, vegetables, lean proteins, and fibre helps maintain stable blood sugar levels and improves insulin sensitivity (Diabetes UK, 2025).</w:t>
      </w:r>
    </w:p>
    <w:p w14:paraId="3BC7D501" w14:textId="77777777"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Smoking</w:t>
      </w:r>
    </w:p>
    <w:p w14:paraId="7C43495F"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Smoking negatively affects glucose control by increasing insulin resistance and reducing the body's ability to use insulin effectively. Smokers are at greater risk of developing Type 2 diabetes and are more likely to experience diabetes-related complications, including cardiovascular disease, stroke, and poor circulation (NHS, 2025).</w:t>
      </w:r>
    </w:p>
    <w:p w14:paraId="3C62C2B0"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Nicotine can interfere with insulin action, causing blood glucose levels to become more difficult to manage. Therefore, smoking cessation is strongly recommended for individuals with or at risk of diabetes (Diabetes UK, 2025).</w:t>
      </w:r>
    </w:p>
    <w:p w14:paraId="183AD02E" w14:textId="77777777"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Physical Activity and Exercise</w:t>
      </w:r>
    </w:p>
    <w:p w14:paraId="2351275D"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Regular physical activity helps lower blood glucose levels by increasing the body's sensitivity to insulin. During exercise, muscles use glucose for energy, reducing the amount of glucose circulating in the bloodstream. Exercise also helps maintain a healthy weight, improve cardiovascular health, and reduce insulin resistance (NICE, 2024).</w:t>
      </w:r>
    </w:p>
    <w:p w14:paraId="7B5FEC87"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Adults are generally encouraged to participate in regular moderate-intensity physical activity as part of diabetes prevention and management strategies (NHS, 2025).</w:t>
      </w:r>
    </w:p>
    <w:p w14:paraId="6326CAE0" w14:textId="1A5788C7" w:rsidR="003B567B" w:rsidRDefault="003B567B" w:rsidP="003B567B">
      <w:pPr>
        <w:pStyle w:val="Heading3"/>
        <w:spacing w:before="281" w:after="281"/>
        <w:rPr>
          <w:rFonts w:ascii="Aptos" w:eastAsia="Aptos" w:hAnsi="Aptos" w:cs="Aptos"/>
          <w:b/>
          <w:bCs/>
          <w:color w:val="auto"/>
          <w:lang w:val="en-GB"/>
        </w:rPr>
      </w:pPr>
      <w:r w:rsidRPr="3716E607">
        <w:rPr>
          <w:rFonts w:ascii="Aptos" w:eastAsia="Aptos" w:hAnsi="Aptos" w:cs="Aptos"/>
          <w:b/>
          <w:bCs/>
          <w:color w:val="auto"/>
          <w:lang w:val="en-GB"/>
        </w:rPr>
        <w:t>Monitoring &amp; Data Use</w:t>
      </w:r>
      <w:r>
        <w:rPr>
          <w:rFonts w:ascii="Aptos" w:eastAsia="Aptos" w:hAnsi="Aptos" w:cs="Aptos"/>
          <w:b/>
          <w:bCs/>
          <w:color w:val="auto"/>
          <w:lang w:val="en-GB"/>
        </w:rPr>
        <w:t>.</w:t>
      </w:r>
    </w:p>
    <w:p w14:paraId="63A2407F" w14:textId="77777777" w:rsidR="003B567B" w:rsidRPr="003B567B" w:rsidRDefault="003B567B" w:rsidP="003B567B">
      <w:pPr>
        <w:rPr>
          <w:lang w:val="en-GB"/>
        </w:rPr>
      </w:pPr>
      <w:r w:rsidRPr="003B567B">
        <w:rPr>
          <w:lang w:val="en-GB"/>
        </w:rPr>
        <w:t>Monitoring is an essential aspect of diabetes management as it enables healthcare professionals and patients to assess how effectively blood glucose levels are being controlled. Regular monitoring helps identify patterns in blood sugar fluctuations, evaluate the effectiveness of treatment plans, and reduce the risk of both short-term and long-term complications (NICE, 2024).</w:t>
      </w:r>
    </w:p>
    <w:p w14:paraId="6291408B" w14:textId="77777777" w:rsidR="003B567B" w:rsidRPr="003B567B" w:rsidRDefault="003B567B" w:rsidP="003B567B">
      <w:pPr>
        <w:rPr>
          <w:lang w:val="en-GB"/>
        </w:rPr>
      </w:pPr>
    </w:p>
    <w:p w14:paraId="796610B9" w14:textId="77777777" w:rsidR="003B567B" w:rsidRPr="003B567B" w:rsidRDefault="003B567B" w:rsidP="003B567B">
      <w:pPr>
        <w:rPr>
          <w:lang w:val="en-GB"/>
        </w:rPr>
      </w:pPr>
      <w:r w:rsidRPr="003B567B">
        <w:rPr>
          <w:lang w:val="en-GB"/>
        </w:rPr>
        <w:t xml:space="preserve">One of the primary methods of monitoring diabetes is blood glucose testing. Patients may use a blood glucose meter or continuous glucose monitoring (CGM) device to measure glucose levels throughout the day. These readings help determine whether blood glucose </w:t>
      </w:r>
      <w:r w:rsidRPr="003B567B">
        <w:rPr>
          <w:lang w:val="en-GB"/>
        </w:rPr>
        <w:lastRenderedPageBreak/>
        <w:t>levels are within the target range and allow adjustments to medication, diet, or physical activity when necessary (Diabetes UK, 2025).</w:t>
      </w:r>
    </w:p>
    <w:p w14:paraId="5B9C8F8D" w14:textId="77777777" w:rsidR="003B567B" w:rsidRPr="003B567B" w:rsidRDefault="003B567B" w:rsidP="003B567B">
      <w:pPr>
        <w:rPr>
          <w:lang w:val="en-GB"/>
        </w:rPr>
      </w:pPr>
    </w:p>
    <w:p w14:paraId="203C084A" w14:textId="77777777" w:rsidR="003B567B" w:rsidRPr="003B567B" w:rsidRDefault="003B567B" w:rsidP="003B567B">
      <w:pPr>
        <w:rPr>
          <w:lang w:val="en-GB"/>
        </w:rPr>
      </w:pPr>
      <w:r w:rsidRPr="003B567B">
        <w:rPr>
          <w:lang w:val="en-GB"/>
        </w:rPr>
        <w:t>Another important measure is the HbA1c test, which provides an average blood glucose level over the previous two to three months. HbA1c results help healthcare professionals assess long-term glucose control and identify individuals who may be at increased risk of diabetes-related complications such as cardiovascular disease, kidney disease, and diabetic retinopathy (NHS, 2025).</w:t>
      </w:r>
    </w:p>
    <w:p w14:paraId="3A16C039" w14:textId="77777777" w:rsidR="003B567B" w:rsidRPr="003B567B" w:rsidRDefault="003B567B" w:rsidP="003B567B">
      <w:pPr>
        <w:rPr>
          <w:lang w:val="en-GB"/>
        </w:rPr>
      </w:pPr>
    </w:p>
    <w:p w14:paraId="13E33D8C" w14:textId="15D90D2C" w:rsidR="003B567B" w:rsidRDefault="003B567B" w:rsidP="003B567B">
      <w:pPr>
        <w:rPr>
          <w:lang w:val="en-GB"/>
        </w:rPr>
      </w:pPr>
      <w:r w:rsidRPr="003B567B">
        <w:rPr>
          <w:lang w:val="en-GB"/>
        </w:rPr>
        <w:t>Healthcare professionals record monitoring data in patient health records to support care planning and decision-making. Trends in blood glucose levels, weight, blood pressure, cholesterol, and medication adherence can be analysed to evaluate progress and guide interventions. Accurate data collection also supports multidisciplinary team working and ensures continuity of care across healthcare settings (NICE, 2024).</w:t>
      </w:r>
    </w:p>
    <w:p w14:paraId="67F08CE8" w14:textId="6953C92B" w:rsidR="003B567B" w:rsidRDefault="003B567B" w:rsidP="003B567B">
      <w:pPr>
        <w:rPr>
          <w:lang w:val="en-GB"/>
        </w:rPr>
      </w:pPr>
      <w:r w:rsidRPr="003B567B">
        <w:rPr>
          <w:lang w:val="en-GB"/>
        </w:rPr>
        <w:t>Overall, effective monitoring and the appropriate use of health data are fundamental to diabetes management, enabling early intervention, improved treatment outcomes, and a reduction in diabetes-related complications.</w:t>
      </w:r>
    </w:p>
    <w:p w14:paraId="57366516" w14:textId="387B24B7" w:rsidR="003B567B" w:rsidRDefault="003B567B" w:rsidP="003B567B">
      <w:pPr>
        <w:rPr>
          <w:rFonts w:ascii="Aptos" w:eastAsia="Aptos" w:hAnsi="Aptos" w:cs="Aptos"/>
          <w:b/>
          <w:bCs/>
          <w:sz w:val="28"/>
          <w:szCs w:val="28"/>
          <w:lang w:val="en-GB"/>
        </w:rPr>
      </w:pPr>
      <w:r w:rsidRPr="3716E607">
        <w:rPr>
          <w:rFonts w:ascii="Aptos" w:eastAsia="Aptos" w:hAnsi="Aptos" w:cs="Aptos"/>
          <w:b/>
          <w:bCs/>
          <w:sz w:val="28"/>
          <w:szCs w:val="28"/>
          <w:lang w:val="en-GB"/>
        </w:rPr>
        <w:t>Evidence-Based Lifestyle Recommendations</w:t>
      </w:r>
      <w:r>
        <w:rPr>
          <w:rFonts w:ascii="Aptos" w:eastAsia="Aptos" w:hAnsi="Aptos" w:cs="Aptos"/>
          <w:b/>
          <w:bCs/>
          <w:sz w:val="28"/>
          <w:szCs w:val="28"/>
          <w:lang w:val="en-GB"/>
        </w:rPr>
        <w:t>.</w:t>
      </w:r>
    </w:p>
    <w:p w14:paraId="36A14CC2" w14:textId="77777777" w:rsidR="003B567B" w:rsidRPr="003B567B" w:rsidRDefault="003B567B" w:rsidP="003B567B">
      <w:pPr>
        <w:rPr>
          <w:lang w:val="en-GB"/>
        </w:rPr>
      </w:pPr>
      <w:r w:rsidRPr="003B567B">
        <w:rPr>
          <w:lang w:val="en-GB"/>
        </w:rPr>
        <w:t>For people with diabetes, making small and sustainable lifestyle changes can significantly improve blood glucose control and reduce the risk of long-term complications. Lifestyle modifications should be realistic, person-centred, and tailored to an individual's health needs and daily routine.</w:t>
      </w:r>
    </w:p>
    <w:p w14:paraId="650A87CA" w14:textId="77777777" w:rsidR="003B567B" w:rsidRPr="003B567B" w:rsidRDefault="003B567B" w:rsidP="003B567B">
      <w:pPr>
        <w:rPr>
          <w:lang w:val="en-GB"/>
        </w:rPr>
      </w:pPr>
    </w:p>
    <w:p w14:paraId="60083E00" w14:textId="77777777" w:rsidR="003B567B" w:rsidRPr="003B567B" w:rsidRDefault="003B567B" w:rsidP="003B567B">
      <w:pPr>
        <w:rPr>
          <w:lang w:val="en-GB"/>
        </w:rPr>
      </w:pPr>
      <w:r w:rsidRPr="003B567B">
        <w:rPr>
          <w:lang w:val="en-GB"/>
        </w:rPr>
        <w:t>One important change is adopting a healthier diet. Rather than following restrictive diets, individuals can gradually increase their intake of whole grains, vegetables, fruits, lean proteins, and high-fibre foods while reducing foods high in added sugars and saturated fats. Replacing white bread, rice, and pasta with wholegrain alternatives can help prevent rapid increases in blood glucose levels. Drinking water instead of sugary drinks is another simple but effective strategy (Diabetes UK, 2026).</w:t>
      </w:r>
    </w:p>
    <w:p w14:paraId="373F7C3D" w14:textId="77777777" w:rsidR="003B567B" w:rsidRPr="003B567B" w:rsidRDefault="003B567B" w:rsidP="003B567B">
      <w:pPr>
        <w:rPr>
          <w:lang w:val="en-GB"/>
        </w:rPr>
      </w:pPr>
    </w:p>
    <w:p w14:paraId="198DFBC4" w14:textId="77777777" w:rsidR="003B567B" w:rsidRPr="003B567B" w:rsidRDefault="003B567B" w:rsidP="003B567B">
      <w:pPr>
        <w:rPr>
          <w:lang w:val="en-GB"/>
        </w:rPr>
      </w:pPr>
      <w:r w:rsidRPr="003B567B">
        <w:rPr>
          <w:lang w:val="en-GB"/>
        </w:rPr>
        <w:t xml:space="preserve">Regular physical activity can also improve glucose control by increasing insulin sensitivity and helping the body use glucose more efficiently. Realistic goals may include brisk </w:t>
      </w:r>
      <w:r w:rsidRPr="003B567B">
        <w:rPr>
          <w:lang w:val="en-GB"/>
        </w:rPr>
        <w:lastRenderedPageBreak/>
        <w:t>walking for 30 minutes five days a week, gardening, cycling, or swimming. Exercise can also support weight management and improve cardiovascular health (NHS England, 2026).</w:t>
      </w:r>
    </w:p>
    <w:p w14:paraId="77004C3E" w14:textId="77777777" w:rsidR="003B567B" w:rsidRPr="003B567B" w:rsidRDefault="003B567B" w:rsidP="003B567B">
      <w:pPr>
        <w:rPr>
          <w:lang w:val="en-GB"/>
        </w:rPr>
      </w:pPr>
    </w:p>
    <w:p w14:paraId="6179CFA5" w14:textId="77777777" w:rsidR="003B567B" w:rsidRPr="003B567B" w:rsidRDefault="003B567B" w:rsidP="003B567B">
      <w:pPr>
        <w:rPr>
          <w:lang w:val="en-GB"/>
        </w:rPr>
      </w:pPr>
      <w:r w:rsidRPr="003B567B">
        <w:rPr>
          <w:lang w:val="en-GB"/>
        </w:rPr>
        <w:t>For individuals who are overweight, achieving modest weight loss can have a positive impact on blood sugar regulation. Even gradual reductions in weight can improve insulin effectiveness and lower the risk of Type 2 diabetes progression (NHS England, 2026).</w:t>
      </w:r>
    </w:p>
    <w:p w14:paraId="191FE727" w14:textId="77777777" w:rsidR="003B567B" w:rsidRPr="003B567B" w:rsidRDefault="003B567B" w:rsidP="003B567B">
      <w:pPr>
        <w:rPr>
          <w:lang w:val="en-GB"/>
        </w:rPr>
      </w:pPr>
    </w:p>
    <w:p w14:paraId="77F38075" w14:textId="77777777" w:rsidR="003B567B" w:rsidRPr="003B567B" w:rsidRDefault="003B567B" w:rsidP="003B567B">
      <w:pPr>
        <w:rPr>
          <w:lang w:val="en-GB"/>
        </w:rPr>
      </w:pPr>
      <w:r w:rsidRPr="003B567B">
        <w:rPr>
          <w:lang w:val="en-GB"/>
        </w:rPr>
        <w:t>Smoking cessation is strongly recommended because smoking increases insulin resistance and raises the risk of cardiovascular disease, which is already higher in people with diabetes. Healthcare professionals can provide support through smoking cessation services and nicotine replacement therapies (NHS, 2026).</w:t>
      </w:r>
    </w:p>
    <w:p w14:paraId="0DFAD4A6" w14:textId="51EE0D95" w:rsidR="003B567B" w:rsidRDefault="003B567B" w:rsidP="003B567B">
      <w:pPr>
        <w:rPr>
          <w:lang w:val="en-GB"/>
        </w:rPr>
      </w:pPr>
      <w:r>
        <w:rPr>
          <w:lang w:val="en-GB"/>
        </w:rPr>
        <w:t>A</w:t>
      </w:r>
      <w:r w:rsidRPr="003B567B">
        <w:rPr>
          <w:lang w:val="en-GB"/>
        </w:rPr>
        <w:t>ttending regular health reviews, taking medication as prescribed, monitoring blood glucose levels, and seeking support from healthcare professionals can help individuals successfully manage their condition and maintain healthy lifestyle habits (Diabetes UK, 2026)</w:t>
      </w:r>
      <w:r>
        <w:rPr>
          <w:lang w:val="en-GB"/>
        </w:rPr>
        <w:t>.</w:t>
      </w:r>
    </w:p>
    <w:p w14:paraId="096A8C9A" w14:textId="1E68161A" w:rsidR="003B567B" w:rsidRDefault="003B567B" w:rsidP="003B567B">
      <w:pPr>
        <w:spacing w:before="240" w:after="240" w:line="279" w:lineRule="auto"/>
        <w:rPr>
          <w:rFonts w:ascii="Aptos" w:eastAsia="Aptos" w:hAnsi="Aptos" w:cs="Aptos"/>
          <w:b/>
          <w:bCs/>
          <w:lang w:val="en-GB"/>
        </w:rPr>
      </w:pPr>
      <w:r w:rsidRPr="003B567B">
        <w:rPr>
          <w:rFonts w:ascii="Aptos" w:eastAsia="Aptos" w:hAnsi="Aptos" w:cs="Aptos"/>
          <w:b/>
          <w:bCs/>
          <w:lang w:val="en-GB"/>
        </w:rPr>
        <w:t>Explain how these changes improve physiological outcomes</w:t>
      </w:r>
      <w:r>
        <w:rPr>
          <w:rFonts w:ascii="Aptos" w:eastAsia="Aptos" w:hAnsi="Aptos" w:cs="Aptos"/>
          <w:b/>
          <w:bCs/>
          <w:lang w:val="en-GB"/>
        </w:rPr>
        <w:t>.</w:t>
      </w:r>
    </w:p>
    <w:p w14:paraId="308F08A0"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A healthy diet helps maintain stable blood glucose levels by reducing rapid increases in blood sugar after meals. Foods high in fibre, such as whole grains, fruits, and vegetables, slow the absorption of glucose into the bloodstream, reducing the demand for insulin. Maintaining a healthy weight through improved nutrition can also decrease insulin resistance, allowing cells to respond more effectively to insulin.</w:t>
      </w:r>
    </w:p>
    <w:p w14:paraId="7A4AA6AE" w14:textId="77777777" w:rsidR="003B567B" w:rsidRPr="003B567B" w:rsidRDefault="003B567B" w:rsidP="003B567B">
      <w:pPr>
        <w:spacing w:before="240" w:after="240" w:line="279" w:lineRule="auto"/>
        <w:rPr>
          <w:rFonts w:ascii="Aptos" w:eastAsia="Aptos" w:hAnsi="Aptos" w:cs="Aptos"/>
        </w:rPr>
      </w:pPr>
    </w:p>
    <w:p w14:paraId="1CE96922" w14:textId="22B5905E"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 xml:space="preserve">Regular physical </w:t>
      </w:r>
      <w:r w:rsidR="00910951" w:rsidRPr="00787535">
        <w:rPr>
          <w:rFonts w:ascii="Aptos" w:eastAsia="Aptos" w:hAnsi="Aptos" w:cs="Aptos"/>
          <w:b/>
          <w:bCs/>
        </w:rPr>
        <w:t>activity</w:t>
      </w:r>
      <w:r w:rsidR="00787535">
        <w:rPr>
          <w:rFonts w:ascii="Aptos" w:eastAsia="Aptos" w:hAnsi="Aptos" w:cs="Aptos"/>
        </w:rPr>
        <w:t xml:space="preserve"> </w:t>
      </w:r>
      <w:r w:rsidRPr="003B567B">
        <w:rPr>
          <w:rFonts w:ascii="Aptos" w:eastAsia="Aptos" w:hAnsi="Aptos" w:cs="Aptos"/>
        </w:rPr>
        <w:t xml:space="preserve"> improves glucose uptake by skeletal muscle cells. During exercise, muscles require more energy and therefore use more glucose from the bloodstream. Regular exercise also increases insulin sensitivity, meaning less insulin is needed to move glucose into cells. This helps lower blood glucose levels, supports weight management, improves cardiovascular function, and reduces blood pressure.</w:t>
      </w:r>
    </w:p>
    <w:p w14:paraId="41730402" w14:textId="77777777" w:rsidR="003B567B" w:rsidRPr="003B567B" w:rsidRDefault="003B567B" w:rsidP="003B567B">
      <w:pPr>
        <w:spacing w:before="240" w:after="240" w:line="279" w:lineRule="auto"/>
        <w:rPr>
          <w:rFonts w:ascii="Aptos" w:eastAsia="Aptos" w:hAnsi="Aptos" w:cs="Aptos"/>
        </w:rPr>
      </w:pPr>
    </w:p>
    <w:p w14:paraId="746DA594" w14:textId="77777777"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 xml:space="preserve">Weight </w:t>
      </w:r>
      <w:r w:rsidRPr="003B567B">
        <w:rPr>
          <w:rFonts w:ascii="Aptos" w:eastAsia="Aptos" w:hAnsi="Aptos" w:cs="Aptos"/>
        </w:rPr>
        <w:t xml:space="preserve">reduction can further improve metabolic function. Excess adipose (fat) tissue, especially around the abdomen, contributes to insulin resistance. Losing even a modest </w:t>
      </w:r>
      <w:r w:rsidRPr="003B567B">
        <w:rPr>
          <w:rFonts w:ascii="Aptos" w:eastAsia="Aptos" w:hAnsi="Aptos" w:cs="Aptos"/>
        </w:rPr>
        <w:lastRenderedPageBreak/>
        <w:t>amount of weight reduces this resistance, improving the body's ability to regulate blood glucose and lowering the risk of Type 2 diabetes progression.</w:t>
      </w:r>
    </w:p>
    <w:p w14:paraId="2D760B57" w14:textId="77777777" w:rsidR="003B567B" w:rsidRPr="003B567B" w:rsidRDefault="003B567B" w:rsidP="003B567B">
      <w:pPr>
        <w:spacing w:before="240" w:after="240" w:line="279" w:lineRule="auto"/>
        <w:rPr>
          <w:rFonts w:ascii="Aptos" w:eastAsia="Aptos" w:hAnsi="Aptos" w:cs="Aptos"/>
        </w:rPr>
      </w:pPr>
    </w:p>
    <w:p w14:paraId="249DC3BA" w14:textId="77777777"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Smoking</w:t>
      </w:r>
      <w:r w:rsidRPr="003B567B">
        <w:rPr>
          <w:rFonts w:ascii="Aptos" w:eastAsia="Aptos" w:hAnsi="Aptos" w:cs="Aptos"/>
        </w:rPr>
        <w:t xml:space="preserve"> cessation improves circulation and cardiovascular health. Smoking is associated with increased insulin resistance and damage to blood vessels. Quitting smoking can improve the body's response to insulin, reduce inflammation, and lower the risk of complications such as heart disease, stroke, peripheral vascular disease, and poor wound healing.</w:t>
      </w:r>
    </w:p>
    <w:p w14:paraId="536A761C" w14:textId="77777777" w:rsidR="003B567B" w:rsidRPr="003B567B" w:rsidRDefault="003B567B" w:rsidP="003B567B">
      <w:pPr>
        <w:spacing w:before="240" w:after="240" w:line="279" w:lineRule="auto"/>
        <w:rPr>
          <w:rFonts w:ascii="Aptos" w:eastAsia="Aptos" w:hAnsi="Aptos" w:cs="Aptos"/>
        </w:rPr>
      </w:pPr>
    </w:p>
    <w:p w14:paraId="0A093E8A" w14:textId="3641EB36" w:rsidR="003B567B" w:rsidRDefault="003B567B" w:rsidP="003B567B">
      <w:pPr>
        <w:spacing w:before="240" w:after="240" w:line="279" w:lineRule="auto"/>
        <w:rPr>
          <w:rFonts w:ascii="Aptos" w:eastAsia="Aptos" w:hAnsi="Aptos" w:cs="Aptos"/>
        </w:rPr>
      </w:pPr>
      <w:r w:rsidRPr="003B567B">
        <w:rPr>
          <w:rFonts w:ascii="Aptos" w:eastAsia="Aptos" w:hAnsi="Aptos" w:cs="Aptos"/>
        </w:rPr>
        <w:t>Collectively, these lifestyle changes improve physiological outcomes by promoting efficient glucose metabolism, reducing hyperglycaemia, enhancing cellular energy production (ATP synthesis), protecting blood vessels and organs from long-term damage, and improving overall health and wellbeing. As a result, individuals are less likely to develop complications such as diabetic nephropathy, neuropathy, retinopathy, and cardiovascular disease.</w:t>
      </w:r>
    </w:p>
    <w:p w14:paraId="24FD1E7B" w14:textId="369BF6A4" w:rsidR="003B567B" w:rsidRDefault="002B1201" w:rsidP="003B567B">
      <w:pPr>
        <w:spacing w:before="240" w:after="240" w:line="279" w:lineRule="auto"/>
        <w:rPr>
          <w:rFonts w:ascii="Aptos" w:eastAsia="Aptos" w:hAnsi="Aptos" w:cs="Aptos"/>
          <w:b/>
          <w:bCs/>
          <w:sz w:val="28"/>
          <w:szCs w:val="28"/>
          <w:lang w:val="en-GB"/>
        </w:rPr>
      </w:pPr>
      <w:r w:rsidRPr="3716E607">
        <w:rPr>
          <w:rFonts w:ascii="Aptos" w:eastAsia="Aptos" w:hAnsi="Aptos" w:cs="Aptos"/>
          <w:b/>
          <w:bCs/>
          <w:sz w:val="28"/>
          <w:szCs w:val="28"/>
          <w:lang w:val="en-GB"/>
        </w:rPr>
        <w:t>Conclusion</w:t>
      </w:r>
      <w:r>
        <w:rPr>
          <w:rFonts w:ascii="Aptos" w:eastAsia="Aptos" w:hAnsi="Aptos" w:cs="Aptos"/>
          <w:b/>
          <w:bCs/>
          <w:sz w:val="28"/>
          <w:szCs w:val="28"/>
          <w:lang w:val="en-GB"/>
        </w:rPr>
        <w:t>.</w:t>
      </w:r>
    </w:p>
    <w:p w14:paraId="1F9BEFC1" w14:textId="5868C571" w:rsidR="002B1201" w:rsidRPr="002B1201" w:rsidRDefault="00770DE9" w:rsidP="002B1201">
      <w:pPr>
        <w:spacing w:before="240" w:after="240" w:line="279" w:lineRule="auto"/>
        <w:rPr>
          <w:rFonts w:ascii="Aptos" w:eastAsia="Aptos" w:hAnsi="Aptos" w:cs="Aptos"/>
        </w:rPr>
      </w:pPr>
      <w:r w:rsidRPr="002B1201">
        <w:rPr>
          <w:rFonts w:ascii="Aptos" w:eastAsia="Aptos" w:hAnsi="Aptos" w:cs="Aptos"/>
        </w:rPr>
        <w:t>diabetes</w:t>
      </w:r>
      <w:r w:rsidR="002B1201" w:rsidRPr="002B1201">
        <w:rPr>
          <w:rFonts w:ascii="Aptos" w:eastAsia="Aptos" w:hAnsi="Aptos" w:cs="Aptos"/>
        </w:rPr>
        <w:t xml:space="preserve"> is a chronic condition that occurs when the body is unable to regulate blood glucose levels effectively because of insufficient insulin production, insulin resistance, or a combination of both. The pancreas plays a central role in glucose regulation by releasing insulin, which enables glucose to enter cells and be used for energy production. When glucose combines with oxygen during cellular respiration, ATP is produced, providing energy for normal body functions.</w:t>
      </w:r>
    </w:p>
    <w:p w14:paraId="3C497AFB" w14:textId="77777777" w:rsidR="002B1201" w:rsidRPr="002B1201" w:rsidRDefault="002B1201" w:rsidP="002B1201">
      <w:pPr>
        <w:spacing w:before="240" w:after="240" w:line="279" w:lineRule="auto"/>
        <w:rPr>
          <w:rFonts w:ascii="Aptos" w:eastAsia="Aptos" w:hAnsi="Aptos" w:cs="Aptos"/>
        </w:rPr>
      </w:pPr>
    </w:p>
    <w:p w14:paraId="69FFCE0A"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When blood sugar regulation fails, glucose accumulates in the bloodstream, resulting in hyperglycaemia. This can lead to symptoms such as excessive thirst, fatigue, frequent urination, and increased hunger. Over time, poorly controlled diabetes can damage blood vessels, nerves, kidneys, eyes, and the cardiovascular system.</w:t>
      </w:r>
    </w:p>
    <w:p w14:paraId="1454A0CA" w14:textId="5CFA8742" w:rsidR="002B1201" w:rsidRDefault="002B1201" w:rsidP="002B1201">
      <w:pPr>
        <w:spacing w:before="240" w:after="240" w:line="279" w:lineRule="auto"/>
        <w:rPr>
          <w:rFonts w:ascii="Aptos" w:eastAsia="Aptos" w:hAnsi="Aptos" w:cs="Aptos"/>
        </w:rPr>
      </w:pPr>
      <w:r w:rsidRPr="002B1201">
        <w:rPr>
          <w:rFonts w:ascii="Aptos" w:eastAsia="Aptos" w:hAnsi="Aptos" w:cs="Aptos"/>
        </w:rPr>
        <w:t>Lifestyle factors have a significant influence on glucose control. Diets high in sugar and saturated fats, smoking, physical inactivity, and obesity can increase insulin resistance and make blood glucose management more difficult. Conversely, healthy lifestyle choices can improve metabolic function and reduce the risk of complications.</w:t>
      </w:r>
    </w:p>
    <w:p w14:paraId="4133820B"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lastRenderedPageBreak/>
        <w:t>Regular monitoring of blood glucose levels and HbA1c provides important data for assessing diabetes management and guiding treatment decisions. Monitoring enables healthcare professionals and patients to identify patterns, evaluate interventions, and support long-term care planning.</w:t>
      </w:r>
    </w:p>
    <w:p w14:paraId="7010C97E" w14:textId="77777777" w:rsidR="002B1201" w:rsidRPr="002B1201" w:rsidRDefault="002B1201" w:rsidP="002B1201">
      <w:pPr>
        <w:spacing w:before="240" w:after="240" w:line="279" w:lineRule="auto"/>
        <w:rPr>
          <w:rFonts w:ascii="Aptos" w:eastAsia="Aptos" w:hAnsi="Aptos" w:cs="Aptos"/>
        </w:rPr>
      </w:pPr>
    </w:p>
    <w:p w14:paraId="4F0EDD62"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Realistic lifestyle changes such as adopting a balanced diet, increasing physical activity, stopping smoking, maintaining a healthy weight, and adhering to prescribed treatment can significantly improve physiological outcomes. These changes enhance insulin sensitivity, increase glucose uptake by cells, improve ATP production, reduce blood glucose levels, and lower the risk of long-term complications such as cardiovascular disease, neuropathy, nephropathy, and retinopathy.</w:t>
      </w:r>
    </w:p>
    <w:p w14:paraId="084FE720" w14:textId="77777777" w:rsidR="002B1201" w:rsidRPr="002B1201" w:rsidRDefault="002B1201" w:rsidP="002B1201">
      <w:pPr>
        <w:spacing w:before="240" w:after="240" w:line="279" w:lineRule="auto"/>
        <w:rPr>
          <w:rFonts w:ascii="Aptos" w:eastAsia="Aptos" w:hAnsi="Aptos" w:cs="Aptos"/>
        </w:rPr>
      </w:pPr>
    </w:p>
    <w:p w14:paraId="7C626706"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Overall, effective diabetes management requires a combination of ongoing monitoring, evidence-based lifestyle modifications, and person-centred care to promote optimal health outcomes and improve quality of life.</w:t>
      </w:r>
    </w:p>
    <w:p w14:paraId="76F4A095" w14:textId="77777777" w:rsidR="003B567B" w:rsidRPr="003B567B" w:rsidRDefault="003B567B" w:rsidP="003B567B">
      <w:pPr>
        <w:rPr>
          <w:lang w:val="en-GB"/>
        </w:rPr>
      </w:pPr>
    </w:p>
    <w:p w14:paraId="23DCE018" w14:textId="77777777" w:rsidR="003B567B" w:rsidRPr="00F97B01" w:rsidRDefault="003B567B" w:rsidP="003B567B">
      <w:pPr>
        <w:spacing w:before="240" w:after="240" w:line="279" w:lineRule="auto"/>
        <w:rPr>
          <w:rFonts w:ascii="Aptos" w:eastAsia="Aptos" w:hAnsi="Aptos" w:cs="Aptos"/>
        </w:rPr>
      </w:pPr>
    </w:p>
    <w:p w14:paraId="66A80995" w14:textId="77777777" w:rsidR="00F97B01" w:rsidRPr="00F97B01" w:rsidRDefault="00F97B01" w:rsidP="00F97B01">
      <w:pPr>
        <w:spacing w:before="240" w:after="240" w:line="279" w:lineRule="auto"/>
        <w:rPr>
          <w:rFonts w:ascii="Aptos" w:eastAsia="Aptos" w:hAnsi="Aptos" w:cs="Aptos"/>
        </w:rPr>
      </w:pPr>
    </w:p>
    <w:p w14:paraId="08373860" w14:textId="77777777" w:rsidR="00F97B01" w:rsidRPr="00F97B01" w:rsidRDefault="00F97B01" w:rsidP="00F97B01">
      <w:pPr>
        <w:spacing w:before="100" w:beforeAutospacing="1" w:after="100" w:afterAutospacing="1" w:line="300" w:lineRule="atLeast"/>
        <w:rPr>
          <w:rFonts w:ascii="Segoe UI" w:eastAsia="Times New Roman" w:hAnsi="Segoe UI" w:cs="Segoe UI"/>
          <w:kern w:val="0"/>
          <w:sz w:val="21"/>
          <w:szCs w:val="21"/>
          <w14:ligatures w14:val="none"/>
        </w:rPr>
      </w:pPr>
    </w:p>
    <w:p w14:paraId="3890BCF5" w14:textId="77777777" w:rsidR="00F97B01" w:rsidRPr="00F97B01" w:rsidRDefault="00F97B01" w:rsidP="00F97B01">
      <w:pPr>
        <w:pStyle w:val="ListParagraph"/>
        <w:spacing w:before="100" w:beforeAutospacing="1" w:after="100" w:afterAutospacing="1" w:line="300" w:lineRule="atLeast"/>
        <w:rPr>
          <w:rFonts w:ascii="Segoe UI" w:eastAsia="Times New Roman" w:hAnsi="Segoe UI" w:cs="Segoe UI"/>
          <w:kern w:val="0"/>
          <w:sz w:val="21"/>
          <w:szCs w:val="21"/>
          <w14:ligatures w14:val="none"/>
        </w:rPr>
      </w:pPr>
    </w:p>
    <w:p w14:paraId="16DDFF5B" w14:textId="77777777" w:rsidR="00F97B01" w:rsidRPr="00F97B01" w:rsidRDefault="00F97B01" w:rsidP="00F97B01">
      <w:pPr>
        <w:spacing w:before="240" w:after="240" w:line="279" w:lineRule="auto"/>
        <w:ind w:left="360"/>
        <w:rPr>
          <w:rFonts w:ascii="Aptos" w:eastAsia="Aptos" w:hAnsi="Aptos" w:cs="Aptos"/>
          <w:b/>
          <w:bCs/>
        </w:rPr>
      </w:pPr>
    </w:p>
    <w:p w14:paraId="796577C9" w14:textId="77777777" w:rsidR="00F97B01" w:rsidRDefault="00F97B01" w:rsidP="004F65AC">
      <w:pPr>
        <w:pStyle w:val="ListParagraph"/>
        <w:spacing w:before="240" w:after="240" w:line="279" w:lineRule="auto"/>
        <w:rPr>
          <w:rFonts w:ascii="Aptos" w:eastAsia="Aptos" w:hAnsi="Aptos" w:cs="Aptos"/>
        </w:rPr>
      </w:pPr>
    </w:p>
    <w:p w14:paraId="3192034D" w14:textId="38B9806F" w:rsidR="004F65AC" w:rsidRPr="004F65AC" w:rsidRDefault="004F65AC" w:rsidP="004F65AC">
      <w:pPr>
        <w:spacing w:before="240" w:after="240" w:line="279" w:lineRule="auto"/>
        <w:ind w:left="360"/>
        <w:rPr>
          <w:rFonts w:ascii="Aptos" w:eastAsia="Aptos" w:hAnsi="Aptos" w:cs="Aptos"/>
          <w:kern w:val="0"/>
          <w:lang w:val="en-GB" w:eastAsia="ja-JP"/>
          <w14:ligatures w14:val="none"/>
        </w:rPr>
      </w:pPr>
    </w:p>
    <w:p w14:paraId="46E2436F" w14:textId="49957A10" w:rsidR="004E5881" w:rsidRPr="004E5881" w:rsidRDefault="004E5881" w:rsidP="004E5881">
      <w:pPr>
        <w:ind w:left="720"/>
      </w:pPr>
    </w:p>
    <w:p w14:paraId="66437A5A" w14:textId="77777777" w:rsidR="0070648B" w:rsidRPr="00157DE0" w:rsidRDefault="0070648B" w:rsidP="0070648B"/>
    <w:p w14:paraId="6ABF2857" w14:textId="1156926E" w:rsidR="00157DE0" w:rsidRDefault="002B1201" w:rsidP="00157DE0">
      <w:r>
        <w:t xml:space="preserve">References List: </w:t>
      </w:r>
    </w:p>
    <w:p w14:paraId="536A8EE2"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lastRenderedPageBreak/>
        <w:t xml:space="preserve">Diabetes UK (2025) </w:t>
      </w:r>
      <w:r w:rsidRPr="002B1201">
        <w:rPr>
          <w:rFonts w:ascii="Segoe UI" w:eastAsia="Times New Roman" w:hAnsi="Segoe UI" w:cs="Segoe UI"/>
          <w:i/>
          <w:iCs/>
          <w:kern w:val="0"/>
          <w:sz w:val="21"/>
          <w:szCs w:val="21"/>
          <w14:ligatures w14:val="none"/>
        </w:rPr>
        <w:t>Type 2 diabetes: Causes and risk factors</w:t>
      </w:r>
      <w:r w:rsidRPr="002B1201">
        <w:rPr>
          <w:rFonts w:ascii="Segoe UI" w:eastAsia="Times New Roman" w:hAnsi="Segoe UI" w:cs="Segoe UI"/>
          <w:kern w:val="0"/>
          <w:sz w:val="21"/>
          <w:szCs w:val="21"/>
          <w14:ligatures w14:val="none"/>
        </w:rPr>
        <w:t>. Available at: https://www.diabetes.org.uk (Accessed: 20 October 2026).</w:t>
      </w:r>
    </w:p>
    <w:p w14:paraId="64E0C40A" w14:textId="7CB280A4"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International Diabetes Federation (2025) </w:t>
      </w:r>
      <w:r w:rsidRPr="002B1201">
        <w:rPr>
          <w:rFonts w:ascii="Segoe UI" w:eastAsia="Times New Roman" w:hAnsi="Segoe UI" w:cs="Segoe UI"/>
          <w:i/>
          <w:iCs/>
          <w:kern w:val="0"/>
          <w:sz w:val="21"/>
          <w:szCs w:val="21"/>
          <w14:ligatures w14:val="none"/>
        </w:rPr>
        <w:t>IDF Diabetes Atlas</w:t>
      </w:r>
      <w:r w:rsidRPr="002B1201">
        <w:rPr>
          <w:rFonts w:ascii="Segoe UI" w:eastAsia="Times New Roman" w:hAnsi="Segoe UI" w:cs="Segoe UI"/>
          <w:kern w:val="0"/>
          <w:sz w:val="21"/>
          <w:szCs w:val="21"/>
          <w14:ligatures w14:val="none"/>
        </w:rPr>
        <w:t>. 11th edn. Brussels: International Diabetes Federation.</w:t>
      </w:r>
    </w:p>
    <w:p w14:paraId="1DCDA3A7"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Marieb, E.N. and Hoehn, K. (2019) </w:t>
      </w:r>
      <w:r w:rsidRPr="002B1201">
        <w:rPr>
          <w:rFonts w:ascii="Segoe UI" w:eastAsia="Times New Roman" w:hAnsi="Segoe UI" w:cs="Segoe UI"/>
          <w:i/>
          <w:iCs/>
          <w:kern w:val="0"/>
          <w:sz w:val="21"/>
          <w:szCs w:val="21"/>
          <w14:ligatures w14:val="none"/>
        </w:rPr>
        <w:t>Human Anatomy &amp; Physiology</w:t>
      </w:r>
      <w:r w:rsidRPr="002B1201">
        <w:rPr>
          <w:rFonts w:ascii="Segoe UI" w:eastAsia="Times New Roman" w:hAnsi="Segoe UI" w:cs="Segoe UI"/>
          <w:kern w:val="0"/>
          <w:sz w:val="21"/>
          <w:szCs w:val="21"/>
          <w14:ligatures w14:val="none"/>
        </w:rPr>
        <w:t>. 11th edn. Harlow: Pearson Education.</w:t>
      </w:r>
    </w:p>
    <w:p w14:paraId="750C0658"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Tortora, G.J. and Derrickson, B.H. (2021) </w:t>
      </w:r>
      <w:r w:rsidRPr="002B1201">
        <w:rPr>
          <w:rFonts w:ascii="Segoe UI" w:eastAsia="Times New Roman" w:hAnsi="Segoe UI" w:cs="Segoe UI"/>
          <w:i/>
          <w:iCs/>
          <w:kern w:val="0"/>
          <w:sz w:val="21"/>
          <w:szCs w:val="21"/>
          <w14:ligatures w14:val="none"/>
        </w:rPr>
        <w:t>Principles of Anatomy and Physiology</w:t>
      </w:r>
      <w:r w:rsidRPr="002B1201">
        <w:rPr>
          <w:rFonts w:ascii="Segoe UI" w:eastAsia="Times New Roman" w:hAnsi="Segoe UI" w:cs="Segoe UI"/>
          <w:kern w:val="0"/>
          <w:sz w:val="21"/>
          <w:szCs w:val="21"/>
          <w14:ligatures w14:val="none"/>
        </w:rPr>
        <w:t>. 16th edn. Hoboken, NJ: John Wiley &amp; Sons.</w:t>
      </w:r>
    </w:p>
    <w:p w14:paraId="695C6583"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Widmaier, E.P., Raff, H. and Strang, K.T. (2019) </w:t>
      </w:r>
      <w:r w:rsidRPr="002B1201">
        <w:rPr>
          <w:rFonts w:ascii="Segoe UI" w:eastAsia="Times New Roman" w:hAnsi="Segoe UI" w:cs="Segoe UI"/>
          <w:i/>
          <w:iCs/>
          <w:kern w:val="0"/>
          <w:sz w:val="21"/>
          <w:szCs w:val="21"/>
          <w14:ligatures w14:val="none"/>
        </w:rPr>
        <w:t>Vander's Human Physiology: The Mechanisms of Body Function</w:t>
      </w:r>
      <w:r w:rsidRPr="002B1201">
        <w:rPr>
          <w:rFonts w:ascii="Segoe UI" w:eastAsia="Times New Roman" w:hAnsi="Segoe UI" w:cs="Segoe UI"/>
          <w:kern w:val="0"/>
          <w:sz w:val="21"/>
          <w:szCs w:val="21"/>
          <w14:ligatures w14:val="none"/>
        </w:rPr>
        <w:t>. 15th edn. New York: McGraw-Hill Education.</w:t>
      </w:r>
    </w:p>
    <w:p w14:paraId="213D461B"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Marieb, E.N. and Hoehn, K. (2019) </w:t>
      </w:r>
      <w:r w:rsidRPr="002B1201">
        <w:rPr>
          <w:rFonts w:ascii="Segoe UI" w:eastAsia="Times New Roman" w:hAnsi="Segoe UI" w:cs="Segoe UI"/>
          <w:i/>
          <w:iCs/>
          <w:kern w:val="0"/>
          <w:sz w:val="21"/>
          <w:szCs w:val="21"/>
          <w14:ligatures w14:val="none"/>
        </w:rPr>
        <w:t>Human Anatomy &amp; Physiology</w:t>
      </w:r>
      <w:r w:rsidRPr="002B1201">
        <w:rPr>
          <w:rFonts w:ascii="Segoe UI" w:eastAsia="Times New Roman" w:hAnsi="Segoe UI" w:cs="Segoe UI"/>
          <w:kern w:val="0"/>
          <w:sz w:val="21"/>
          <w:szCs w:val="21"/>
          <w14:ligatures w14:val="none"/>
        </w:rPr>
        <w:t>. 11th edn. Harlow: Pearson Education.</w:t>
      </w:r>
    </w:p>
    <w:p w14:paraId="46B73CA5"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Tortora, G.J. and Derrickson, B.H. (2021) </w:t>
      </w:r>
      <w:r w:rsidRPr="002B1201">
        <w:rPr>
          <w:rFonts w:ascii="Segoe UI" w:eastAsia="Times New Roman" w:hAnsi="Segoe UI" w:cs="Segoe UI"/>
          <w:i/>
          <w:iCs/>
          <w:kern w:val="0"/>
          <w:sz w:val="21"/>
          <w:szCs w:val="21"/>
          <w14:ligatures w14:val="none"/>
        </w:rPr>
        <w:t>Principles of Anatomy and Physiology</w:t>
      </w:r>
      <w:r w:rsidRPr="002B1201">
        <w:rPr>
          <w:rFonts w:ascii="Segoe UI" w:eastAsia="Times New Roman" w:hAnsi="Segoe UI" w:cs="Segoe UI"/>
          <w:kern w:val="0"/>
          <w:sz w:val="21"/>
          <w:szCs w:val="21"/>
          <w14:ligatures w14:val="none"/>
        </w:rPr>
        <w:t>. 16th edn. Hoboken, NJ: John Wiley &amp; Sons.</w:t>
      </w:r>
    </w:p>
    <w:p w14:paraId="68C74C17"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National Institute for Health and Care Excellence (NICE) (2024) </w:t>
      </w:r>
      <w:r w:rsidRPr="002B1201">
        <w:rPr>
          <w:rFonts w:ascii="Segoe UI" w:eastAsia="Times New Roman" w:hAnsi="Segoe UI" w:cs="Segoe UI"/>
          <w:i/>
          <w:iCs/>
          <w:kern w:val="0"/>
          <w:sz w:val="21"/>
          <w:szCs w:val="21"/>
          <w14:ligatures w14:val="none"/>
        </w:rPr>
        <w:t>Type 2 diabetes: prevention in people at high risk</w:t>
      </w:r>
      <w:r w:rsidRPr="002B1201">
        <w:rPr>
          <w:rFonts w:ascii="Segoe UI" w:eastAsia="Times New Roman" w:hAnsi="Segoe UI" w:cs="Segoe UI"/>
          <w:kern w:val="0"/>
          <w:sz w:val="21"/>
          <w:szCs w:val="21"/>
          <w14:ligatures w14:val="none"/>
        </w:rPr>
        <w:t>. London: NICE.</w:t>
      </w:r>
    </w:p>
    <w:p w14:paraId="40BF0A96"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NHS (2025) </w:t>
      </w:r>
      <w:r w:rsidRPr="002B1201">
        <w:rPr>
          <w:rFonts w:ascii="Segoe UI" w:eastAsia="Times New Roman" w:hAnsi="Segoe UI" w:cs="Segoe UI"/>
          <w:i/>
          <w:iCs/>
          <w:kern w:val="0"/>
          <w:sz w:val="21"/>
          <w:szCs w:val="21"/>
          <w14:ligatures w14:val="none"/>
        </w:rPr>
        <w:t>Type 2 diabetes - Prevention</w:t>
      </w:r>
      <w:r w:rsidRPr="002B1201">
        <w:rPr>
          <w:rFonts w:ascii="Segoe UI" w:eastAsia="Times New Roman" w:hAnsi="Segoe UI" w:cs="Segoe UI"/>
          <w:kern w:val="0"/>
          <w:sz w:val="21"/>
          <w:szCs w:val="21"/>
          <w14:ligatures w14:val="none"/>
        </w:rPr>
        <w:t>. Available at: https://www.nhs.uk/conditions/type-2-diabetes/ (Accessed: 20 October 2026).</w:t>
      </w:r>
    </w:p>
    <w:p w14:paraId="3F79426E" w14:textId="6F6E0C45" w:rsid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National Institute of Diabetes and Digestive and Kidney Diseases (NIDDK) (2024) </w:t>
      </w:r>
      <w:r w:rsidRPr="002B1201">
        <w:rPr>
          <w:rFonts w:ascii="Segoe UI" w:eastAsia="Times New Roman" w:hAnsi="Segoe UI" w:cs="Segoe UI"/>
          <w:i/>
          <w:iCs/>
          <w:kern w:val="0"/>
          <w:sz w:val="21"/>
          <w:szCs w:val="21"/>
          <w14:ligatures w14:val="none"/>
        </w:rPr>
        <w:t>Insulin, Medicines, &amp; Other Diabetes Treatments</w:t>
      </w:r>
      <w:r w:rsidRPr="002B1201">
        <w:rPr>
          <w:rFonts w:ascii="Segoe UI" w:eastAsia="Times New Roman" w:hAnsi="Segoe UI" w:cs="Segoe UI"/>
          <w:kern w:val="0"/>
          <w:sz w:val="21"/>
          <w:szCs w:val="21"/>
          <w14:ligatures w14:val="none"/>
        </w:rPr>
        <w:t>. Available at: https://www.niddk.nih.gov/health-information/diabetes (Accessed: 20 October 2026).</w:t>
      </w:r>
    </w:p>
    <w:p w14:paraId="1BE83B6C"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Diabetes UK (2026) </w:t>
      </w:r>
      <w:r w:rsidRPr="00773DED">
        <w:rPr>
          <w:rFonts w:ascii="Segoe UI" w:eastAsia="Times New Roman" w:hAnsi="Segoe UI" w:cs="Segoe UI"/>
          <w:i/>
          <w:iCs/>
          <w:kern w:val="0"/>
          <w:sz w:val="21"/>
          <w:szCs w:val="21"/>
          <w14:ligatures w14:val="none"/>
        </w:rPr>
        <w:t>Healthy eating tips for prediabetes and lowering type 2 risk</w:t>
      </w:r>
      <w:r w:rsidRPr="00773DED">
        <w:rPr>
          <w:rFonts w:ascii="Segoe UI" w:eastAsia="Times New Roman" w:hAnsi="Segoe UI" w:cs="Segoe UI"/>
          <w:kern w:val="0"/>
          <w:sz w:val="21"/>
          <w:szCs w:val="21"/>
          <w14:ligatures w14:val="none"/>
        </w:rPr>
        <w:t>. Available at: https://www.diabetes.org.uk (Accessed: 20 October 2026).</w:t>
      </w:r>
    </w:p>
    <w:p w14:paraId="373C6F28"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NHS England (2026) </w:t>
      </w:r>
      <w:r w:rsidRPr="00773DED">
        <w:rPr>
          <w:rFonts w:ascii="Segoe UI" w:eastAsia="Times New Roman" w:hAnsi="Segoe UI" w:cs="Segoe UI"/>
          <w:i/>
          <w:iCs/>
          <w:kern w:val="0"/>
          <w:sz w:val="21"/>
          <w:szCs w:val="21"/>
          <w14:ligatures w14:val="none"/>
        </w:rPr>
        <w:t>NHS Diabetes Prevention Programme (Healthier You)</w:t>
      </w:r>
      <w:r w:rsidRPr="00773DED">
        <w:rPr>
          <w:rFonts w:ascii="Segoe UI" w:eastAsia="Times New Roman" w:hAnsi="Segoe UI" w:cs="Segoe UI"/>
          <w:kern w:val="0"/>
          <w:sz w:val="21"/>
          <w:szCs w:val="21"/>
          <w14:ligatures w14:val="none"/>
        </w:rPr>
        <w:t>. Available at: https://www.england.nhs.uk/diabetes/diabetes-prevention/ (Accessed: 20 October 2026).</w:t>
      </w:r>
    </w:p>
    <w:p w14:paraId="248131F7"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NHS (2026) </w:t>
      </w:r>
      <w:r w:rsidRPr="00773DED">
        <w:rPr>
          <w:rFonts w:ascii="Segoe UI" w:eastAsia="Times New Roman" w:hAnsi="Segoe UI" w:cs="Segoe UI"/>
          <w:i/>
          <w:iCs/>
          <w:kern w:val="0"/>
          <w:sz w:val="21"/>
          <w:szCs w:val="21"/>
          <w14:ligatures w14:val="none"/>
        </w:rPr>
        <w:t>Healthy living</w:t>
      </w:r>
      <w:r w:rsidRPr="00773DED">
        <w:rPr>
          <w:rFonts w:ascii="Segoe UI" w:eastAsia="Times New Roman" w:hAnsi="Segoe UI" w:cs="Segoe UI"/>
          <w:kern w:val="0"/>
          <w:sz w:val="21"/>
          <w:szCs w:val="21"/>
          <w14:ligatures w14:val="none"/>
        </w:rPr>
        <w:t>. Available at: https://www.nhs.uk/live-well/ (Accessed: 20 October 2026).</w:t>
      </w:r>
    </w:p>
    <w:p w14:paraId="167802CA" w14:textId="42CAFB64" w:rsidR="002B1201" w:rsidRPr="002B1201" w:rsidRDefault="002B1201" w:rsidP="002B1201">
      <w:r w:rsidRPr="002B1201">
        <w:t xml:space="preserve">World Health Organization (WHO) (2023) </w:t>
      </w:r>
      <w:r w:rsidRPr="002B1201">
        <w:rPr>
          <w:i/>
          <w:iCs/>
        </w:rPr>
        <w:t>Diabetes</w:t>
      </w:r>
      <w:r w:rsidRPr="002B1201">
        <w:t>. Available at: https://www.who.int/news-room/fact-sheets/detail/diabetes (Accessed: 20 October 2026).</w:t>
      </w:r>
    </w:p>
    <w:p w14:paraId="41235073" w14:textId="77777777" w:rsidR="002B1201" w:rsidRDefault="002B1201" w:rsidP="00157DE0"/>
    <w:p w14:paraId="2F362AE8" w14:textId="77777777" w:rsidR="00157DE0" w:rsidRPr="00157DE0" w:rsidRDefault="00157DE0" w:rsidP="00157DE0"/>
    <w:p w14:paraId="58A08342" w14:textId="712E710F" w:rsidR="00157DE0" w:rsidRPr="00157DE0" w:rsidRDefault="00157DE0"/>
    <w:sectPr w:rsidR="00157DE0" w:rsidRPr="00157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C2451"/>
    <w:multiLevelType w:val="multilevel"/>
    <w:tmpl w:val="BB86B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B0BAB"/>
    <w:multiLevelType w:val="multilevel"/>
    <w:tmpl w:val="A784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D3911"/>
    <w:multiLevelType w:val="hybridMultilevel"/>
    <w:tmpl w:val="97AE7644"/>
    <w:lvl w:ilvl="0" w:tplc="8B4A1F54">
      <w:start w:val="1"/>
      <w:numFmt w:val="bullet"/>
      <w:lvlText w:val=""/>
      <w:lvlJc w:val="left"/>
      <w:pPr>
        <w:ind w:left="720" w:hanging="360"/>
      </w:pPr>
      <w:rPr>
        <w:rFonts w:ascii="Symbol" w:hAnsi="Symbol" w:hint="default"/>
      </w:rPr>
    </w:lvl>
    <w:lvl w:ilvl="1" w:tplc="1DACC8FC">
      <w:start w:val="1"/>
      <w:numFmt w:val="bullet"/>
      <w:lvlText w:val="o"/>
      <w:lvlJc w:val="left"/>
      <w:pPr>
        <w:ind w:left="1440" w:hanging="360"/>
      </w:pPr>
      <w:rPr>
        <w:rFonts w:ascii="Courier New" w:hAnsi="Courier New" w:hint="default"/>
      </w:rPr>
    </w:lvl>
    <w:lvl w:ilvl="2" w:tplc="FA542184">
      <w:start w:val="1"/>
      <w:numFmt w:val="bullet"/>
      <w:lvlText w:val=""/>
      <w:lvlJc w:val="left"/>
      <w:pPr>
        <w:ind w:left="2160" w:hanging="360"/>
      </w:pPr>
      <w:rPr>
        <w:rFonts w:ascii="Wingdings" w:hAnsi="Wingdings" w:hint="default"/>
      </w:rPr>
    </w:lvl>
    <w:lvl w:ilvl="3" w:tplc="3628E46E">
      <w:start w:val="1"/>
      <w:numFmt w:val="bullet"/>
      <w:lvlText w:val=""/>
      <w:lvlJc w:val="left"/>
      <w:pPr>
        <w:ind w:left="2880" w:hanging="360"/>
      </w:pPr>
      <w:rPr>
        <w:rFonts w:ascii="Symbol" w:hAnsi="Symbol" w:hint="default"/>
      </w:rPr>
    </w:lvl>
    <w:lvl w:ilvl="4" w:tplc="FD925EA8">
      <w:start w:val="1"/>
      <w:numFmt w:val="bullet"/>
      <w:lvlText w:val="o"/>
      <w:lvlJc w:val="left"/>
      <w:pPr>
        <w:ind w:left="3600" w:hanging="360"/>
      </w:pPr>
      <w:rPr>
        <w:rFonts w:ascii="Courier New" w:hAnsi="Courier New" w:hint="default"/>
      </w:rPr>
    </w:lvl>
    <w:lvl w:ilvl="5" w:tplc="E428668A">
      <w:start w:val="1"/>
      <w:numFmt w:val="bullet"/>
      <w:lvlText w:val=""/>
      <w:lvlJc w:val="left"/>
      <w:pPr>
        <w:ind w:left="4320" w:hanging="360"/>
      </w:pPr>
      <w:rPr>
        <w:rFonts w:ascii="Wingdings" w:hAnsi="Wingdings" w:hint="default"/>
      </w:rPr>
    </w:lvl>
    <w:lvl w:ilvl="6" w:tplc="4CACE480">
      <w:start w:val="1"/>
      <w:numFmt w:val="bullet"/>
      <w:lvlText w:val=""/>
      <w:lvlJc w:val="left"/>
      <w:pPr>
        <w:ind w:left="5040" w:hanging="360"/>
      </w:pPr>
      <w:rPr>
        <w:rFonts w:ascii="Symbol" w:hAnsi="Symbol" w:hint="default"/>
      </w:rPr>
    </w:lvl>
    <w:lvl w:ilvl="7" w:tplc="C1661BD0">
      <w:start w:val="1"/>
      <w:numFmt w:val="bullet"/>
      <w:lvlText w:val="o"/>
      <w:lvlJc w:val="left"/>
      <w:pPr>
        <w:ind w:left="5760" w:hanging="360"/>
      </w:pPr>
      <w:rPr>
        <w:rFonts w:ascii="Courier New" w:hAnsi="Courier New" w:hint="default"/>
      </w:rPr>
    </w:lvl>
    <w:lvl w:ilvl="8" w:tplc="48B6CF0E">
      <w:start w:val="1"/>
      <w:numFmt w:val="bullet"/>
      <w:lvlText w:val=""/>
      <w:lvlJc w:val="left"/>
      <w:pPr>
        <w:ind w:left="6480" w:hanging="360"/>
      </w:pPr>
      <w:rPr>
        <w:rFonts w:ascii="Wingdings" w:hAnsi="Wingdings" w:hint="default"/>
      </w:rPr>
    </w:lvl>
  </w:abstractNum>
  <w:abstractNum w:abstractNumId="3" w15:restartNumberingAfterBreak="0">
    <w:nsid w:val="62D74A9D"/>
    <w:multiLevelType w:val="hybridMultilevel"/>
    <w:tmpl w:val="A10CF370"/>
    <w:lvl w:ilvl="0" w:tplc="922C0794">
      <w:start w:val="1"/>
      <w:numFmt w:val="bullet"/>
      <w:lvlText w:val=""/>
      <w:lvlJc w:val="left"/>
      <w:pPr>
        <w:ind w:left="720" w:hanging="360"/>
      </w:pPr>
      <w:rPr>
        <w:rFonts w:ascii="Symbol" w:hAnsi="Symbol" w:hint="default"/>
      </w:rPr>
    </w:lvl>
    <w:lvl w:ilvl="1" w:tplc="2786B04C">
      <w:start w:val="1"/>
      <w:numFmt w:val="bullet"/>
      <w:lvlText w:val="o"/>
      <w:lvlJc w:val="left"/>
      <w:pPr>
        <w:ind w:left="1440" w:hanging="360"/>
      </w:pPr>
      <w:rPr>
        <w:rFonts w:ascii="Courier New" w:hAnsi="Courier New" w:hint="default"/>
      </w:rPr>
    </w:lvl>
    <w:lvl w:ilvl="2" w:tplc="C382DD4E">
      <w:start w:val="1"/>
      <w:numFmt w:val="bullet"/>
      <w:lvlText w:val=""/>
      <w:lvlJc w:val="left"/>
      <w:pPr>
        <w:ind w:left="2160" w:hanging="360"/>
      </w:pPr>
      <w:rPr>
        <w:rFonts w:ascii="Wingdings" w:hAnsi="Wingdings" w:hint="default"/>
      </w:rPr>
    </w:lvl>
    <w:lvl w:ilvl="3" w:tplc="7578E382">
      <w:start w:val="1"/>
      <w:numFmt w:val="bullet"/>
      <w:lvlText w:val=""/>
      <w:lvlJc w:val="left"/>
      <w:pPr>
        <w:ind w:left="2880" w:hanging="360"/>
      </w:pPr>
      <w:rPr>
        <w:rFonts w:ascii="Symbol" w:hAnsi="Symbol" w:hint="default"/>
      </w:rPr>
    </w:lvl>
    <w:lvl w:ilvl="4" w:tplc="A098617E">
      <w:start w:val="1"/>
      <w:numFmt w:val="bullet"/>
      <w:lvlText w:val="o"/>
      <w:lvlJc w:val="left"/>
      <w:pPr>
        <w:ind w:left="3600" w:hanging="360"/>
      </w:pPr>
      <w:rPr>
        <w:rFonts w:ascii="Courier New" w:hAnsi="Courier New" w:hint="default"/>
      </w:rPr>
    </w:lvl>
    <w:lvl w:ilvl="5" w:tplc="8D1A92E6">
      <w:start w:val="1"/>
      <w:numFmt w:val="bullet"/>
      <w:lvlText w:val=""/>
      <w:lvlJc w:val="left"/>
      <w:pPr>
        <w:ind w:left="4320" w:hanging="360"/>
      </w:pPr>
      <w:rPr>
        <w:rFonts w:ascii="Wingdings" w:hAnsi="Wingdings" w:hint="default"/>
      </w:rPr>
    </w:lvl>
    <w:lvl w:ilvl="6" w:tplc="1EFCFC02">
      <w:start w:val="1"/>
      <w:numFmt w:val="bullet"/>
      <w:lvlText w:val=""/>
      <w:lvlJc w:val="left"/>
      <w:pPr>
        <w:ind w:left="5040" w:hanging="360"/>
      </w:pPr>
      <w:rPr>
        <w:rFonts w:ascii="Symbol" w:hAnsi="Symbol" w:hint="default"/>
      </w:rPr>
    </w:lvl>
    <w:lvl w:ilvl="7" w:tplc="9BA80520">
      <w:start w:val="1"/>
      <w:numFmt w:val="bullet"/>
      <w:lvlText w:val="o"/>
      <w:lvlJc w:val="left"/>
      <w:pPr>
        <w:ind w:left="5760" w:hanging="360"/>
      </w:pPr>
      <w:rPr>
        <w:rFonts w:ascii="Courier New" w:hAnsi="Courier New" w:hint="default"/>
      </w:rPr>
    </w:lvl>
    <w:lvl w:ilvl="8" w:tplc="FF3432FE">
      <w:start w:val="1"/>
      <w:numFmt w:val="bullet"/>
      <w:lvlText w:val=""/>
      <w:lvlJc w:val="left"/>
      <w:pPr>
        <w:ind w:left="6480" w:hanging="360"/>
      </w:pPr>
      <w:rPr>
        <w:rFonts w:ascii="Wingdings" w:hAnsi="Wingdings" w:hint="default"/>
      </w:rPr>
    </w:lvl>
  </w:abstractNum>
  <w:abstractNum w:abstractNumId="4" w15:restartNumberingAfterBreak="0">
    <w:nsid w:val="69F7EE6B"/>
    <w:multiLevelType w:val="hybridMultilevel"/>
    <w:tmpl w:val="155CCBBC"/>
    <w:lvl w:ilvl="0" w:tplc="A03A7C84">
      <w:start w:val="1"/>
      <w:numFmt w:val="bullet"/>
      <w:lvlText w:val=""/>
      <w:lvlJc w:val="left"/>
      <w:pPr>
        <w:ind w:left="720" w:hanging="360"/>
      </w:pPr>
      <w:rPr>
        <w:rFonts w:ascii="Symbol" w:hAnsi="Symbol" w:hint="default"/>
      </w:rPr>
    </w:lvl>
    <w:lvl w:ilvl="1" w:tplc="59DA5288">
      <w:start w:val="1"/>
      <w:numFmt w:val="bullet"/>
      <w:lvlText w:val="o"/>
      <w:lvlJc w:val="left"/>
      <w:pPr>
        <w:ind w:left="1440" w:hanging="360"/>
      </w:pPr>
      <w:rPr>
        <w:rFonts w:ascii="Courier New" w:hAnsi="Courier New" w:hint="default"/>
      </w:rPr>
    </w:lvl>
    <w:lvl w:ilvl="2" w:tplc="C4325356">
      <w:start w:val="1"/>
      <w:numFmt w:val="bullet"/>
      <w:lvlText w:val=""/>
      <w:lvlJc w:val="left"/>
      <w:pPr>
        <w:ind w:left="2160" w:hanging="360"/>
      </w:pPr>
      <w:rPr>
        <w:rFonts w:ascii="Wingdings" w:hAnsi="Wingdings" w:hint="default"/>
      </w:rPr>
    </w:lvl>
    <w:lvl w:ilvl="3" w:tplc="7E34104A">
      <w:start w:val="1"/>
      <w:numFmt w:val="bullet"/>
      <w:lvlText w:val=""/>
      <w:lvlJc w:val="left"/>
      <w:pPr>
        <w:ind w:left="2880" w:hanging="360"/>
      </w:pPr>
      <w:rPr>
        <w:rFonts w:ascii="Symbol" w:hAnsi="Symbol" w:hint="default"/>
      </w:rPr>
    </w:lvl>
    <w:lvl w:ilvl="4" w:tplc="4F780662">
      <w:start w:val="1"/>
      <w:numFmt w:val="bullet"/>
      <w:lvlText w:val="o"/>
      <w:lvlJc w:val="left"/>
      <w:pPr>
        <w:ind w:left="3600" w:hanging="360"/>
      </w:pPr>
      <w:rPr>
        <w:rFonts w:ascii="Courier New" w:hAnsi="Courier New" w:hint="default"/>
      </w:rPr>
    </w:lvl>
    <w:lvl w:ilvl="5" w:tplc="2E6C433A">
      <w:start w:val="1"/>
      <w:numFmt w:val="bullet"/>
      <w:lvlText w:val=""/>
      <w:lvlJc w:val="left"/>
      <w:pPr>
        <w:ind w:left="4320" w:hanging="360"/>
      </w:pPr>
      <w:rPr>
        <w:rFonts w:ascii="Wingdings" w:hAnsi="Wingdings" w:hint="default"/>
      </w:rPr>
    </w:lvl>
    <w:lvl w:ilvl="6" w:tplc="5FA82100">
      <w:start w:val="1"/>
      <w:numFmt w:val="bullet"/>
      <w:lvlText w:val=""/>
      <w:lvlJc w:val="left"/>
      <w:pPr>
        <w:ind w:left="5040" w:hanging="360"/>
      </w:pPr>
      <w:rPr>
        <w:rFonts w:ascii="Symbol" w:hAnsi="Symbol" w:hint="default"/>
      </w:rPr>
    </w:lvl>
    <w:lvl w:ilvl="7" w:tplc="66B4735E">
      <w:start w:val="1"/>
      <w:numFmt w:val="bullet"/>
      <w:lvlText w:val="o"/>
      <w:lvlJc w:val="left"/>
      <w:pPr>
        <w:ind w:left="5760" w:hanging="360"/>
      </w:pPr>
      <w:rPr>
        <w:rFonts w:ascii="Courier New" w:hAnsi="Courier New" w:hint="default"/>
      </w:rPr>
    </w:lvl>
    <w:lvl w:ilvl="8" w:tplc="5C441670">
      <w:start w:val="1"/>
      <w:numFmt w:val="bullet"/>
      <w:lvlText w:val=""/>
      <w:lvlJc w:val="left"/>
      <w:pPr>
        <w:ind w:left="6480" w:hanging="360"/>
      </w:pPr>
      <w:rPr>
        <w:rFonts w:ascii="Wingdings" w:hAnsi="Wingdings" w:hint="default"/>
      </w:rPr>
    </w:lvl>
  </w:abstractNum>
  <w:abstractNum w:abstractNumId="5" w15:restartNumberingAfterBreak="0">
    <w:nsid w:val="6B2A6E6E"/>
    <w:multiLevelType w:val="multilevel"/>
    <w:tmpl w:val="842A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19D4E0"/>
    <w:multiLevelType w:val="hybridMultilevel"/>
    <w:tmpl w:val="8C6C8BB8"/>
    <w:lvl w:ilvl="0" w:tplc="80D6283E">
      <w:start w:val="1"/>
      <w:numFmt w:val="bullet"/>
      <w:lvlText w:val=""/>
      <w:lvlJc w:val="left"/>
      <w:pPr>
        <w:ind w:left="720" w:hanging="360"/>
      </w:pPr>
      <w:rPr>
        <w:rFonts w:ascii="Symbol" w:hAnsi="Symbol" w:hint="default"/>
      </w:rPr>
    </w:lvl>
    <w:lvl w:ilvl="1" w:tplc="5510B38A">
      <w:start w:val="1"/>
      <w:numFmt w:val="bullet"/>
      <w:lvlText w:val="o"/>
      <w:lvlJc w:val="left"/>
      <w:pPr>
        <w:ind w:left="1440" w:hanging="360"/>
      </w:pPr>
      <w:rPr>
        <w:rFonts w:ascii="Courier New" w:hAnsi="Courier New" w:hint="default"/>
      </w:rPr>
    </w:lvl>
    <w:lvl w:ilvl="2" w:tplc="4ACE3E2E">
      <w:start w:val="1"/>
      <w:numFmt w:val="bullet"/>
      <w:lvlText w:val=""/>
      <w:lvlJc w:val="left"/>
      <w:pPr>
        <w:ind w:left="2160" w:hanging="360"/>
      </w:pPr>
      <w:rPr>
        <w:rFonts w:ascii="Wingdings" w:hAnsi="Wingdings" w:hint="default"/>
      </w:rPr>
    </w:lvl>
    <w:lvl w:ilvl="3" w:tplc="D366991E">
      <w:start w:val="1"/>
      <w:numFmt w:val="bullet"/>
      <w:lvlText w:val=""/>
      <w:lvlJc w:val="left"/>
      <w:pPr>
        <w:ind w:left="2880" w:hanging="360"/>
      </w:pPr>
      <w:rPr>
        <w:rFonts w:ascii="Symbol" w:hAnsi="Symbol" w:hint="default"/>
      </w:rPr>
    </w:lvl>
    <w:lvl w:ilvl="4" w:tplc="803C26B8">
      <w:start w:val="1"/>
      <w:numFmt w:val="bullet"/>
      <w:lvlText w:val="o"/>
      <w:lvlJc w:val="left"/>
      <w:pPr>
        <w:ind w:left="3600" w:hanging="360"/>
      </w:pPr>
      <w:rPr>
        <w:rFonts w:ascii="Courier New" w:hAnsi="Courier New" w:hint="default"/>
      </w:rPr>
    </w:lvl>
    <w:lvl w:ilvl="5" w:tplc="B7326D56">
      <w:start w:val="1"/>
      <w:numFmt w:val="bullet"/>
      <w:lvlText w:val=""/>
      <w:lvlJc w:val="left"/>
      <w:pPr>
        <w:ind w:left="4320" w:hanging="360"/>
      </w:pPr>
      <w:rPr>
        <w:rFonts w:ascii="Wingdings" w:hAnsi="Wingdings" w:hint="default"/>
      </w:rPr>
    </w:lvl>
    <w:lvl w:ilvl="6" w:tplc="16AC4352">
      <w:start w:val="1"/>
      <w:numFmt w:val="bullet"/>
      <w:lvlText w:val=""/>
      <w:lvlJc w:val="left"/>
      <w:pPr>
        <w:ind w:left="5040" w:hanging="360"/>
      </w:pPr>
      <w:rPr>
        <w:rFonts w:ascii="Symbol" w:hAnsi="Symbol" w:hint="default"/>
      </w:rPr>
    </w:lvl>
    <w:lvl w:ilvl="7" w:tplc="FCD8764E">
      <w:start w:val="1"/>
      <w:numFmt w:val="bullet"/>
      <w:lvlText w:val="o"/>
      <w:lvlJc w:val="left"/>
      <w:pPr>
        <w:ind w:left="5760" w:hanging="360"/>
      </w:pPr>
      <w:rPr>
        <w:rFonts w:ascii="Courier New" w:hAnsi="Courier New" w:hint="default"/>
      </w:rPr>
    </w:lvl>
    <w:lvl w:ilvl="8" w:tplc="28162AA2">
      <w:start w:val="1"/>
      <w:numFmt w:val="bullet"/>
      <w:lvlText w:val=""/>
      <w:lvlJc w:val="left"/>
      <w:pPr>
        <w:ind w:left="6480" w:hanging="360"/>
      </w:pPr>
      <w:rPr>
        <w:rFonts w:ascii="Wingdings" w:hAnsi="Wingdings" w:hint="default"/>
      </w:rPr>
    </w:lvl>
  </w:abstractNum>
  <w:num w:numId="1" w16cid:durableId="943466423">
    <w:abstractNumId w:val="2"/>
  </w:num>
  <w:num w:numId="2" w16cid:durableId="1738674709">
    <w:abstractNumId w:val="0"/>
  </w:num>
  <w:num w:numId="3" w16cid:durableId="599146881">
    <w:abstractNumId w:val="1"/>
  </w:num>
  <w:num w:numId="4" w16cid:durableId="1364474511">
    <w:abstractNumId w:val="6"/>
  </w:num>
  <w:num w:numId="5" w16cid:durableId="356200102">
    <w:abstractNumId w:val="3"/>
  </w:num>
  <w:num w:numId="6" w16cid:durableId="323171264">
    <w:abstractNumId w:val="4"/>
  </w:num>
  <w:num w:numId="7" w16cid:durableId="1364121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DE0"/>
    <w:rsid w:val="00073EBA"/>
    <w:rsid w:val="00090AE2"/>
    <w:rsid w:val="00157DE0"/>
    <w:rsid w:val="00241172"/>
    <w:rsid w:val="00264B1B"/>
    <w:rsid w:val="002A4E3F"/>
    <w:rsid w:val="002B1201"/>
    <w:rsid w:val="00325EDE"/>
    <w:rsid w:val="003B567B"/>
    <w:rsid w:val="004E5881"/>
    <w:rsid w:val="004F65AC"/>
    <w:rsid w:val="00541DEA"/>
    <w:rsid w:val="00572CB2"/>
    <w:rsid w:val="005B4900"/>
    <w:rsid w:val="005E0373"/>
    <w:rsid w:val="006A619C"/>
    <w:rsid w:val="0070648B"/>
    <w:rsid w:val="00770DE9"/>
    <w:rsid w:val="00773DED"/>
    <w:rsid w:val="00787535"/>
    <w:rsid w:val="00910951"/>
    <w:rsid w:val="00AF6855"/>
    <w:rsid w:val="00C61625"/>
    <w:rsid w:val="00D8137F"/>
    <w:rsid w:val="00F720E9"/>
    <w:rsid w:val="00F9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19F"/>
  <w15:chartTrackingRefBased/>
  <w15:docId w15:val="{F27167E1-1213-4F04-96B0-CF13192D7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DE0"/>
  </w:style>
  <w:style w:type="paragraph" w:styleId="Heading1">
    <w:name w:val="heading 1"/>
    <w:basedOn w:val="Normal"/>
    <w:next w:val="Normal"/>
    <w:link w:val="Heading1Char"/>
    <w:uiPriority w:val="9"/>
    <w:qFormat/>
    <w:rsid w:val="00157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7D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D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D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D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D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D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D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7D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D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D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D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D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D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DE0"/>
    <w:rPr>
      <w:rFonts w:eastAsiaTheme="majorEastAsia" w:cstheme="majorBidi"/>
      <w:color w:val="272727" w:themeColor="text1" w:themeTint="D8"/>
    </w:rPr>
  </w:style>
  <w:style w:type="paragraph" w:styleId="Title">
    <w:name w:val="Title"/>
    <w:basedOn w:val="Normal"/>
    <w:next w:val="Normal"/>
    <w:link w:val="TitleChar"/>
    <w:uiPriority w:val="10"/>
    <w:qFormat/>
    <w:rsid w:val="00157D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D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DE0"/>
    <w:pPr>
      <w:spacing w:before="160"/>
      <w:jc w:val="center"/>
    </w:pPr>
    <w:rPr>
      <w:i/>
      <w:iCs/>
      <w:color w:val="404040" w:themeColor="text1" w:themeTint="BF"/>
    </w:rPr>
  </w:style>
  <w:style w:type="character" w:customStyle="1" w:styleId="QuoteChar">
    <w:name w:val="Quote Char"/>
    <w:basedOn w:val="DefaultParagraphFont"/>
    <w:link w:val="Quote"/>
    <w:uiPriority w:val="29"/>
    <w:rsid w:val="00157DE0"/>
    <w:rPr>
      <w:i/>
      <w:iCs/>
      <w:color w:val="404040" w:themeColor="text1" w:themeTint="BF"/>
    </w:rPr>
  </w:style>
  <w:style w:type="paragraph" w:styleId="ListParagraph">
    <w:name w:val="List Paragraph"/>
    <w:basedOn w:val="Normal"/>
    <w:uiPriority w:val="34"/>
    <w:qFormat/>
    <w:rsid w:val="00157DE0"/>
    <w:pPr>
      <w:ind w:left="720"/>
      <w:contextualSpacing/>
    </w:pPr>
  </w:style>
  <w:style w:type="character" w:styleId="IntenseEmphasis">
    <w:name w:val="Intense Emphasis"/>
    <w:basedOn w:val="DefaultParagraphFont"/>
    <w:uiPriority w:val="21"/>
    <w:qFormat/>
    <w:rsid w:val="00157DE0"/>
    <w:rPr>
      <w:i/>
      <w:iCs/>
      <w:color w:val="0F4761" w:themeColor="accent1" w:themeShade="BF"/>
    </w:rPr>
  </w:style>
  <w:style w:type="paragraph" w:styleId="IntenseQuote">
    <w:name w:val="Intense Quote"/>
    <w:basedOn w:val="Normal"/>
    <w:next w:val="Normal"/>
    <w:link w:val="IntenseQuoteChar"/>
    <w:uiPriority w:val="30"/>
    <w:qFormat/>
    <w:rsid w:val="00157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DE0"/>
    <w:rPr>
      <w:i/>
      <w:iCs/>
      <w:color w:val="0F4761" w:themeColor="accent1" w:themeShade="BF"/>
    </w:rPr>
  </w:style>
  <w:style w:type="character" w:styleId="IntenseReference">
    <w:name w:val="Intense Reference"/>
    <w:basedOn w:val="DefaultParagraphFont"/>
    <w:uiPriority w:val="32"/>
    <w:qFormat/>
    <w:rsid w:val="00157DE0"/>
    <w:rPr>
      <w:b/>
      <w:bCs/>
      <w:smallCaps/>
      <w:color w:val="0F4761" w:themeColor="accent1" w:themeShade="BF"/>
      <w:spacing w:val="5"/>
    </w:rPr>
  </w:style>
  <w:style w:type="paragraph" w:styleId="NormalWeb">
    <w:name w:val="Normal (Web)"/>
    <w:basedOn w:val="Normal"/>
    <w:uiPriority w:val="99"/>
    <w:semiHidden/>
    <w:unhideWhenUsed/>
    <w:rsid w:val="00157DE0"/>
    <w:rPr>
      <w:rFonts w:ascii="Times New Roman" w:hAnsi="Times New Roman" w:cs="Times New Roman"/>
    </w:rPr>
  </w:style>
  <w:style w:type="character" w:styleId="Strong">
    <w:name w:val="Strong"/>
    <w:basedOn w:val="DefaultParagraphFont"/>
    <w:uiPriority w:val="22"/>
    <w:qFormat/>
    <w:rsid w:val="00F97B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29B27B70-18AD-4062-B380-1B9479804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28CADE-5F14-4137-8FEE-7B311BEBB8D2}">
  <ds:schemaRefs>
    <ds:schemaRef ds:uri="http://schemas.microsoft.com/sharepoint/v3/contenttype/forms"/>
  </ds:schemaRefs>
</ds:datastoreItem>
</file>

<file path=customXml/itemProps3.xml><?xml version="1.0" encoding="utf-8"?>
<ds:datastoreItem xmlns:ds="http://schemas.openxmlformats.org/officeDocument/2006/customXml" ds:itemID="{AE1C0BA1-F95A-4D45-8F7C-E0578B8CB5B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10</Pages>
  <Words>2694</Words>
  <Characters>15360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15</cp:revision>
  <dcterms:created xsi:type="dcterms:W3CDTF">2026-10-20T11:46:00Z</dcterms:created>
  <dcterms:modified xsi:type="dcterms:W3CDTF">2026-10-25T08:39:00Z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