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00" w:lineRule="auto"/>
        <w:jc w:val="center"/>
        <w:rPr>
          <w:b w:val="1"/>
          <w:bCs w:val="1"/>
          <w:sz w:val="24"/>
          <w:szCs w:val="24"/>
        </w:rPr>
      </w:pPr>
      <w:r w:rsidDel="00000000" w:rsidR="00000000" w:rsidRPr="00000000">
        <w:rPr>
          <w:b w:val="1"/>
          <w:bCs w:val="1"/>
          <w:sz w:val="24"/>
          <w:szCs w:val="24"/>
          <w:rtl w:val="0"/>
        </w:rPr>
        <w:t xml:space="preserve">A Critical Comparison of Two Secondary Sources</w:t>
      </w:r>
    </w:p>
    <w:p w:rsidR="00000000" w:rsidDel="00000000" w:rsidP="00000000" w:rsidRDefault="00000000" w:rsidRPr="00000000" w14:paraId="00000002">
      <w:pPr>
        <w:spacing w:after="120" w:before="120" w:lineRule="auto"/>
        <w:jc w:val="center"/>
        <w:rPr>
          <w:b w:val="1"/>
          <w:bCs w:val="1"/>
          <w:sz w:val="24"/>
          <w:szCs w:val="24"/>
        </w:rPr>
      </w:pPr>
      <w:r w:rsidDel="00000000" w:rsidR="00000000" w:rsidRPr="00000000">
        <w:rPr>
          <w:rtl w:val="0"/>
        </w:rPr>
      </w:r>
    </w:p>
    <w:p w:rsidR="00000000" w:rsidDel="00000000" w:rsidP="00000000" w:rsidRDefault="00000000" w:rsidRPr="00000000" w14:paraId="00000003">
      <w:pPr>
        <w:spacing w:after="120" w:before="120" w:lineRule="auto"/>
        <w:rPr>
          <w:sz w:val="24"/>
          <w:szCs w:val="24"/>
        </w:rPr>
      </w:pPr>
      <w:r w:rsidDel="00000000" w:rsidR="00000000" w:rsidRPr="00000000">
        <w:rPr>
          <w:sz w:val="24"/>
          <w:szCs w:val="24"/>
          <w:rtl w:val="0"/>
        </w:rPr>
        <w:t xml:space="preserve">Brink addresses research formulations on the basis that core beliefs strive to be consistent.</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As a counterargument, Brink conducted a study hypothesizing that Catholic schoolgirls could fit within three beliefs: God, reincarnation, or astrology. Thus, their ideologies could be shown to be inconsistent, because the religious doctrine could not logically reflect any belief other than its dogma. His research was conducted with a fixed sample of 227 teenage working-class Italians and Poles within an American institution (Western), who were given a short closed-ended questionnaire during Religious Studies. Brink does not address their limitations or the possibility that his questions may create social desirability. However, Brink aims to examine inconsistencies in these beliefs within the context of religion, astrology, and reincarnation with quantifiable data. The results were calculated using basic frequency and percentage calculations rather than elaborate statistical analysis and presented in a clear-cut contingency table.</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w:t>
      </w:r>
    </w:p>
    <w:p w:rsidR="00000000" w:rsidDel="00000000" w:rsidP="00000000" w:rsidRDefault="00000000" w:rsidRPr="00000000" w14:paraId="00000004">
      <w:pPr>
        <w:spacing w:after="120" w:before="120" w:lineRule="auto"/>
        <w:rPr>
          <w:sz w:val="24"/>
          <w:szCs w:val="24"/>
        </w:rPr>
      </w:pPr>
      <w:r w:rsidDel="00000000" w:rsidR="00000000" w:rsidRPr="00000000">
        <w:rPr>
          <w:sz w:val="24"/>
          <w:szCs w:val="24"/>
          <w:rtl w:val="0"/>
        </w:rPr>
        <w:t xml:space="preserve">Brink’s study was informed by cognitive consistency theories, which posit that ideologies ought to align with contextual values, attitudes, and behaviours.</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This theoretical system interprets co-occurring beliefs as inconsistent or unreliable, rather than considering their experiential or symbolic significance. Belief is treated as a systematic set of logical propositions requiring coherence, rather than as fluid, contextual, or symbolically significant. Thus, the concept of ‘inconsistency’ may reflect the limitations of methodology choice rather than the nature of belief itself. This period was significant for Brink’s hypothesis, if Hively’s report on the period's scientific literacy decline suggests that shifts in epistemological frameworks may influence how belief is evaluated and understood. For example, economic issues that harm education funding affect everyone within that network, thereby transforming attitudes.</w:t>
      </w:r>
      <w:r w:rsidDel="00000000" w:rsidR="00000000" w:rsidRPr="00000000">
        <w:rPr>
          <w:sz w:val="24"/>
          <w:szCs w:val="24"/>
          <w:vertAlign w:val="superscript"/>
        </w:rPr>
        <w:footnoteReference w:customMarkFollows="0" w:id="3"/>
      </w:r>
      <w:r w:rsidDel="00000000" w:rsidR="00000000" w:rsidRPr="00000000">
        <w:rPr>
          <w:rtl w:val="0"/>
        </w:rPr>
      </w:r>
    </w:p>
    <w:p w:rsidR="00000000" w:rsidDel="00000000" w:rsidP="00000000" w:rsidRDefault="00000000" w:rsidRPr="00000000" w14:paraId="00000005">
      <w:pPr>
        <w:spacing w:after="120" w:before="120" w:lineRule="auto"/>
        <w:rPr>
          <w:sz w:val="24"/>
          <w:szCs w:val="24"/>
        </w:rPr>
      </w:pPr>
      <w:r w:rsidDel="00000000" w:rsidR="00000000" w:rsidRPr="00000000">
        <w:rPr>
          <w:sz w:val="24"/>
          <w:szCs w:val="24"/>
          <w:rtl w:val="0"/>
        </w:rPr>
        <w:t xml:space="preserve">Reliance on cognitive consistency theory demonstrates a more thorough trend in mid-20th-century psychology to prioritize logical coherence as a marker of rationality.</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In this approach, belief is expected to conform to stable, internally consistent structures, rather than being interpreted as fluid or situational. However, in practice, it is problematic when applied to direct encounters with belief systems, which are often shaped by symbolic meaning, cultural context, and personal experience. Therefore, what Brink identifies as inconsistency may instead represent the coexistence of multiple interpretive methods rather than a lack of rational coherence.</w:t>
      </w:r>
      <w:r w:rsidDel="00000000" w:rsidR="00000000" w:rsidRPr="00000000">
        <w:rPr>
          <w:sz w:val="24"/>
          <w:szCs w:val="24"/>
          <w:vertAlign w:val="superscript"/>
        </w:rPr>
        <w:footnoteReference w:customMarkFollows="0" w:id="5"/>
      </w:r>
      <w:r w:rsidDel="00000000" w:rsidR="00000000" w:rsidRPr="00000000">
        <w:rPr>
          <w:rtl w:val="0"/>
        </w:rPr>
      </w:r>
    </w:p>
    <w:p w:rsidR="00000000" w:rsidDel="00000000" w:rsidP="00000000" w:rsidRDefault="00000000" w:rsidRPr="00000000" w14:paraId="00000006">
      <w:pPr>
        <w:spacing w:after="120" w:before="120" w:lineRule="auto"/>
        <w:rPr>
          <w:sz w:val="24"/>
          <w:szCs w:val="24"/>
        </w:rPr>
      </w:pPr>
      <w:r w:rsidDel="00000000" w:rsidR="00000000" w:rsidRPr="00000000">
        <w:rPr>
          <w:sz w:val="24"/>
          <w:szCs w:val="24"/>
          <w:rtl w:val="0"/>
        </w:rPr>
        <w:t xml:space="preserve">In contrast, Blain’s study redirects focus from quantifying to prioritizing experiential research, meaning-making, and interpretation. </w:t>
      </w:r>
      <w:r w:rsidDel="00000000" w:rsidR="00000000" w:rsidRPr="00000000">
        <w:rPr>
          <w:i w:val="1"/>
          <w:iCs w:val="1"/>
          <w:sz w:val="24"/>
          <w:szCs w:val="24"/>
          <w:rtl w:val="0"/>
        </w:rPr>
        <w:t xml:space="preserve">Speaking Shamantically</w:t>
      </w:r>
      <w:r w:rsidDel="00000000" w:rsidR="00000000" w:rsidRPr="00000000">
        <w:rPr>
          <w:sz w:val="24"/>
          <w:szCs w:val="24"/>
          <w:rtl w:val="0"/>
        </w:rPr>
        <w:t xml:space="preserve"> is the basis for the experiential anthropology book </w:t>
      </w:r>
      <w:r w:rsidDel="00000000" w:rsidR="00000000" w:rsidRPr="00000000">
        <w:rPr>
          <w:i w:val="1"/>
          <w:iCs w:val="1"/>
          <w:sz w:val="24"/>
          <w:szCs w:val="24"/>
          <w:rtl w:val="0"/>
        </w:rPr>
        <w:t xml:space="preserve">Nine Worlds of Seid Magic</w:t>
      </w:r>
      <w:r w:rsidDel="00000000" w:rsidR="00000000" w:rsidRPr="00000000">
        <w:rPr>
          <w:sz w:val="24"/>
          <w:szCs w:val="24"/>
          <w:rtl w:val="0"/>
        </w:rPr>
        <w:t xml:space="preserve">, a logical and coherent text with contents and index pages for efficient referencing. Blain’s research reflects on the adoption or reinvention of </w:t>
      </w:r>
      <w:r w:rsidDel="00000000" w:rsidR="00000000" w:rsidRPr="00000000">
        <w:rPr>
          <w:i w:val="1"/>
          <w:iCs w:val="1"/>
          <w:sz w:val="24"/>
          <w:szCs w:val="24"/>
          <w:rtl w:val="0"/>
        </w:rPr>
        <w:t xml:space="preserve">seiðr</w:t>
      </w:r>
      <w:r w:rsidDel="00000000" w:rsidR="00000000" w:rsidRPr="00000000">
        <w:rPr>
          <w:sz w:val="24"/>
          <w:szCs w:val="24"/>
          <w:rtl w:val="0"/>
        </w:rPr>
        <w:t xml:space="preserve">: Shamanic and neo-Shamanic practices in Northern Europe and America.</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Blain uses qualitative data, which risks structure and resists classification like Brink’s reliable methodology. To preserve academic consideration, the approach aligns with Hennick, Hutter, and Bailey's suggestion of systematic fieldnotes to support analysis. As the work is reflective, memory should support the researcher’s interpretative experience rather than being relied upon solely.</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w:t>
      </w:r>
    </w:p>
    <w:p w:rsidR="00000000" w:rsidDel="00000000" w:rsidP="00000000" w:rsidRDefault="00000000" w:rsidRPr="00000000" w14:paraId="00000007">
      <w:pPr>
        <w:spacing w:after="120" w:before="120" w:lineRule="auto"/>
        <w:rPr>
          <w:sz w:val="24"/>
          <w:szCs w:val="24"/>
        </w:rPr>
      </w:pPr>
      <w:r w:rsidDel="00000000" w:rsidR="00000000" w:rsidRPr="00000000">
        <w:rPr>
          <w:sz w:val="24"/>
          <w:szCs w:val="24"/>
          <w:rtl w:val="0"/>
        </w:rPr>
        <w:t xml:space="preserve">Blain’s study rejects the principle of fixed beliefs by examining how individuals construct and negotiate their cosmologies through language, practice, and experience, as demonstrated in </w:t>
      </w:r>
      <w:r w:rsidDel="00000000" w:rsidR="00000000" w:rsidRPr="00000000">
        <w:rPr>
          <w:i w:val="1"/>
          <w:iCs w:val="1"/>
          <w:sz w:val="24"/>
          <w:szCs w:val="24"/>
          <w:rtl w:val="0"/>
        </w:rPr>
        <w:t xml:space="preserve">Speaking Shamantically </w:t>
      </w:r>
      <w:r w:rsidDel="00000000" w:rsidR="00000000" w:rsidRPr="00000000">
        <w:rPr>
          <w:sz w:val="24"/>
          <w:szCs w:val="24"/>
          <w:rtl w:val="0"/>
        </w:rPr>
        <w:t xml:space="preserve">with </w:t>
      </w:r>
      <w:r w:rsidDel="00000000" w:rsidR="00000000" w:rsidRPr="00000000">
        <w:rPr>
          <w:i w:val="1"/>
          <w:iCs w:val="1"/>
          <w:sz w:val="24"/>
          <w:szCs w:val="24"/>
          <w:rtl w:val="0"/>
        </w:rPr>
        <w:t xml:space="preserve">seiðr </w:t>
      </w:r>
      <w:r w:rsidDel="00000000" w:rsidR="00000000" w:rsidRPr="00000000">
        <w:rPr>
          <w:sz w:val="24"/>
          <w:szCs w:val="24"/>
          <w:rtl w:val="0"/>
        </w:rPr>
        <w:t xml:space="preserve">practitioners. Blain’s participation is an integral part of this study; the depth of shared events and discussion was key to grasping cultural customs within a specific cultural framework. As a consequence, reflexivity becomes a core consideration.</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Blain’s positioning as a modern practitioner and researcher heightened awareness of outdated ethnographic assumptions like ‘gone native’, aiming to expose recurring negative assumptions and their social repercussions, including politically charged threats. The ethnographic approach includes meta-description from seidworkers like Winnifred and Jordsvin and etic language like ‘heathen’ to underpin objectivity in an hands-on approach relying on reflective methodology. Blain emphasises that, in the researcher's positioning, no described experience will be universal. Moreover, seidworkers each hold individual beliefs which may prove challenging to accurately record in cultural immersion lacking inherent bias.</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Frequent references to academia, including Dowson’s ‘Shamanphobia’ and Newman’s work on neurological phenomena such as sound stimulation and body posture, support Blain’s ‘insider’ and ‘outsider’ issues and understanding of Shamanism belief practices.</w:t>
      </w:r>
      <w:r w:rsidDel="00000000" w:rsidR="00000000" w:rsidRPr="00000000">
        <w:rPr>
          <w:sz w:val="24"/>
          <w:szCs w:val="24"/>
          <w:vertAlign w:val="superscript"/>
        </w:rPr>
        <w:footnoteReference w:customMarkFollows="0" w:id="10"/>
      </w:r>
      <w:r w:rsidDel="00000000" w:rsidR="00000000" w:rsidRPr="00000000">
        <w:rPr>
          <w:rtl w:val="0"/>
        </w:rPr>
      </w:r>
    </w:p>
    <w:p w:rsidR="00000000" w:rsidDel="00000000" w:rsidP="00000000" w:rsidRDefault="00000000" w:rsidRPr="00000000" w14:paraId="00000008">
      <w:pPr>
        <w:spacing w:after="120" w:before="120" w:lineRule="auto"/>
        <w:rPr>
          <w:sz w:val="24"/>
          <w:szCs w:val="24"/>
        </w:rPr>
      </w:pPr>
      <w:r w:rsidDel="00000000" w:rsidR="00000000" w:rsidRPr="00000000">
        <w:rPr>
          <w:sz w:val="24"/>
          <w:szCs w:val="24"/>
          <w:rtl w:val="0"/>
        </w:rPr>
        <w:t xml:space="preserve">In Blain’s case, behaviour is data that is valid to reflect upon without a definitive hypothesis to confirm. Yamane addresses experience as data and the construction of meaning in post hoc interpretation, so the experience alone is not the data; rather, it is the interpreter's meaning attached to it.</w:t>
      </w:r>
      <w:r w:rsidDel="00000000" w:rsidR="00000000" w:rsidRPr="00000000">
        <w:rPr>
          <w:sz w:val="24"/>
          <w:szCs w:val="24"/>
          <w:vertAlign w:val="superscript"/>
        </w:rPr>
        <w:footnoteReference w:customMarkFollows="0" w:id="11"/>
      </w:r>
      <w:r w:rsidDel="00000000" w:rsidR="00000000" w:rsidRPr="00000000">
        <w:rPr>
          <w:sz w:val="24"/>
          <w:szCs w:val="24"/>
          <w:rtl w:val="0"/>
        </w:rPr>
        <w:t xml:space="preserve"> Although Brink’s study is not qualitative, Yamane’s argument suggests that </w:t>
      </w:r>
      <w:r w:rsidDel="00000000" w:rsidR="00000000" w:rsidRPr="00000000">
        <w:rPr>
          <w:sz w:val="24"/>
          <w:szCs w:val="24"/>
          <w:rtl w:val="0"/>
        </w:rPr>
        <w:t xml:space="preserve">indoctrin</w:t>
      </w:r>
      <w:r w:rsidDel="00000000" w:rsidR="00000000" w:rsidRPr="00000000">
        <w:rPr>
          <w:sz w:val="24"/>
          <w:szCs w:val="24"/>
          <w:rtl w:val="0"/>
        </w:rPr>
        <w:t xml:space="preserve">ating influences intrinsically affect outcomes through personal interpretation, after the fact. Thus, positive and negative experiences would yield contrasting data within a fixed belief system, reinforcing belief in God or leading to disillusionment. Because this cannot be reliably measured, nor was it a consideration that could reinforce inconsistencies, it did, just not how Brink hypothesized. The data illustrated that a belief in one, did not guarantee a rejection of conflicting ideologies.</w:t>
      </w:r>
      <w:r w:rsidDel="00000000" w:rsidR="00000000" w:rsidRPr="00000000">
        <w:rPr>
          <w:sz w:val="24"/>
          <w:szCs w:val="24"/>
          <w:vertAlign w:val="superscript"/>
        </w:rPr>
        <w:footnoteReference w:customMarkFollows="0" w:id="12"/>
      </w:r>
      <w:r w:rsidDel="00000000" w:rsidR="00000000" w:rsidRPr="00000000">
        <w:rPr>
          <w:sz w:val="24"/>
          <w:szCs w:val="24"/>
          <w:rtl w:val="0"/>
        </w:rPr>
        <w:t xml:space="preserve"> While Brink’s methodology delivers efficiency and clarity using structured data collection, it restricts the capacity to capture ambiguity, contradiction, and symbolic value within belief systems, limiting space for creativity. </w:t>
      </w:r>
    </w:p>
    <w:p w:rsidR="00000000" w:rsidDel="00000000" w:rsidP="00000000" w:rsidRDefault="00000000" w:rsidRPr="00000000" w14:paraId="00000009">
      <w:pPr>
        <w:spacing w:after="120" w:before="120" w:lineRule="auto"/>
        <w:rPr>
          <w:sz w:val="24"/>
          <w:szCs w:val="24"/>
        </w:rPr>
      </w:pPr>
      <w:r w:rsidDel="00000000" w:rsidR="00000000" w:rsidRPr="00000000">
        <w:rPr>
          <w:sz w:val="24"/>
          <w:szCs w:val="24"/>
          <w:rtl w:val="0"/>
        </w:rPr>
        <w:t xml:space="preserve">In contrast, Blain’s approach allows belief to remain significant and complex, unresolved, within the participant’s own methods, without imposing coherence as external criteria. The study emphasises that internal belief systems influence external practice, thereby creating a risk to community as a repercussion. Blain’s approach accepts that individuals can maintain contradictory ideas without interference of conflicting perception. This indicates that belief operates not as a logical system but as an open, often transformative process that develops knowledge through context. Ambiguity and contradiction are thus central features of how belief is constructed and understood. </w:t>
      </w:r>
      <w:r w:rsidDel="00000000" w:rsidR="00000000" w:rsidRPr="00000000">
        <w:rPr>
          <w:i w:val="1"/>
          <w:iCs w:val="1"/>
          <w:sz w:val="24"/>
          <w:szCs w:val="24"/>
          <w:rtl w:val="0"/>
        </w:rPr>
        <w:t xml:space="preserve">Speaking Shamantically</w:t>
      </w:r>
      <w:r w:rsidDel="00000000" w:rsidR="00000000" w:rsidRPr="00000000">
        <w:rPr>
          <w:sz w:val="24"/>
          <w:szCs w:val="24"/>
          <w:rtl w:val="0"/>
        </w:rPr>
        <w:t xml:space="preserve"> provides insight into Blain’s methodological choices, shaped by experience and supported by Goulet’s observation of contrary emic beliefs in which shock and disbelief at shamantic practices occur. Blain admits to a past reliance on interview techniques to create impressionistic accounts, in an attempt to minimise over-involvement.</w:t>
      </w:r>
      <w:r w:rsidDel="00000000" w:rsidR="00000000" w:rsidRPr="00000000">
        <w:rPr>
          <w:sz w:val="24"/>
          <w:szCs w:val="24"/>
          <w:vertAlign w:val="superscript"/>
        </w:rPr>
        <w:footnoteReference w:customMarkFollows="0" w:id="13"/>
      </w:r>
      <w:r w:rsidDel="00000000" w:rsidR="00000000" w:rsidRPr="00000000">
        <w:rPr>
          <w:sz w:val="24"/>
          <w:szCs w:val="24"/>
          <w:rtl w:val="0"/>
        </w:rPr>
        <w:t xml:space="preserve"> Afterall, this behaviour may lose focus on recording accuracy, forgetting pertinent details and misremembering events.</w:t>
      </w:r>
    </w:p>
    <w:p w:rsidR="00000000" w:rsidDel="00000000" w:rsidP="00000000" w:rsidRDefault="00000000" w:rsidRPr="00000000" w14:paraId="0000000A">
      <w:pPr>
        <w:spacing w:after="120" w:before="120" w:lineRule="auto"/>
        <w:rPr>
          <w:sz w:val="24"/>
          <w:szCs w:val="24"/>
        </w:rPr>
      </w:pPr>
      <w:r w:rsidDel="00000000" w:rsidR="00000000" w:rsidRPr="00000000">
        <w:rPr>
          <w:sz w:val="24"/>
          <w:szCs w:val="24"/>
          <w:rtl w:val="0"/>
        </w:rPr>
        <w:t xml:space="preserve">Advanced quantitative methods, such as Krause and Ellison’s longitudinal study of religious doubt, can identify transitional trends but remain inflexible in recording the lived meaning of belief.</w:t>
      </w:r>
      <w:r w:rsidDel="00000000" w:rsidR="00000000" w:rsidRPr="00000000">
        <w:rPr>
          <w:sz w:val="24"/>
          <w:szCs w:val="24"/>
          <w:vertAlign w:val="superscript"/>
        </w:rPr>
        <w:footnoteReference w:customMarkFollows="0" w:id="14"/>
      </w:r>
      <w:r w:rsidDel="00000000" w:rsidR="00000000" w:rsidRPr="00000000">
        <w:rPr>
          <w:sz w:val="24"/>
          <w:szCs w:val="24"/>
          <w:rtl w:val="0"/>
        </w:rPr>
        <w:t xml:space="preserve"> While longitudinal analysis improves validity by revealing relationships and developments, it still operates within externally defined variables and frameworks. Thus, quantitative research offers validity through measurement, structure, and comparability, but does not necessarily provide insight into how belief is experienced, interpreted, or integrated alongside personal cosmologies.</w:t>
      </w:r>
    </w:p>
    <w:p w:rsidR="00000000" w:rsidDel="00000000" w:rsidP="00000000" w:rsidRDefault="00000000" w:rsidRPr="00000000" w14:paraId="0000000B">
      <w:pPr>
        <w:spacing w:after="120" w:before="120" w:lineRule="auto"/>
        <w:rPr>
          <w:sz w:val="24"/>
          <w:szCs w:val="24"/>
        </w:rPr>
      </w:pPr>
      <w:r w:rsidDel="00000000" w:rsidR="00000000" w:rsidRPr="00000000">
        <w:rPr>
          <w:sz w:val="24"/>
          <w:szCs w:val="24"/>
          <w:rtl w:val="0"/>
        </w:rPr>
        <w:t xml:space="preserve">Blain’s work demonstrates a high degree of reflexivity, consistent with Haynes’ argument that researchers actively participate in the construction of knowledge rather than serving as neutral observers.</w:t>
      </w:r>
      <w:r w:rsidDel="00000000" w:rsidR="00000000" w:rsidRPr="00000000">
        <w:rPr>
          <w:sz w:val="24"/>
          <w:szCs w:val="24"/>
          <w:vertAlign w:val="superscript"/>
        </w:rPr>
        <w:footnoteReference w:customMarkFollows="0" w:id="15"/>
      </w:r>
      <w:r w:rsidDel="00000000" w:rsidR="00000000" w:rsidRPr="00000000">
        <w:rPr>
          <w:sz w:val="24"/>
          <w:szCs w:val="24"/>
          <w:rtl w:val="0"/>
        </w:rPr>
        <w:t xml:space="preserve"> By admitting the dual position of researcher and practitioner, Blain stresses its influence on interpretation and refrains from presenting an objective or impartial perspective; instead, the approach engages with positionality and prioritises participants’ multivocal accounts over external theoretical structures, such as Eliade’s concept of spiritual ‘control.’ The reflexive approach offers a more nuanced understanding of belief by recognizing that interpretation is always situated through a specific lens.</w:t>
      </w:r>
      <w:r w:rsidDel="00000000" w:rsidR="00000000" w:rsidRPr="00000000">
        <w:rPr>
          <w:sz w:val="24"/>
          <w:szCs w:val="24"/>
          <w:vertAlign w:val="superscript"/>
        </w:rPr>
        <w:footnoteReference w:customMarkFollows="0" w:id="16"/>
      </w:r>
      <w:r w:rsidDel="00000000" w:rsidR="00000000" w:rsidRPr="00000000">
        <w:rPr>
          <w:rtl w:val="0"/>
        </w:rPr>
      </w:r>
    </w:p>
    <w:p w:rsidR="00000000" w:rsidDel="00000000" w:rsidP="00000000" w:rsidRDefault="00000000" w:rsidRPr="00000000" w14:paraId="0000000C">
      <w:pPr>
        <w:spacing w:after="120" w:before="120" w:lineRule="auto"/>
        <w:rPr>
          <w:sz w:val="24"/>
          <w:szCs w:val="24"/>
        </w:rPr>
      </w:pPr>
      <w:r w:rsidDel="00000000" w:rsidR="00000000" w:rsidRPr="00000000">
        <w:rPr>
          <w:sz w:val="24"/>
          <w:szCs w:val="24"/>
          <w:rtl w:val="0"/>
        </w:rPr>
        <w:t xml:space="preserve">Acker suggests that if the tension between emic and etic perspectives in research cannot be resolved, balancing both may be more productive.</w:t>
      </w:r>
      <w:r w:rsidDel="00000000" w:rsidR="00000000" w:rsidRPr="00000000">
        <w:rPr>
          <w:sz w:val="24"/>
          <w:szCs w:val="24"/>
          <w:vertAlign w:val="superscript"/>
        </w:rPr>
        <w:footnoteReference w:customMarkFollows="0" w:id="17"/>
      </w:r>
      <w:r w:rsidDel="00000000" w:rsidR="00000000" w:rsidRPr="00000000">
        <w:rPr>
          <w:sz w:val="24"/>
          <w:szCs w:val="24"/>
          <w:rtl w:val="0"/>
        </w:rPr>
        <w:t xml:space="preserve"> Blain’s approach embodies this objective through engaging with participants’ perspectives from within whilst maintaining analytical distance. In contrast, Brink’s framework stays strictly etic, imposing external categories without considering participants’ interpretations of their beliefs. Although Brink later acknowledges better practice through a polymethodic approach, in which qualitative methods generate hypotheses and quantitative methods provide measurable data.</w:t>
      </w:r>
      <w:r w:rsidDel="00000000" w:rsidR="00000000" w:rsidRPr="00000000">
        <w:rPr>
          <w:sz w:val="24"/>
          <w:szCs w:val="24"/>
          <w:vertAlign w:val="superscript"/>
        </w:rPr>
        <w:footnoteReference w:customMarkFollows="0" w:id="18"/>
      </w:r>
      <w:r w:rsidDel="00000000" w:rsidR="00000000" w:rsidRPr="00000000">
        <w:rPr>
          <w:sz w:val="24"/>
          <w:szCs w:val="24"/>
          <w:rtl w:val="0"/>
        </w:rPr>
        <w:t xml:space="preserve"> The study ultimately prioritises categorization and evaluation over interpretation. Therefore, classifying belief as inconsistent may reflect methodological choices rather than a core feature of belief systems.</w:t>
      </w:r>
    </w:p>
    <w:p w:rsidR="00000000" w:rsidDel="00000000" w:rsidP="00000000" w:rsidRDefault="00000000" w:rsidRPr="00000000" w14:paraId="0000000D">
      <w:pPr>
        <w:spacing w:after="120" w:before="120" w:lineRule="auto"/>
        <w:rPr>
          <w:sz w:val="24"/>
          <w:szCs w:val="24"/>
        </w:rPr>
      </w:pPr>
      <w:r w:rsidDel="00000000" w:rsidR="00000000" w:rsidRPr="00000000">
        <w:rPr>
          <w:sz w:val="24"/>
          <w:szCs w:val="24"/>
          <w:rtl w:val="0"/>
        </w:rPr>
        <w:t xml:space="preserve">From a phenomenological perspective, as outlined by Moran, Brink and Blain’s methodologies differ distinctly.</w:t>
      </w:r>
      <w:r w:rsidDel="00000000" w:rsidR="00000000" w:rsidRPr="00000000">
        <w:rPr>
          <w:sz w:val="24"/>
          <w:szCs w:val="24"/>
          <w:vertAlign w:val="superscript"/>
        </w:rPr>
        <w:footnoteReference w:customMarkFollows="0" w:id="19"/>
      </w:r>
      <w:r w:rsidDel="00000000" w:rsidR="00000000" w:rsidRPr="00000000">
        <w:rPr>
          <w:sz w:val="24"/>
          <w:szCs w:val="24"/>
          <w:rtl w:val="0"/>
        </w:rPr>
        <w:t xml:space="preserve"> Brink’s study engages minimally with lived experience, preferring quantifiable classification over interpretation and treating belief as an observable variable. In contrast, Blain’s methodology seeks to understand belief from the participant’s perspective, valuing human internal nuances. It also emphasises how subjective experiences contribute to the construction of knowledge, and how statistical coherence fails to capture the fluid, multidimensional nature of these variables. </w:t>
      </w:r>
    </w:p>
    <w:p w:rsidR="00000000" w:rsidDel="00000000" w:rsidP="00000000" w:rsidRDefault="00000000" w:rsidRPr="00000000" w14:paraId="0000000E">
      <w:pPr>
        <w:spacing w:after="120" w:before="120" w:lineRule="auto"/>
        <w:rPr>
          <w:sz w:val="24"/>
          <w:szCs w:val="24"/>
        </w:rPr>
      </w:pPr>
      <w:r w:rsidDel="00000000" w:rsidR="00000000" w:rsidRPr="00000000">
        <w:rPr>
          <w:sz w:val="24"/>
          <w:szCs w:val="24"/>
          <w:rtl w:val="0"/>
        </w:rPr>
        <w:t xml:space="preserve">Phenomenological approaches challenge the assumption that empirical observation alone is sufficient to understand belief. Instead, they focus on the imperative of the meanings individuals assign to their experiences, acknowledging that these meanings may not correspond with externally imposed categories.</w:t>
      </w:r>
      <w:r w:rsidDel="00000000" w:rsidR="00000000" w:rsidRPr="00000000">
        <w:rPr>
          <w:sz w:val="24"/>
          <w:szCs w:val="24"/>
          <w:vertAlign w:val="superscript"/>
        </w:rPr>
        <w:footnoteReference w:customMarkFollows="0" w:id="20"/>
      </w:r>
      <w:r w:rsidDel="00000000" w:rsidR="00000000" w:rsidRPr="00000000">
        <w:rPr>
          <w:sz w:val="24"/>
          <w:szCs w:val="24"/>
          <w:rtl w:val="0"/>
        </w:rPr>
        <w:t xml:space="preserve"> This further emphasizes the limitations of approaches that give priority to classification over interpretation, as they run the risk of overlooking the internal coherence present within participants’ own frameworks of understanding.</w:t>
      </w:r>
    </w:p>
    <w:p w:rsidR="00000000" w:rsidDel="00000000" w:rsidP="00000000" w:rsidRDefault="00000000" w:rsidRPr="00000000" w14:paraId="0000000F">
      <w:pPr>
        <w:spacing w:after="120" w:before="120" w:lineRule="auto"/>
        <w:rPr>
          <w:sz w:val="24"/>
          <w:szCs w:val="24"/>
        </w:rPr>
      </w:pPr>
      <w:r w:rsidDel="00000000" w:rsidR="00000000" w:rsidRPr="00000000">
        <w:rPr>
          <w:sz w:val="24"/>
          <w:szCs w:val="24"/>
          <w:rtl w:val="0"/>
        </w:rPr>
        <w:t xml:space="preserve">Ethical considerations further strengthen this methodological contrast. A joint approach, as discussed by Court and Abbas, expands ethical responsibility by positioning participants as active contributors to knowledge production rather than passive subjects.</w:t>
      </w:r>
      <w:r w:rsidDel="00000000" w:rsidR="00000000" w:rsidRPr="00000000">
        <w:rPr>
          <w:sz w:val="24"/>
          <w:szCs w:val="24"/>
          <w:vertAlign w:val="superscript"/>
        </w:rPr>
        <w:footnoteReference w:customMarkFollows="0" w:id="21"/>
      </w:r>
      <w:r w:rsidDel="00000000" w:rsidR="00000000" w:rsidRPr="00000000">
        <w:rPr>
          <w:sz w:val="24"/>
          <w:szCs w:val="24"/>
          <w:rtl w:val="0"/>
        </w:rPr>
        <w:t xml:space="preserve"> This methodology requires continuous consent, meticulous awareness of representation, and negotiation of relational dynamics. Adler and Adler similarly claim that meaning-making necessitates more than observation, emphasizing interpretive engagement with participants’ lived realities.</w:t>
      </w:r>
      <w:r w:rsidDel="00000000" w:rsidR="00000000" w:rsidRPr="00000000">
        <w:rPr>
          <w:sz w:val="24"/>
          <w:szCs w:val="24"/>
          <w:vertAlign w:val="superscript"/>
        </w:rPr>
        <w:footnoteReference w:customMarkFollows="0" w:id="22"/>
      </w:r>
      <w:r w:rsidDel="00000000" w:rsidR="00000000" w:rsidRPr="00000000">
        <w:rPr>
          <w:sz w:val="24"/>
          <w:szCs w:val="24"/>
          <w:rtl w:val="0"/>
        </w:rPr>
        <w:t xml:space="preserve"> Blain’s methodology reflects this ethical stance through engaging with participants’ outlooks and admitting the co-constructed nature of knowledge. In contrast, Brink’s methodology is limited to superficial description, with minimal engagement in participants’ perspectives or interpretive depth, thereby reducing participants to data points within a predefined framework. However, it creates more risk of hidden bias due to limited reflexivity and minimal ethical engagement by contemporary standards.</w:t>
      </w:r>
      <w:r w:rsidDel="00000000" w:rsidR="00000000" w:rsidRPr="00000000">
        <w:rPr>
          <w:sz w:val="24"/>
          <w:szCs w:val="24"/>
          <w:vertAlign w:val="superscript"/>
        </w:rPr>
        <w:footnoteReference w:customMarkFollows="0" w:id="23"/>
      </w:r>
      <w:r w:rsidDel="00000000" w:rsidR="00000000" w:rsidRPr="00000000">
        <w:rPr>
          <w:sz w:val="24"/>
          <w:szCs w:val="24"/>
          <w:rtl w:val="0"/>
        </w:rPr>
        <w:t xml:space="preserve"> Blain’s interpretive approach is less coherent, which offers greater cognitive depth, albeit with its own theoretical assumptions. </w:t>
      </w:r>
    </w:p>
    <w:p w:rsidR="00000000" w:rsidDel="00000000" w:rsidP="00000000" w:rsidRDefault="00000000" w:rsidRPr="00000000" w14:paraId="00000010">
      <w:pPr>
        <w:spacing w:after="120" w:before="120" w:lineRule="auto"/>
        <w:rPr>
          <w:sz w:val="24"/>
          <w:szCs w:val="24"/>
        </w:rPr>
      </w:pPr>
      <w:r w:rsidDel="00000000" w:rsidR="00000000" w:rsidRPr="00000000">
        <w:rPr>
          <w:sz w:val="24"/>
          <w:szCs w:val="24"/>
          <w:rtl w:val="0"/>
        </w:rPr>
        <w:t xml:space="preserve">A collaborative and interpretive approach signifies an increasing recognition that research is not a neutral process but one that involves social complexities. Blain’s approach to ethical issues regarding how participants are represented in research was to position her as an experiencer before a researcher to respect authenticity in the moment. Approaches that fail to engage with participants’ perspectives risk minimizing complex belief systems to simplified classification, whereas reflexive and synergistic methodologies seek to preserve the integrity and nuance of experiences. Brink’s research took place in a controlled environment, assuming that students’ personal beliefs reflected the school’s ethos, prompting ethical concerns about the extent of voluntary participation. Therefore, students' answers may not accurately reflect their personal beliefs.</w:t>
      </w:r>
    </w:p>
    <w:p w:rsidR="00000000" w:rsidDel="00000000" w:rsidP="00000000" w:rsidRDefault="00000000" w:rsidRPr="00000000" w14:paraId="00000011">
      <w:pPr>
        <w:spacing w:after="120" w:before="120" w:lineRule="auto"/>
        <w:rPr>
          <w:sz w:val="24"/>
          <w:szCs w:val="24"/>
        </w:rPr>
      </w:pPr>
      <w:r w:rsidDel="00000000" w:rsidR="00000000" w:rsidRPr="00000000">
        <w:rPr>
          <w:sz w:val="24"/>
          <w:szCs w:val="24"/>
          <w:rtl w:val="0"/>
        </w:rPr>
        <w:t xml:space="preserve">However, as Brink’s hypothesis was not confirmed and prompted further inquiry, perhaps it did reflect the effect counter-culture had on young Americans. As stated previously, Hively illustrated a decline in scientific literacy, which can validate Brink’s draw on Bellah and Wuthnow’s suggestions on the counter-culture’s influence on traditionalist America. New-age practices such as astrology may have contributed to the fragmentation of American culture.</w:t>
      </w:r>
      <w:r w:rsidDel="00000000" w:rsidR="00000000" w:rsidRPr="00000000">
        <w:rPr>
          <w:sz w:val="24"/>
          <w:szCs w:val="24"/>
          <w:vertAlign w:val="superscript"/>
        </w:rPr>
        <w:footnoteReference w:customMarkFollows="0" w:id="24"/>
      </w:r>
      <w:r w:rsidDel="00000000" w:rsidR="00000000" w:rsidRPr="00000000">
        <w:rPr>
          <w:sz w:val="24"/>
          <w:szCs w:val="24"/>
          <w:rtl w:val="0"/>
        </w:rPr>
        <w:t xml:space="preserve"> Similar results were found on Thai religion, a confusing developmental stage of American adolescence which may have led to lower values, confirming that Catholicism was their chosen religion.</w:t>
      </w:r>
      <w:r w:rsidDel="00000000" w:rsidR="00000000" w:rsidRPr="00000000">
        <w:rPr>
          <w:sz w:val="24"/>
          <w:szCs w:val="24"/>
          <w:vertAlign w:val="superscript"/>
        </w:rPr>
        <w:footnoteReference w:customMarkFollows="0" w:id="25"/>
      </w:r>
      <w:r w:rsidDel="00000000" w:rsidR="00000000" w:rsidRPr="00000000">
        <w:rPr>
          <w:sz w:val="24"/>
          <w:szCs w:val="24"/>
          <w:rtl w:val="0"/>
        </w:rPr>
        <w:t xml:space="preserve"> Brink also draws on earlier literature to suggest that the data may reflect current attitudes: religious studies focusing on self-development rather than indoctrination. Specifically, parochial teachers who encourage scepticism towards orthodox dogma. Conversely, the sample choice may reflect progressive regional attitudes. </w:t>
      </w:r>
    </w:p>
    <w:p w:rsidR="00000000" w:rsidDel="00000000" w:rsidP="00000000" w:rsidRDefault="00000000" w:rsidRPr="00000000" w14:paraId="00000012">
      <w:pPr>
        <w:spacing w:after="120" w:before="120" w:lineRule="auto"/>
        <w:rPr>
          <w:sz w:val="24"/>
          <w:szCs w:val="24"/>
        </w:rPr>
      </w:pPr>
      <w:r w:rsidDel="00000000" w:rsidR="00000000" w:rsidRPr="00000000">
        <w:rPr>
          <w:sz w:val="24"/>
          <w:szCs w:val="24"/>
          <w:rtl w:val="0"/>
        </w:rPr>
        <w:t xml:space="preserve">A more extensive comparison across the literature indicates that belief has been conceptualised variously across methodological traditions. Early studies, such as those by Conklin and Brink, adopt quantitative approaches through surveys or questionnaire-based methods that treat belief as measurable.</w:t>
      </w:r>
      <w:r w:rsidDel="00000000" w:rsidR="00000000" w:rsidRPr="00000000">
        <w:rPr>
          <w:sz w:val="24"/>
          <w:szCs w:val="24"/>
          <w:vertAlign w:val="superscript"/>
        </w:rPr>
        <w:footnoteReference w:customMarkFollows="0" w:id="26"/>
      </w:r>
      <w:r w:rsidDel="00000000" w:rsidR="00000000" w:rsidRPr="00000000">
        <w:rPr>
          <w:sz w:val="24"/>
          <w:szCs w:val="24"/>
          <w:rtl w:val="0"/>
        </w:rPr>
        <w:t xml:space="preserve"> These techniques tend to impose external evaluative, critical frameworks on belief systems, which uphold efficacy and efficiency at categorising and examining patterns, often framing deviations from prevailing norms. However, it lacked creative interpretation to create a richer, encompassing analysis. A recent study by Rittik on Linking Belief Inconsistency and Religious Commitment to Dogma (Eastern) follows a similar methodology, using a web-based survey, which was justified on the basis of validity and reliability.</w:t>
      </w:r>
      <w:r w:rsidDel="00000000" w:rsidR="00000000" w:rsidRPr="00000000">
        <w:rPr>
          <w:sz w:val="24"/>
          <w:szCs w:val="24"/>
          <w:vertAlign w:val="superscript"/>
        </w:rPr>
        <w:footnoteReference w:customMarkFollows="0" w:id="27"/>
      </w:r>
      <w:r w:rsidDel="00000000" w:rsidR="00000000" w:rsidRPr="00000000">
        <w:rPr>
          <w:sz w:val="24"/>
          <w:szCs w:val="24"/>
          <w:rtl w:val="0"/>
        </w:rPr>
        <w:t xml:space="preserve"> The differences in participant sampling, however, can skew broader validity due to homogenised groups or localised samples.  </w:t>
      </w:r>
    </w:p>
    <w:p w:rsidR="00000000" w:rsidDel="00000000" w:rsidP="00000000" w:rsidRDefault="00000000" w:rsidRPr="00000000" w14:paraId="00000013">
      <w:pPr>
        <w:spacing w:after="120" w:before="120" w:lineRule="auto"/>
        <w:rPr>
          <w:sz w:val="24"/>
          <w:szCs w:val="24"/>
        </w:rPr>
      </w:pPr>
      <w:r w:rsidDel="00000000" w:rsidR="00000000" w:rsidRPr="00000000">
        <w:rPr>
          <w:sz w:val="24"/>
          <w:szCs w:val="24"/>
          <w:rtl w:val="0"/>
        </w:rPr>
        <w:t xml:space="preserve">Walter and Waterhouse’s interview-based study indicates that individuals can hold multiple beliefs simultaneously without perceiving contradiction, suggesting that beliefs operate in a more fluid, context-dependent manner.</w:t>
      </w:r>
      <w:r w:rsidDel="00000000" w:rsidR="00000000" w:rsidRPr="00000000">
        <w:rPr>
          <w:sz w:val="24"/>
          <w:szCs w:val="24"/>
          <w:vertAlign w:val="superscript"/>
        </w:rPr>
        <w:footnoteReference w:customMarkFollows="0" w:id="28"/>
      </w:r>
      <w:r w:rsidDel="00000000" w:rsidR="00000000" w:rsidRPr="00000000">
        <w:rPr>
          <w:sz w:val="24"/>
          <w:szCs w:val="24"/>
          <w:rtl w:val="0"/>
        </w:rPr>
        <w:t xml:space="preserve"> Scholars, including but not limited to Campion, Curry, Willis, Altemeyer have explored similar attributes in personal cosmologies and worldview</w:t>
      </w:r>
      <w:r w:rsidDel="00000000" w:rsidR="00000000" w:rsidRPr="00000000">
        <w:rPr>
          <w:sz w:val="24"/>
          <w:szCs w:val="24"/>
          <w:vertAlign w:val="superscript"/>
        </w:rPr>
        <w:footnoteReference w:customMarkFollows="0" w:id="29"/>
      </w:r>
      <w:r w:rsidDel="00000000" w:rsidR="00000000" w:rsidRPr="00000000">
        <w:rPr>
          <w:sz w:val="24"/>
          <w:szCs w:val="24"/>
          <w:rtl w:val="0"/>
        </w:rPr>
        <w:t xml:space="preserve">, including religious and astrological inference is a personal, cultural, and political matter. Their data challenge the assumption of inconsistency evident in Brink’s work, indicating that limiting interpretations may reflect methodology rather than empirical reality.</w:t>
      </w:r>
    </w:p>
    <w:p w:rsidR="00000000" w:rsidDel="00000000" w:rsidP="00000000" w:rsidRDefault="00000000" w:rsidRPr="00000000" w14:paraId="00000014">
      <w:pPr>
        <w:spacing w:after="120" w:before="120" w:lineRule="auto"/>
        <w:rPr>
          <w:sz w:val="24"/>
          <w:szCs w:val="24"/>
        </w:rPr>
      </w:pPr>
      <w:r w:rsidDel="00000000" w:rsidR="00000000" w:rsidRPr="00000000">
        <w:rPr>
          <w:sz w:val="24"/>
          <w:szCs w:val="24"/>
          <w:rtl w:val="0"/>
        </w:rPr>
        <w:t xml:space="preserve">This progression in the literature demonstrates that earlier approaches often prioritized classification and evaluation, whereas more recent work emphasizes interpretation and context. Instead of measuring belief against a fixed standard, contemporary approaches recognize that belief systems are formed by cultural, social, and personal factors that resist simple categorization. This supports the argument that methodological differences are not merely technical, yet reflect fundamentally different ways of understanding belief. If beliefs are always transforming in response to external variables, the patterns of fluctuation can be measured as changes in themselves, and meaning depends only on interpretation. Drawing on Yamane’s methodological insight that post hoc analysis is interpretive, Fay suggests that for an experience to hold identifiable value, it must be identified and explained; otherwise, it’s lived passively without interpretation.</w:t>
      </w:r>
      <w:r w:rsidDel="00000000" w:rsidR="00000000" w:rsidRPr="00000000">
        <w:rPr>
          <w:sz w:val="24"/>
          <w:szCs w:val="24"/>
          <w:vertAlign w:val="superscript"/>
        </w:rPr>
        <w:footnoteReference w:customMarkFollows="0" w:id="30"/>
      </w:r>
      <w:r w:rsidDel="00000000" w:rsidR="00000000" w:rsidRPr="00000000">
        <w:rPr>
          <w:sz w:val="24"/>
          <w:szCs w:val="24"/>
          <w:rtl w:val="0"/>
        </w:rPr>
        <w:t xml:space="preserve"> Blain advances this interpretive perspective by emphasizing immersive experience and meaning-making, while overtly admitting her role in the research process and cognizant of the study's wider implications. </w:t>
      </w:r>
    </w:p>
    <w:p w:rsidR="00000000" w:rsidDel="00000000" w:rsidP="00000000" w:rsidRDefault="00000000" w:rsidRPr="00000000" w14:paraId="00000015">
      <w:pPr>
        <w:spacing w:after="120" w:before="120" w:lineRule="auto"/>
        <w:ind w:left="720" w:firstLine="0"/>
        <w:rPr>
          <w:sz w:val="24"/>
          <w:szCs w:val="24"/>
        </w:rPr>
      </w:pPr>
      <w:r w:rsidDel="00000000" w:rsidR="00000000" w:rsidRPr="00000000">
        <w:rPr>
          <w:sz w:val="24"/>
          <w:szCs w:val="24"/>
          <w:rtl w:val="0"/>
        </w:rPr>
        <w:t xml:space="preserve">I am neither a linguist or an archaeologist, but I draw on both disciplines in what  follows. I do so both </w:t>
      </w:r>
      <w:r w:rsidDel="00000000" w:rsidR="00000000" w:rsidRPr="00000000">
        <w:rPr>
          <w:sz w:val="24"/>
          <w:szCs w:val="24"/>
          <w:rtl w:val="0"/>
        </w:rPr>
        <w:t xml:space="preserve">as practitioner</w:t>
      </w:r>
      <w:r w:rsidDel="00000000" w:rsidR="00000000" w:rsidRPr="00000000">
        <w:rPr>
          <w:sz w:val="24"/>
          <w:szCs w:val="24"/>
          <w:rtl w:val="0"/>
        </w:rPr>
        <w:t xml:space="preserve"> and ethnographer. This book is not only ‘about’ seidworkers, it is for seidworkers (among others)...’</w:t>
      </w:r>
      <w:r w:rsidDel="00000000" w:rsidR="00000000" w:rsidRPr="00000000">
        <w:rPr>
          <w:sz w:val="24"/>
          <w:szCs w:val="24"/>
          <w:vertAlign w:val="superscript"/>
        </w:rPr>
        <w:footnoteReference w:customMarkFollows="0" w:id="31"/>
      </w:r>
      <w:r w:rsidDel="00000000" w:rsidR="00000000" w:rsidRPr="00000000">
        <w:rPr>
          <w:rtl w:val="0"/>
        </w:rPr>
      </w:r>
    </w:p>
    <w:p w:rsidR="00000000" w:rsidDel="00000000" w:rsidP="00000000" w:rsidRDefault="00000000" w:rsidRPr="00000000" w14:paraId="00000016">
      <w:pPr>
        <w:spacing w:after="120" w:before="120" w:lineRule="auto"/>
        <w:rPr>
          <w:sz w:val="24"/>
          <w:szCs w:val="24"/>
        </w:rPr>
      </w:pPr>
      <w:r w:rsidDel="00000000" w:rsidR="00000000" w:rsidRPr="00000000">
        <w:rPr>
          <w:sz w:val="24"/>
          <w:szCs w:val="24"/>
          <w:rtl w:val="0"/>
        </w:rPr>
        <w:t xml:space="preserve">Similarly, conceptual analyses such as Case and Phillipson’s exploration of cosmological influences in modern management practices and Pfeffer’s historiographical critique of astrology’s marginalization, illustrate that belief systems are not simply replaced but are reconfigured and persist within transforming cultural contexts.</w:t>
      </w:r>
      <w:r w:rsidDel="00000000" w:rsidR="00000000" w:rsidRPr="00000000">
        <w:rPr>
          <w:sz w:val="24"/>
          <w:szCs w:val="24"/>
          <w:vertAlign w:val="superscript"/>
        </w:rPr>
        <w:footnoteReference w:customMarkFollows="0" w:id="32"/>
      </w:r>
      <w:r w:rsidDel="00000000" w:rsidR="00000000" w:rsidRPr="00000000">
        <w:rPr>
          <w:sz w:val="24"/>
          <w:szCs w:val="24"/>
          <w:rtl w:val="0"/>
        </w:rPr>
        <w:t xml:space="preserve"> Blain addresses the researcher's choice to adjudicate ‘belief’ in the written work, which validates the semantics of shamanistic and neoshamanic practices by recognising their adoptive and shared ideologies from earlier periods, reinforcing that cosmologies are dynamic, relational, and embedded within broader collective frameworks which shape its understanding and expression.</w:t>
      </w:r>
      <w:r w:rsidDel="00000000" w:rsidR="00000000" w:rsidRPr="00000000">
        <w:rPr>
          <w:sz w:val="24"/>
          <w:szCs w:val="24"/>
          <w:vertAlign w:val="superscript"/>
        </w:rPr>
        <w:footnoteReference w:customMarkFollows="0" w:id="33"/>
      </w:r>
      <w:r w:rsidDel="00000000" w:rsidR="00000000" w:rsidRPr="00000000">
        <w:rPr>
          <w:sz w:val="24"/>
          <w:szCs w:val="24"/>
          <w:rtl w:val="0"/>
        </w:rPr>
        <w:t xml:space="preserve"> Blain’s ethnographic study considers these practices with less emphasis on the scientific method and more on gaining insider knowledge. </w:t>
      </w:r>
    </w:p>
    <w:p w:rsidR="00000000" w:rsidDel="00000000" w:rsidP="00000000" w:rsidRDefault="00000000" w:rsidRPr="00000000" w14:paraId="00000017">
      <w:pPr>
        <w:spacing w:after="120" w:before="120" w:lineRule="auto"/>
        <w:rPr>
          <w:sz w:val="24"/>
          <w:szCs w:val="24"/>
        </w:rPr>
      </w:pPr>
      <w:r w:rsidDel="00000000" w:rsidR="00000000" w:rsidRPr="00000000">
        <w:rPr>
          <w:sz w:val="24"/>
          <w:szCs w:val="24"/>
          <w:rtl w:val="0"/>
        </w:rPr>
        <w:t xml:space="preserve">Collectively, these approaches demonstrate a significant transition from objectivist models that categorize and evaluate belief to interpretive frameworks that prioritize meaning-making, positionality, and reflexivity.</w:t>
      </w:r>
      <w:r w:rsidDel="00000000" w:rsidR="00000000" w:rsidRPr="00000000">
        <w:rPr>
          <w:sz w:val="24"/>
          <w:szCs w:val="24"/>
          <w:vertAlign w:val="superscript"/>
        </w:rPr>
        <w:footnoteReference w:customMarkFollows="0" w:id="34"/>
      </w:r>
      <w:r w:rsidDel="00000000" w:rsidR="00000000" w:rsidRPr="00000000">
        <w:rPr>
          <w:sz w:val="24"/>
          <w:szCs w:val="24"/>
          <w:rtl w:val="0"/>
        </w:rPr>
        <w:t xml:space="preserve"> This shift is especially pertinent when examining personal cosmologies, where converging beliefs may be better understood as integrated and meaningful systems shaped by lived experience. While Brink provides a descriptive foundation and draws attention to the coexistence among multiple beliefs, the research methodology utilized in 1978 limits reflexivity and reliance on externally imposed categories. In contrast, Blain’s approach provides detailed narratives and descriptions, offering cognitive depth that aligns with contemporary understandings of belief as fluid, contextual, and co-constructed. </w:t>
      </w:r>
    </w:p>
    <w:p w:rsidR="00000000" w:rsidDel="00000000" w:rsidP="00000000" w:rsidRDefault="00000000" w:rsidRPr="00000000" w14:paraId="00000018">
      <w:pPr>
        <w:spacing w:after="120" w:before="120" w:lineRule="auto"/>
        <w:rPr>
          <w:sz w:val="24"/>
          <w:szCs w:val="24"/>
        </w:rPr>
      </w:pPr>
      <w:r w:rsidDel="00000000" w:rsidR="00000000" w:rsidRPr="00000000">
        <w:rPr>
          <w:sz w:val="24"/>
          <w:szCs w:val="24"/>
          <w:rtl w:val="0"/>
        </w:rPr>
        <w:t xml:space="preserve">Over all, research methodology development mirrors broader epistemological changes within the social sciences, moving away from the assumption that knowledge can be objectively measured toward an understanding of knowledge as constructed, situated, and relational. In this context, belief is evaluated not only in terms of consistency or rationality, but also in terms of meaning, function, and experience. Emphasising the importance of research design and of methodologies that correspond with research intentions, especially when researching complex, personal phenomena such as cosmology and belief.</w:t>
      </w:r>
    </w:p>
    <w:p w:rsidR="00000000" w:rsidDel="00000000" w:rsidP="00000000" w:rsidRDefault="00000000" w:rsidRPr="00000000" w14:paraId="00000019">
      <w:pPr>
        <w:spacing w:after="120" w:before="120" w:lineRule="auto"/>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Word count: 2474</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jc w:val="center"/>
        <w:rPr>
          <w:b w:val="1"/>
          <w:bCs w:val="1"/>
          <w:sz w:val="24"/>
          <w:szCs w:val="24"/>
        </w:rPr>
      </w:pPr>
      <w:r w:rsidDel="00000000" w:rsidR="00000000" w:rsidRPr="00000000">
        <w:rPr>
          <w:b w:val="1"/>
          <w:bCs w:val="1"/>
          <w:sz w:val="24"/>
          <w:szCs w:val="24"/>
          <w:rtl w:val="0"/>
        </w:rPr>
        <w:t xml:space="preserve">Bibliography </w:t>
      </w:r>
    </w:p>
    <w:p w:rsidR="00000000" w:rsidDel="00000000" w:rsidP="00000000" w:rsidRDefault="00000000" w:rsidRPr="00000000" w14:paraId="0000002B">
      <w:pPr>
        <w:jc w:val="center"/>
        <w:rPr>
          <w:b w:val="1"/>
          <w:bCs w:val="1"/>
          <w:sz w:val="24"/>
          <w:szCs w:val="24"/>
        </w:rPr>
      </w:pPr>
      <w:r w:rsidDel="00000000" w:rsidR="00000000" w:rsidRPr="00000000">
        <w:rPr>
          <w:rtl w:val="0"/>
        </w:rPr>
      </w:r>
    </w:p>
    <w:p w:rsidR="00000000" w:rsidDel="00000000" w:rsidP="00000000" w:rsidRDefault="00000000" w:rsidRPr="00000000" w14:paraId="0000002C">
      <w:pPr>
        <w:jc w:val="center"/>
        <w:rPr>
          <w:b w:val="1"/>
          <w:bCs w:val="1"/>
          <w:sz w:val="24"/>
          <w:szCs w:val="24"/>
        </w:rPr>
      </w:pPr>
      <w:r w:rsidDel="00000000" w:rsidR="00000000" w:rsidRPr="00000000">
        <w:rPr>
          <w:rtl w:val="0"/>
        </w:rPr>
      </w:r>
    </w:p>
    <w:p w:rsidR="00000000" w:rsidDel="00000000" w:rsidP="00000000" w:rsidRDefault="00000000" w:rsidRPr="00000000" w14:paraId="0000002D">
      <w:pPr>
        <w:spacing w:after="240" w:before="240" w:lineRule="auto"/>
        <w:rPr>
          <w:sz w:val="24"/>
          <w:szCs w:val="24"/>
        </w:rPr>
      </w:pPr>
      <w:r w:rsidDel="00000000" w:rsidR="00000000" w:rsidRPr="00000000">
        <w:rPr>
          <w:sz w:val="24"/>
          <w:szCs w:val="24"/>
          <w:rtl w:val="0"/>
        </w:rPr>
        <w:t xml:space="preserve">Acker, Sandra, ‘In/out/side: Positioning the Researcher in Feminist Qualitative Research’, </w:t>
      </w:r>
      <w:r w:rsidDel="00000000" w:rsidR="00000000" w:rsidRPr="00000000">
        <w:rPr>
          <w:i w:val="1"/>
          <w:iCs w:val="1"/>
          <w:sz w:val="24"/>
          <w:szCs w:val="24"/>
          <w:rtl w:val="0"/>
        </w:rPr>
        <w:t xml:space="preserve">Resources for Feminist Research</w:t>
      </w:r>
      <w:r w:rsidDel="00000000" w:rsidR="00000000" w:rsidRPr="00000000">
        <w:rPr>
          <w:sz w:val="24"/>
          <w:szCs w:val="24"/>
          <w:rtl w:val="0"/>
        </w:rPr>
        <w:t xml:space="preserve">, 28.1/2 (2000), pp. 189-203.</w:t>
      </w:r>
    </w:p>
    <w:p w:rsidR="00000000" w:rsidDel="00000000" w:rsidP="00000000" w:rsidRDefault="00000000" w:rsidRPr="00000000" w14:paraId="0000002E">
      <w:pPr>
        <w:spacing w:after="240" w:before="240" w:lineRule="auto"/>
        <w:rPr>
          <w:sz w:val="24"/>
          <w:szCs w:val="24"/>
        </w:rPr>
      </w:pPr>
      <w:r w:rsidDel="00000000" w:rsidR="00000000" w:rsidRPr="00000000">
        <w:rPr>
          <w:sz w:val="24"/>
          <w:szCs w:val="24"/>
          <w:rtl w:val="0"/>
        </w:rPr>
        <w:t xml:space="preserve">Adler, Patricia A., and Peter Adler, </w:t>
      </w:r>
      <w:r w:rsidDel="00000000" w:rsidR="00000000" w:rsidRPr="00000000">
        <w:rPr>
          <w:i w:val="1"/>
          <w:iCs w:val="1"/>
          <w:sz w:val="24"/>
          <w:szCs w:val="24"/>
          <w:rtl w:val="0"/>
        </w:rPr>
        <w:t xml:space="preserve">Membership Roles in Field Research</w:t>
      </w:r>
      <w:r w:rsidDel="00000000" w:rsidR="00000000" w:rsidRPr="00000000">
        <w:rPr>
          <w:sz w:val="24"/>
          <w:szCs w:val="24"/>
          <w:rtl w:val="0"/>
        </w:rPr>
        <w:t xml:space="preserve"> (Newbury Park, CA: Sage, 1987).</w:t>
      </w:r>
    </w:p>
    <w:p w:rsidR="00000000" w:rsidDel="00000000" w:rsidP="00000000" w:rsidRDefault="00000000" w:rsidRPr="00000000" w14:paraId="0000002F">
      <w:pPr>
        <w:spacing w:after="240" w:before="240" w:lineRule="auto"/>
        <w:rPr>
          <w:sz w:val="24"/>
          <w:szCs w:val="24"/>
        </w:rPr>
      </w:pPr>
      <w:r w:rsidDel="00000000" w:rsidR="00000000" w:rsidRPr="00000000">
        <w:rPr>
          <w:sz w:val="24"/>
          <w:szCs w:val="24"/>
          <w:rtl w:val="0"/>
        </w:rPr>
        <w:t xml:space="preserve">Altemeyer, Bob, ‘Dogmatic Behavior among Students: Testing a New Measure of Dogmatism’, </w:t>
      </w:r>
      <w:r w:rsidDel="00000000" w:rsidR="00000000" w:rsidRPr="00000000">
        <w:rPr>
          <w:i w:val="1"/>
          <w:iCs w:val="1"/>
          <w:sz w:val="24"/>
          <w:szCs w:val="24"/>
          <w:rtl w:val="0"/>
        </w:rPr>
        <w:t xml:space="preserve">The Journal of Social Psychology</w:t>
      </w:r>
      <w:r w:rsidDel="00000000" w:rsidR="00000000" w:rsidRPr="00000000">
        <w:rPr>
          <w:sz w:val="24"/>
          <w:szCs w:val="24"/>
          <w:rtl w:val="0"/>
        </w:rPr>
        <w:t xml:space="preserve">, 142.6 (2002), pp. 713-721.</w:t>
      </w:r>
    </w:p>
    <w:p w:rsidR="00000000" w:rsidDel="00000000" w:rsidP="00000000" w:rsidRDefault="00000000" w:rsidRPr="00000000" w14:paraId="00000030">
      <w:pPr>
        <w:spacing w:after="240" w:before="240" w:lineRule="auto"/>
        <w:rPr>
          <w:sz w:val="24"/>
          <w:szCs w:val="24"/>
        </w:rPr>
      </w:pPr>
      <w:r w:rsidDel="00000000" w:rsidR="00000000" w:rsidRPr="00000000">
        <w:rPr>
          <w:sz w:val="24"/>
          <w:szCs w:val="24"/>
          <w:rtl w:val="0"/>
        </w:rPr>
        <w:t xml:space="preserve">Blain, Jenny, </w:t>
      </w:r>
      <w:r w:rsidDel="00000000" w:rsidR="00000000" w:rsidRPr="00000000">
        <w:rPr>
          <w:i w:val="1"/>
          <w:iCs w:val="1"/>
          <w:sz w:val="24"/>
          <w:szCs w:val="24"/>
          <w:rtl w:val="0"/>
        </w:rPr>
        <w:t xml:space="preserve">Nine Worlds of Seid-Magic: Ecstasy and Neo-Shamanism in North European Paganism</w:t>
      </w:r>
      <w:r w:rsidDel="00000000" w:rsidR="00000000" w:rsidRPr="00000000">
        <w:rPr>
          <w:sz w:val="24"/>
          <w:szCs w:val="24"/>
          <w:rtl w:val="0"/>
        </w:rPr>
        <w:t xml:space="preserve"> (London: Routledge, 2002).</w:t>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Brink, T. L., ‘Inconsistency of Belief among Roman Catholic Girls: Concerning Religion, Astrology, Reincarnation’, </w:t>
      </w:r>
      <w:r w:rsidDel="00000000" w:rsidR="00000000" w:rsidRPr="00000000">
        <w:rPr>
          <w:i w:val="1"/>
          <w:iCs w:val="1"/>
          <w:sz w:val="24"/>
          <w:szCs w:val="24"/>
          <w:rtl w:val="0"/>
        </w:rPr>
        <w:t xml:space="preserve">Review of Religious Research</w:t>
      </w:r>
      <w:r w:rsidDel="00000000" w:rsidR="00000000" w:rsidRPr="00000000">
        <w:rPr>
          <w:sz w:val="24"/>
          <w:szCs w:val="24"/>
          <w:rtl w:val="0"/>
        </w:rPr>
        <w:t xml:space="preserve">, 20.1 (Autumn 1978), pp. 82-85.</w:t>
      </w:r>
    </w:p>
    <w:p w:rsidR="00000000" w:rsidDel="00000000" w:rsidP="00000000" w:rsidRDefault="00000000" w:rsidRPr="00000000" w14:paraId="00000032">
      <w:pPr>
        <w:spacing w:after="240" w:before="240" w:lineRule="auto"/>
        <w:rPr>
          <w:sz w:val="24"/>
          <w:szCs w:val="24"/>
        </w:rPr>
      </w:pPr>
      <w:r w:rsidDel="00000000" w:rsidR="00000000" w:rsidRPr="00000000">
        <w:rPr>
          <w:sz w:val="24"/>
          <w:szCs w:val="24"/>
          <w:rtl w:val="0"/>
        </w:rPr>
        <w:t xml:space="preserve">Brink, T. L., ‘Quantitative and/or Qualitative Methods in the Scientific Study of Religion’, </w:t>
      </w:r>
      <w:r w:rsidDel="00000000" w:rsidR="00000000" w:rsidRPr="00000000">
        <w:rPr>
          <w:i w:val="1"/>
          <w:iCs w:val="1"/>
          <w:sz w:val="24"/>
          <w:szCs w:val="24"/>
          <w:rtl w:val="0"/>
        </w:rPr>
        <w:t xml:space="preserve">Zygon</w:t>
      </w:r>
      <w:r w:rsidDel="00000000" w:rsidR="00000000" w:rsidRPr="00000000">
        <w:rPr>
          <w:sz w:val="24"/>
          <w:szCs w:val="24"/>
          <w:rtl w:val="0"/>
        </w:rPr>
        <w:t xml:space="preserve">, 30.3 (1995), pp. 461-475.</w:t>
      </w:r>
    </w:p>
    <w:p w:rsidR="00000000" w:rsidDel="00000000" w:rsidP="00000000" w:rsidRDefault="00000000" w:rsidRPr="00000000" w14:paraId="00000033">
      <w:pPr>
        <w:spacing w:after="240" w:before="240" w:lineRule="auto"/>
        <w:rPr>
          <w:sz w:val="24"/>
          <w:szCs w:val="24"/>
        </w:rPr>
      </w:pPr>
      <w:r w:rsidDel="00000000" w:rsidR="00000000" w:rsidRPr="00000000">
        <w:rPr>
          <w:sz w:val="24"/>
          <w:szCs w:val="24"/>
          <w:rtl w:val="0"/>
        </w:rPr>
        <w:t xml:space="preserve">Campion, Nicholas, </w:t>
      </w:r>
      <w:r w:rsidDel="00000000" w:rsidR="00000000" w:rsidRPr="00000000">
        <w:rPr>
          <w:i w:val="1"/>
          <w:iCs w:val="1"/>
          <w:sz w:val="24"/>
          <w:szCs w:val="24"/>
          <w:rtl w:val="0"/>
        </w:rPr>
        <w:t xml:space="preserve">Astrology and Religion Among the Ancients</w:t>
      </w:r>
      <w:r w:rsidDel="00000000" w:rsidR="00000000" w:rsidRPr="00000000">
        <w:rPr>
          <w:sz w:val="24"/>
          <w:szCs w:val="24"/>
          <w:rtl w:val="0"/>
        </w:rPr>
        <w:t xml:space="preserve"> (London: Routledge, 2012).</w:t>
      </w:r>
    </w:p>
    <w:p w:rsidR="00000000" w:rsidDel="00000000" w:rsidP="00000000" w:rsidRDefault="00000000" w:rsidRPr="00000000" w14:paraId="00000034">
      <w:pPr>
        <w:spacing w:after="240" w:before="240" w:lineRule="auto"/>
        <w:rPr>
          <w:sz w:val="24"/>
          <w:szCs w:val="24"/>
        </w:rPr>
      </w:pPr>
      <w:r w:rsidDel="00000000" w:rsidR="00000000" w:rsidRPr="00000000">
        <w:rPr>
          <w:sz w:val="24"/>
          <w:szCs w:val="24"/>
          <w:rtl w:val="0"/>
        </w:rPr>
        <w:t xml:space="preserve">Conklin, Edmund S., ‘Superstitious Belief Among College Students’, </w:t>
      </w:r>
      <w:r w:rsidDel="00000000" w:rsidR="00000000" w:rsidRPr="00000000">
        <w:rPr>
          <w:i w:val="1"/>
          <w:iCs w:val="1"/>
          <w:sz w:val="24"/>
          <w:szCs w:val="24"/>
          <w:rtl w:val="0"/>
        </w:rPr>
        <w:t xml:space="preserve">The American Journal of Psychology</w:t>
      </w:r>
      <w:r w:rsidDel="00000000" w:rsidR="00000000" w:rsidRPr="00000000">
        <w:rPr>
          <w:sz w:val="24"/>
          <w:szCs w:val="24"/>
          <w:rtl w:val="0"/>
        </w:rPr>
        <w:t xml:space="preserve">, 30.1 (1919), pp. 83-102.</w:t>
      </w:r>
    </w:p>
    <w:p w:rsidR="00000000" w:rsidDel="00000000" w:rsidP="00000000" w:rsidRDefault="00000000" w:rsidRPr="00000000" w14:paraId="00000035">
      <w:pPr>
        <w:spacing w:after="240" w:before="240" w:lineRule="auto"/>
        <w:rPr>
          <w:sz w:val="24"/>
          <w:szCs w:val="24"/>
        </w:rPr>
      </w:pPr>
      <w:r w:rsidDel="00000000" w:rsidR="00000000" w:rsidRPr="00000000">
        <w:rPr>
          <w:sz w:val="24"/>
          <w:szCs w:val="24"/>
          <w:rtl w:val="0"/>
        </w:rPr>
        <w:t xml:space="preserve">Court, Deborah, and R. K. Abbas, </w:t>
      </w:r>
      <w:r w:rsidDel="00000000" w:rsidR="00000000" w:rsidRPr="00000000">
        <w:rPr>
          <w:i w:val="1"/>
          <w:iCs w:val="1"/>
          <w:sz w:val="24"/>
          <w:szCs w:val="24"/>
          <w:rtl w:val="0"/>
        </w:rPr>
        <w:t xml:space="preserve">Insider-Outsider Research in Qualitative Inquiry: New Perspectives on Method and Meaning</w:t>
      </w:r>
      <w:r w:rsidDel="00000000" w:rsidR="00000000" w:rsidRPr="00000000">
        <w:rPr>
          <w:sz w:val="24"/>
          <w:szCs w:val="24"/>
          <w:rtl w:val="0"/>
        </w:rPr>
        <w:t xml:space="preserve"> (London: Routledge, 2022).</w:t>
      </w:r>
    </w:p>
    <w:p w:rsidR="00000000" w:rsidDel="00000000" w:rsidP="00000000" w:rsidRDefault="00000000" w:rsidRPr="00000000" w14:paraId="00000036">
      <w:pPr>
        <w:spacing w:after="240" w:before="240" w:lineRule="auto"/>
        <w:rPr>
          <w:sz w:val="24"/>
          <w:szCs w:val="24"/>
        </w:rPr>
      </w:pPr>
      <w:r w:rsidDel="00000000" w:rsidR="00000000" w:rsidRPr="00000000">
        <w:rPr>
          <w:sz w:val="24"/>
          <w:szCs w:val="24"/>
          <w:rtl w:val="0"/>
        </w:rPr>
        <w:t xml:space="preserve">Erikson, Erik H., </w:t>
      </w:r>
      <w:r w:rsidDel="00000000" w:rsidR="00000000" w:rsidRPr="00000000">
        <w:rPr>
          <w:i w:val="1"/>
          <w:iCs w:val="1"/>
          <w:sz w:val="24"/>
          <w:szCs w:val="24"/>
          <w:rtl w:val="0"/>
        </w:rPr>
        <w:t xml:space="preserve">Childhood and Society</w:t>
      </w:r>
      <w:r w:rsidDel="00000000" w:rsidR="00000000" w:rsidRPr="00000000">
        <w:rPr>
          <w:sz w:val="24"/>
          <w:szCs w:val="24"/>
          <w:rtl w:val="0"/>
        </w:rPr>
        <w:t xml:space="preserve"> (New York: Norton, 1950).</w:t>
      </w:r>
    </w:p>
    <w:p w:rsidR="00000000" w:rsidDel="00000000" w:rsidP="00000000" w:rsidRDefault="00000000" w:rsidRPr="00000000" w14:paraId="00000037">
      <w:pPr>
        <w:spacing w:after="240" w:before="240" w:lineRule="auto"/>
        <w:rPr>
          <w:sz w:val="24"/>
          <w:szCs w:val="24"/>
        </w:rPr>
      </w:pPr>
      <w:r w:rsidDel="00000000" w:rsidR="00000000" w:rsidRPr="00000000">
        <w:rPr>
          <w:sz w:val="24"/>
          <w:szCs w:val="24"/>
          <w:rtl w:val="0"/>
        </w:rPr>
        <w:t xml:space="preserve">———, </w:t>
      </w:r>
      <w:r w:rsidDel="00000000" w:rsidR="00000000" w:rsidRPr="00000000">
        <w:rPr>
          <w:i w:val="1"/>
          <w:iCs w:val="1"/>
          <w:sz w:val="24"/>
          <w:szCs w:val="24"/>
          <w:rtl w:val="0"/>
        </w:rPr>
        <w:t xml:space="preserve">Identity and the Life Cycle</w:t>
      </w:r>
      <w:r w:rsidDel="00000000" w:rsidR="00000000" w:rsidRPr="00000000">
        <w:rPr>
          <w:sz w:val="24"/>
          <w:szCs w:val="24"/>
          <w:rtl w:val="0"/>
        </w:rPr>
        <w:t xml:space="preserve"> (New York: Norton, 1959).</w:t>
      </w:r>
    </w:p>
    <w:p w:rsidR="00000000" w:rsidDel="00000000" w:rsidP="00000000" w:rsidRDefault="00000000" w:rsidRPr="00000000" w14:paraId="00000038">
      <w:pPr>
        <w:spacing w:after="240" w:before="240" w:lineRule="auto"/>
        <w:rPr>
          <w:sz w:val="24"/>
          <w:szCs w:val="24"/>
        </w:rPr>
      </w:pPr>
      <w:r w:rsidDel="00000000" w:rsidR="00000000" w:rsidRPr="00000000">
        <w:rPr>
          <w:sz w:val="24"/>
          <w:szCs w:val="24"/>
          <w:rtl w:val="0"/>
        </w:rPr>
        <w:t xml:space="preserve">Fay, Brian, </w:t>
      </w:r>
      <w:r w:rsidDel="00000000" w:rsidR="00000000" w:rsidRPr="00000000">
        <w:rPr>
          <w:i w:val="1"/>
          <w:iCs w:val="1"/>
          <w:sz w:val="24"/>
          <w:szCs w:val="24"/>
          <w:rtl w:val="0"/>
        </w:rPr>
        <w:t xml:space="preserve">Contemporary Philosophy of Social Science: A Multicultural Approach</w:t>
      </w:r>
      <w:r w:rsidDel="00000000" w:rsidR="00000000" w:rsidRPr="00000000">
        <w:rPr>
          <w:sz w:val="24"/>
          <w:szCs w:val="24"/>
          <w:rtl w:val="0"/>
        </w:rPr>
        <w:t xml:space="preserve"> (Cambridge: Blackwell, 1996).</w:t>
      </w:r>
    </w:p>
    <w:p w:rsidR="00000000" w:rsidDel="00000000" w:rsidP="00000000" w:rsidRDefault="00000000" w:rsidRPr="00000000" w14:paraId="00000039">
      <w:pPr>
        <w:spacing w:after="240" w:before="240" w:lineRule="auto"/>
        <w:rPr>
          <w:sz w:val="24"/>
          <w:szCs w:val="24"/>
        </w:rPr>
      </w:pPr>
      <w:r w:rsidDel="00000000" w:rsidR="00000000" w:rsidRPr="00000000">
        <w:rPr>
          <w:sz w:val="24"/>
          <w:szCs w:val="24"/>
          <w:rtl w:val="0"/>
        </w:rPr>
        <w:t xml:space="preserve">Goodman, Felicitas D., </w:t>
      </w:r>
      <w:r w:rsidDel="00000000" w:rsidR="00000000" w:rsidRPr="00000000">
        <w:rPr>
          <w:i w:val="1"/>
          <w:iCs w:val="1"/>
          <w:sz w:val="24"/>
          <w:szCs w:val="24"/>
          <w:rtl w:val="0"/>
        </w:rPr>
        <w:t xml:space="preserve">Where the Spirits Ride the Wind: Trance Journeys and Other Ecstatic Experiences</w:t>
      </w:r>
      <w:r w:rsidDel="00000000" w:rsidR="00000000" w:rsidRPr="00000000">
        <w:rPr>
          <w:sz w:val="24"/>
          <w:szCs w:val="24"/>
          <w:rtl w:val="0"/>
        </w:rPr>
        <w:t xml:space="preserve">(Bloomington: Indiana University Press, 1990).</w:t>
      </w:r>
    </w:p>
    <w:p w:rsidR="00000000" w:rsidDel="00000000" w:rsidP="00000000" w:rsidRDefault="00000000" w:rsidRPr="00000000" w14:paraId="0000003A">
      <w:pPr>
        <w:spacing w:after="240" w:before="240" w:lineRule="auto"/>
        <w:rPr>
          <w:sz w:val="24"/>
          <w:szCs w:val="24"/>
        </w:rPr>
      </w:pPr>
      <w:r w:rsidDel="00000000" w:rsidR="00000000" w:rsidRPr="00000000">
        <w:rPr>
          <w:sz w:val="24"/>
          <w:szCs w:val="24"/>
          <w:rtl w:val="0"/>
        </w:rPr>
        <w:t xml:space="preserve">Goulet, Jean-Guy, ‘Dreams and Visions in Other Life-Worlds’, in </w:t>
      </w:r>
      <w:r w:rsidDel="00000000" w:rsidR="00000000" w:rsidRPr="00000000">
        <w:rPr>
          <w:i w:val="1"/>
          <w:iCs w:val="1"/>
          <w:sz w:val="24"/>
          <w:szCs w:val="24"/>
          <w:rtl w:val="0"/>
        </w:rPr>
        <w:t xml:space="preserve">Being Changed by Cross-Cultural Encounters: The Anthropology of Extraordinary Experience</w:t>
      </w:r>
      <w:r w:rsidDel="00000000" w:rsidR="00000000" w:rsidRPr="00000000">
        <w:rPr>
          <w:sz w:val="24"/>
          <w:szCs w:val="24"/>
          <w:rtl w:val="0"/>
        </w:rPr>
        <w:t xml:space="preserve">, ed. by David E. Young and Jean-Guy Goulet (Peterborough, Ontario: Broadview Press, 1994), pp. 16-38.</w:t>
      </w:r>
    </w:p>
    <w:p w:rsidR="00000000" w:rsidDel="00000000" w:rsidP="00000000" w:rsidRDefault="00000000" w:rsidRPr="00000000" w14:paraId="0000003B">
      <w:pPr>
        <w:spacing w:after="240" w:before="240" w:lineRule="auto"/>
        <w:rPr>
          <w:sz w:val="24"/>
          <w:szCs w:val="24"/>
        </w:rPr>
      </w:pPr>
      <w:r w:rsidDel="00000000" w:rsidR="00000000" w:rsidRPr="00000000">
        <w:rPr>
          <w:sz w:val="24"/>
          <w:szCs w:val="24"/>
          <w:rtl w:val="0"/>
        </w:rPr>
        <w:t xml:space="preserve">Guillemin, Marilys, and Lynn Gillam, ‘Ethics, Reflexivity, and “Ethically Important Moments” in Research’, </w:t>
      </w:r>
      <w:r w:rsidDel="00000000" w:rsidR="00000000" w:rsidRPr="00000000">
        <w:rPr>
          <w:i w:val="1"/>
          <w:iCs w:val="1"/>
          <w:sz w:val="24"/>
          <w:szCs w:val="24"/>
          <w:rtl w:val="0"/>
        </w:rPr>
        <w:t xml:space="preserve">Qualitative Inquiry</w:t>
      </w:r>
      <w:r w:rsidDel="00000000" w:rsidR="00000000" w:rsidRPr="00000000">
        <w:rPr>
          <w:sz w:val="24"/>
          <w:szCs w:val="24"/>
          <w:rtl w:val="0"/>
        </w:rPr>
        <w:t xml:space="preserve">, 10.2 (2004), pp. 261-280.</w:t>
      </w:r>
    </w:p>
    <w:p w:rsidR="00000000" w:rsidDel="00000000" w:rsidP="00000000" w:rsidRDefault="00000000" w:rsidRPr="00000000" w14:paraId="0000003C">
      <w:pPr>
        <w:spacing w:after="240" w:before="240" w:lineRule="auto"/>
        <w:rPr>
          <w:sz w:val="24"/>
          <w:szCs w:val="24"/>
        </w:rPr>
      </w:pPr>
      <w:r w:rsidDel="00000000" w:rsidR="00000000" w:rsidRPr="00000000">
        <w:rPr>
          <w:sz w:val="24"/>
          <w:szCs w:val="24"/>
          <w:rtl w:val="0"/>
        </w:rPr>
        <w:t xml:space="preserve">Haynes, Kathryn, ‘Reflexivity in Qualitative Research’, in </w:t>
      </w:r>
      <w:r w:rsidDel="00000000" w:rsidR="00000000" w:rsidRPr="00000000">
        <w:rPr>
          <w:i w:val="1"/>
          <w:iCs w:val="1"/>
          <w:sz w:val="24"/>
          <w:szCs w:val="24"/>
          <w:rtl w:val="0"/>
        </w:rPr>
        <w:t xml:space="preserve">Qualitative Organizational Research: Core Methods and Current Challenges</w:t>
      </w:r>
      <w:r w:rsidDel="00000000" w:rsidR="00000000" w:rsidRPr="00000000">
        <w:rPr>
          <w:sz w:val="24"/>
          <w:szCs w:val="24"/>
          <w:rtl w:val="0"/>
        </w:rPr>
        <w:t xml:space="preserve">, ed. by David Buchanan and Alan Bryman (London: SAGE, 2012), pp. 72-89.</w:t>
      </w:r>
    </w:p>
    <w:p w:rsidR="00000000" w:rsidDel="00000000" w:rsidP="00000000" w:rsidRDefault="00000000" w:rsidRPr="00000000" w14:paraId="0000003D">
      <w:pPr>
        <w:spacing w:after="240" w:before="240" w:lineRule="auto"/>
        <w:rPr>
          <w:sz w:val="24"/>
          <w:szCs w:val="24"/>
        </w:rPr>
      </w:pPr>
      <w:r w:rsidDel="00000000" w:rsidR="00000000" w:rsidRPr="00000000">
        <w:rPr>
          <w:sz w:val="24"/>
          <w:szCs w:val="24"/>
          <w:rtl w:val="0"/>
        </w:rPr>
        <w:t xml:space="preserve">Hennink, Monique M., Inge Hutter, and Ajay Bailey, </w:t>
      </w:r>
      <w:r w:rsidDel="00000000" w:rsidR="00000000" w:rsidRPr="00000000">
        <w:rPr>
          <w:i w:val="1"/>
          <w:iCs w:val="1"/>
          <w:sz w:val="24"/>
          <w:szCs w:val="24"/>
          <w:rtl w:val="0"/>
        </w:rPr>
        <w:t xml:space="preserve">Qualitative Research Methods</w:t>
      </w:r>
      <w:r w:rsidDel="00000000" w:rsidR="00000000" w:rsidRPr="00000000">
        <w:rPr>
          <w:sz w:val="24"/>
          <w:szCs w:val="24"/>
          <w:rtl w:val="0"/>
        </w:rPr>
        <w:t xml:space="preserve">, 2nd edn (London: Sage, 2020).</w:t>
      </w:r>
    </w:p>
    <w:p w:rsidR="00000000" w:rsidDel="00000000" w:rsidP="00000000" w:rsidRDefault="00000000" w:rsidRPr="00000000" w14:paraId="0000003E">
      <w:pPr>
        <w:spacing w:after="240" w:before="240" w:lineRule="auto"/>
        <w:rPr>
          <w:sz w:val="24"/>
          <w:szCs w:val="24"/>
        </w:rPr>
      </w:pPr>
      <w:r w:rsidDel="00000000" w:rsidR="00000000" w:rsidRPr="00000000">
        <w:rPr>
          <w:sz w:val="24"/>
          <w:szCs w:val="24"/>
          <w:rtl w:val="0"/>
        </w:rPr>
        <w:t xml:space="preserve">Krause, Neal, and Christopher G. Ellison, ‘The Doubting Process: A Longitudinal Study of the Precipitants and Consequences of Religious Doubt’, </w:t>
      </w:r>
      <w:r w:rsidDel="00000000" w:rsidR="00000000" w:rsidRPr="00000000">
        <w:rPr>
          <w:i w:val="1"/>
          <w:iCs w:val="1"/>
          <w:sz w:val="24"/>
          <w:szCs w:val="24"/>
          <w:rtl w:val="0"/>
        </w:rPr>
        <w:t xml:space="preserve">Journal for the Scientific Study of Religion</w:t>
      </w:r>
      <w:r w:rsidDel="00000000" w:rsidR="00000000" w:rsidRPr="00000000">
        <w:rPr>
          <w:sz w:val="24"/>
          <w:szCs w:val="24"/>
          <w:rtl w:val="0"/>
        </w:rPr>
        <w:t xml:space="preserve">, 48.2 (June 2009), pp. 293-312.</w:t>
      </w:r>
    </w:p>
    <w:p w:rsidR="00000000" w:rsidDel="00000000" w:rsidP="00000000" w:rsidRDefault="00000000" w:rsidRPr="00000000" w14:paraId="0000003F">
      <w:pPr>
        <w:spacing w:after="240" w:before="240" w:lineRule="auto"/>
        <w:rPr>
          <w:sz w:val="24"/>
          <w:szCs w:val="24"/>
        </w:rPr>
      </w:pPr>
      <w:r w:rsidDel="00000000" w:rsidR="00000000" w:rsidRPr="00000000">
        <w:rPr>
          <w:sz w:val="24"/>
          <w:szCs w:val="24"/>
          <w:rtl w:val="0"/>
        </w:rPr>
        <w:t xml:space="preserve">Moran, Dermot, </w:t>
      </w:r>
      <w:r w:rsidDel="00000000" w:rsidR="00000000" w:rsidRPr="00000000">
        <w:rPr>
          <w:i w:val="1"/>
          <w:iCs w:val="1"/>
          <w:sz w:val="24"/>
          <w:szCs w:val="24"/>
          <w:rtl w:val="0"/>
        </w:rPr>
        <w:t xml:space="preserve">Introduction to Phenomenology</w:t>
      </w:r>
      <w:r w:rsidDel="00000000" w:rsidR="00000000" w:rsidRPr="00000000">
        <w:rPr>
          <w:sz w:val="24"/>
          <w:szCs w:val="24"/>
          <w:rtl w:val="0"/>
        </w:rPr>
        <w:t xml:space="preserve"> (London: Routledge, 2000).</w:t>
      </w:r>
    </w:p>
    <w:p w:rsidR="00000000" w:rsidDel="00000000" w:rsidP="00000000" w:rsidRDefault="00000000" w:rsidRPr="00000000" w14:paraId="00000040">
      <w:pPr>
        <w:spacing w:after="240" w:before="240" w:lineRule="auto"/>
        <w:rPr>
          <w:sz w:val="24"/>
          <w:szCs w:val="24"/>
        </w:rPr>
      </w:pPr>
      <w:r w:rsidDel="00000000" w:rsidR="00000000" w:rsidRPr="00000000">
        <w:rPr>
          <w:sz w:val="24"/>
          <w:szCs w:val="24"/>
          <w:rtl w:val="0"/>
        </w:rPr>
        <w:t xml:space="preserve">Piedmont, R. L., ‘Social Desirability Bias’, in </w:t>
      </w:r>
      <w:r w:rsidDel="00000000" w:rsidR="00000000" w:rsidRPr="00000000">
        <w:rPr>
          <w:i w:val="1"/>
          <w:iCs w:val="1"/>
          <w:sz w:val="24"/>
          <w:szCs w:val="24"/>
          <w:rtl w:val="0"/>
        </w:rPr>
        <w:t xml:space="preserve">Encyclopedia of Quality of Life and Well-Being Research</w:t>
      </w:r>
      <w:r w:rsidDel="00000000" w:rsidR="00000000" w:rsidRPr="00000000">
        <w:rPr>
          <w:sz w:val="24"/>
          <w:szCs w:val="24"/>
          <w:rtl w:val="0"/>
        </w:rPr>
        <w:t xml:space="preserve">, ed. by Alex C. Michalos (Dordrecht: Springer, 2014).</w:t>
      </w:r>
    </w:p>
    <w:p w:rsidR="00000000" w:rsidDel="00000000" w:rsidP="00000000" w:rsidRDefault="00000000" w:rsidRPr="00000000" w14:paraId="00000041">
      <w:pPr>
        <w:spacing w:after="240" w:before="240" w:lineRule="auto"/>
        <w:rPr>
          <w:sz w:val="24"/>
          <w:szCs w:val="24"/>
        </w:rPr>
      </w:pPr>
      <w:r w:rsidDel="00000000" w:rsidR="00000000" w:rsidRPr="00000000">
        <w:rPr>
          <w:sz w:val="24"/>
          <w:szCs w:val="24"/>
          <w:rtl w:val="0"/>
        </w:rPr>
        <w:t xml:space="preserve">Piker, Steven, ‘The Problem of Consistency in Thai Religion’, </w:t>
      </w:r>
      <w:r w:rsidDel="00000000" w:rsidR="00000000" w:rsidRPr="00000000">
        <w:rPr>
          <w:i w:val="1"/>
          <w:iCs w:val="1"/>
          <w:sz w:val="24"/>
          <w:szCs w:val="24"/>
          <w:rtl w:val="0"/>
        </w:rPr>
        <w:t xml:space="preserve">Journal for the Scientific Study of Religion</w:t>
      </w:r>
      <w:r w:rsidDel="00000000" w:rsidR="00000000" w:rsidRPr="00000000">
        <w:rPr>
          <w:sz w:val="24"/>
          <w:szCs w:val="24"/>
          <w:rtl w:val="0"/>
        </w:rPr>
        <w:t xml:space="preserve">, 11 (1972), pp. 211-229.</w:t>
      </w:r>
    </w:p>
    <w:p w:rsidR="00000000" w:rsidDel="00000000" w:rsidP="00000000" w:rsidRDefault="00000000" w:rsidRPr="00000000" w14:paraId="00000042">
      <w:pPr>
        <w:spacing w:after="240" w:before="240" w:lineRule="auto"/>
        <w:rPr>
          <w:sz w:val="24"/>
          <w:szCs w:val="24"/>
        </w:rPr>
      </w:pPr>
      <w:r w:rsidDel="00000000" w:rsidR="00000000" w:rsidRPr="00000000">
        <w:rPr>
          <w:sz w:val="24"/>
          <w:szCs w:val="24"/>
          <w:rtl w:val="0"/>
        </w:rPr>
        <w:t xml:space="preserve">Rittik, Susmito, ‘Linking Belief Inconsistency and Religious Commitment with Dogmatism’ (unpublished paper, University of New England).</w:t>
      </w:r>
    </w:p>
    <w:p w:rsidR="00000000" w:rsidDel="00000000" w:rsidP="00000000" w:rsidRDefault="00000000" w:rsidRPr="00000000" w14:paraId="00000043">
      <w:pPr>
        <w:spacing w:after="240" w:before="240" w:lineRule="auto"/>
        <w:rPr>
          <w:sz w:val="24"/>
          <w:szCs w:val="24"/>
        </w:rPr>
      </w:pPr>
      <w:r w:rsidDel="00000000" w:rsidR="00000000" w:rsidRPr="00000000">
        <w:rPr>
          <w:sz w:val="24"/>
          <w:szCs w:val="24"/>
          <w:rtl w:val="0"/>
        </w:rPr>
        <w:t xml:space="preserve">Willis, Roy, and Patrick Curry, </w:t>
      </w:r>
      <w:r w:rsidDel="00000000" w:rsidR="00000000" w:rsidRPr="00000000">
        <w:rPr>
          <w:i w:val="1"/>
          <w:iCs w:val="1"/>
          <w:sz w:val="24"/>
          <w:szCs w:val="24"/>
          <w:rtl w:val="0"/>
        </w:rPr>
        <w:t xml:space="preserve">Astrology, Science and Culture: Pulling Down the Moon</w:t>
      </w:r>
      <w:r w:rsidDel="00000000" w:rsidR="00000000" w:rsidRPr="00000000">
        <w:rPr>
          <w:sz w:val="24"/>
          <w:szCs w:val="24"/>
          <w:rtl w:val="0"/>
        </w:rPr>
        <w:t xml:space="preserve"> (Oxford: Berg, 2004).</w:t>
      </w:r>
    </w:p>
    <w:p w:rsidR="00000000" w:rsidDel="00000000" w:rsidP="00000000" w:rsidRDefault="00000000" w:rsidRPr="00000000" w14:paraId="00000044">
      <w:pPr>
        <w:spacing w:after="240" w:before="240" w:lineRule="auto"/>
        <w:rPr>
          <w:sz w:val="24"/>
          <w:szCs w:val="24"/>
        </w:rPr>
      </w:pPr>
      <w:r w:rsidDel="00000000" w:rsidR="00000000" w:rsidRPr="00000000">
        <w:rPr>
          <w:sz w:val="24"/>
          <w:szCs w:val="24"/>
          <w:rtl w:val="0"/>
        </w:rPr>
        <w:t xml:space="preserve">Yamane, David, ‘Narrative and Religious Experience’, </w:t>
      </w:r>
      <w:r w:rsidDel="00000000" w:rsidR="00000000" w:rsidRPr="00000000">
        <w:rPr>
          <w:i w:val="1"/>
          <w:iCs w:val="1"/>
          <w:sz w:val="24"/>
          <w:szCs w:val="24"/>
          <w:rtl w:val="0"/>
        </w:rPr>
        <w:t xml:space="preserve">Sociology of Religion</w:t>
      </w:r>
      <w:r w:rsidDel="00000000" w:rsidR="00000000" w:rsidRPr="00000000">
        <w:rPr>
          <w:sz w:val="24"/>
          <w:szCs w:val="24"/>
          <w:rtl w:val="0"/>
        </w:rPr>
        <w:t xml:space="preserve">, 61.2 (2000), pp. 171-189.</w:t>
      </w:r>
    </w:p>
    <w:p w:rsidR="00000000" w:rsidDel="00000000" w:rsidP="00000000" w:rsidRDefault="00000000" w:rsidRPr="00000000" w14:paraId="00000045">
      <w:pPr>
        <w:jc w:val="left"/>
        <w:rPr>
          <w:b w:val="1"/>
          <w:bCs w:val="1"/>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Fritz Heider, ‘Attitudes and Cognitive Organisation’, </w:t>
      </w:r>
      <w:r w:rsidDel="00000000" w:rsidR="00000000" w:rsidRPr="00000000">
        <w:rPr>
          <w:i w:val="1"/>
          <w:iCs w:val="1"/>
          <w:sz w:val="20"/>
          <w:szCs w:val="20"/>
          <w:rtl w:val="0"/>
        </w:rPr>
        <w:t xml:space="preserve">Journal of Psychology</w:t>
      </w:r>
      <w:r w:rsidDel="00000000" w:rsidR="00000000" w:rsidRPr="00000000">
        <w:rPr>
          <w:sz w:val="20"/>
          <w:szCs w:val="20"/>
          <w:rtl w:val="0"/>
        </w:rPr>
        <w:t xml:space="preserve">, 21 (1946), pp. 107-112, cited in T. L. Brink, ‘Inconsistency of Belief among Roman Catholic Girls: Concerning Religion, Astrology, Reincarnation’, </w:t>
      </w:r>
      <w:r w:rsidDel="00000000" w:rsidR="00000000" w:rsidRPr="00000000">
        <w:rPr>
          <w:i w:val="1"/>
          <w:iCs w:val="1"/>
          <w:sz w:val="20"/>
          <w:szCs w:val="20"/>
          <w:rtl w:val="0"/>
        </w:rPr>
        <w:t xml:space="preserve">Review of Religious Research</w:t>
      </w:r>
      <w:r w:rsidDel="00000000" w:rsidR="00000000" w:rsidRPr="00000000">
        <w:rPr>
          <w:sz w:val="20"/>
          <w:szCs w:val="20"/>
          <w:rtl w:val="0"/>
        </w:rPr>
        <w:t xml:space="preserve">, 20.1 (Autumn 1978), pp. 82-85; Milton Rokeach and Gilbert Rothman, ‘The Principle of Belief Congruence and the Congruity Principle as Models of Cognitive Interaction’, </w:t>
      </w:r>
      <w:r w:rsidDel="00000000" w:rsidR="00000000" w:rsidRPr="00000000">
        <w:rPr>
          <w:i w:val="1"/>
          <w:iCs w:val="1"/>
          <w:sz w:val="20"/>
          <w:szCs w:val="20"/>
          <w:rtl w:val="0"/>
        </w:rPr>
        <w:t xml:space="preserve">Psychological Review</w:t>
      </w:r>
      <w:r w:rsidDel="00000000" w:rsidR="00000000" w:rsidRPr="00000000">
        <w:rPr>
          <w:sz w:val="20"/>
          <w:szCs w:val="20"/>
          <w:rtl w:val="0"/>
        </w:rPr>
        <w:t xml:space="preserve">, 72 (1965), pp. 128-143, cited in T. L. Brink, ‘Inconsistency of Belief among Roman Catholic Girls: Concerning Religion, Astrology, Reincarnation’, </w:t>
      </w:r>
      <w:r w:rsidDel="00000000" w:rsidR="00000000" w:rsidRPr="00000000">
        <w:rPr>
          <w:i w:val="1"/>
          <w:iCs w:val="1"/>
          <w:sz w:val="20"/>
          <w:szCs w:val="20"/>
          <w:rtl w:val="0"/>
        </w:rPr>
        <w:t xml:space="preserve">Review of Religious Research</w:t>
      </w:r>
      <w:r w:rsidDel="00000000" w:rsidR="00000000" w:rsidRPr="00000000">
        <w:rPr>
          <w:sz w:val="20"/>
          <w:szCs w:val="20"/>
          <w:rtl w:val="0"/>
        </w:rPr>
        <w:t xml:space="preserve">, 20.1 (Autumn 1978), pp. 82-85.</w:t>
      </w:r>
    </w:p>
  </w:footnote>
  <w:footnote w:id="1">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 L. Brink, ‘Inconsistency of Belief among Roman Catholic Girls’, </w:t>
      </w:r>
      <w:r w:rsidDel="00000000" w:rsidR="00000000" w:rsidRPr="00000000">
        <w:rPr>
          <w:i w:val="1"/>
          <w:iCs w:val="1"/>
          <w:sz w:val="20"/>
          <w:szCs w:val="20"/>
          <w:rtl w:val="0"/>
        </w:rPr>
        <w:t xml:space="preserve">Review of Religious Research</w:t>
      </w:r>
      <w:r w:rsidDel="00000000" w:rsidR="00000000" w:rsidRPr="00000000">
        <w:rPr>
          <w:sz w:val="20"/>
          <w:szCs w:val="20"/>
          <w:rtl w:val="0"/>
        </w:rPr>
        <w:t xml:space="preserve">, 20.1 (1978), pp. 82-85; R. L. Piedmont, ‘Social Desirability Bias’, in </w:t>
      </w:r>
      <w:r w:rsidDel="00000000" w:rsidR="00000000" w:rsidRPr="00000000">
        <w:rPr>
          <w:i w:val="1"/>
          <w:iCs w:val="1"/>
          <w:sz w:val="20"/>
          <w:szCs w:val="20"/>
          <w:rtl w:val="0"/>
        </w:rPr>
        <w:t xml:space="preserve">Encyclopedia of Quality of Life and Well-Being Research</w:t>
      </w:r>
      <w:r w:rsidDel="00000000" w:rsidR="00000000" w:rsidRPr="00000000">
        <w:rPr>
          <w:sz w:val="20"/>
          <w:szCs w:val="20"/>
          <w:rtl w:val="0"/>
        </w:rPr>
        <w:t xml:space="preserve">, ed. by Alex C. Michalos (Dordrecht: Springer, 2014) </w:t>
      </w:r>
      <w:hyperlink r:id="rId1">
        <w:r w:rsidDel="00000000" w:rsidR="00000000" w:rsidRPr="00000000">
          <w:rPr>
            <w:color w:val="1155cc"/>
            <w:sz w:val="20"/>
            <w:szCs w:val="20"/>
            <w:u w:val="single"/>
            <w:rtl w:val="0"/>
          </w:rPr>
          <w:t xml:space="preserve">https://doi.org/10.1007/978-94-007-0753-5_2746</w:t>
        </w:r>
      </w:hyperlink>
      <w:r w:rsidDel="00000000" w:rsidR="00000000" w:rsidRPr="00000000">
        <w:rPr>
          <w:sz w:val="20"/>
          <w:szCs w:val="20"/>
          <w:rtl w:val="0"/>
        </w:rPr>
        <w:t xml:space="preserve"> [accessed 19 March 2026].</w:t>
      </w:r>
    </w:p>
  </w:footnote>
  <w:footnote w:id="2">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Erik H. Erikson, </w:t>
      </w:r>
      <w:r w:rsidDel="00000000" w:rsidR="00000000" w:rsidRPr="00000000">
        <w:rPr>
          <w:i w:val="1"/>
          <w:iCs w:val="1"/>
          <w:sz w:val="20"/>
          <w:szCs w:val="20"/>
          <w:rtl w:val="0"/>
        </w:rPr>
        <w:t xml:space="preserve">Identity and the Life Cycle</w:t>
      </w:r>
      <w:r w:rsidDel="00000000" w:rsidR="00000000" w:rsidRPr="00000000">
        <w:rPr>
          <w:sz w:val="20"/>
          <w:szCs w:val="20"/>
          <w:rtl w:val="0"/>
        </w:rPr>
        <w:t xml:space="preserve"> (New York: Norton, 1959); Bertram Gawronski and Fritz Strack (eds), </w:t>
      </w:r>
      <w:r w:rsidDel="00000000" w:rsidR="00000000" w:rsidRPr="00000000">
        <w:rPr>
          <w:i w:val="1"/>
          <w:iCs w:val="1"/>
          <w:sz w:val="20"/>
          <w:szCs w:val="20"/>
          <w:rtl w:val="0"/>
        </w:rPr>
        <w:t xml:space="preserve">Cognitive Consistency: A Fundamental Principle in Social Cognition</w:t>
      </w:r>
      <w:r w:rsidDel="00000000" w:rsidR="00000000" w:rsidRPr="00000000">
        <w:rPr>
          <w:sz w:val="20"/>
          <w:szCs w:val="20"/>
          <w:rtl w:val="0"/>
        </w:rPr>
        <w:t xml:space="preserve"> (New York: Guilford Press, 2012).</w:t>
      </w:r>
    </w:p>
  </w:footnote>
  <w:footnote w:id="3">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 Hively (1988), cited in John L. Rudolph, ‘Scientific Literacy: Its Real Origin Story and Functional Role in American Education’, </w:t>
      </w:r>
      <w:r w:rsidDel="00000000" w:rsidR="00000000" w:rsidRPr="00000000">
        <w:rPr>
          <w:i w:val="1"/>
          <w:iCs w:val="1"/>
          <w:sz w:val="20"/>
          <w:szCs w:val="20"/>
          <w:rtl w:val="0"/>
        </w:rPr>
        <w:t xml:space="preserve">Journal of Research in Science Teaching</w:t>
      </w:r>
      <w:r w:rsidDel="00000000" w:rsidR="00000000" w:rsidRPr="00000000">
        <w:rPr>
          <w:sz w:val="20"/>
          <w:szCs w:val="20"/>
          <w:rtl w:val="0"/>
        </w:rPr>
        <w:t xml:space="preserve"> (2023) </w:t>
      </w:r>
      <w:hyperlink r:id="rId2">
        <w:r w:rsidDel="00000000" w:rsidR="00000000" w:rsidRPr="00000000">
          <w:rPr>
            <w:color w:val="1155cc"/>
            <w:sz w:val="20"/>
            <w:szCs w:val="20"/>
            <w:u w:val="single"/>
            <w:rtl w:val="0"/>
          </w:rPr>
          <w:t xml:space="preserve">https://doi.org/10.1002/tea.21890</w:t>
        </w:r>
      </w:hyperlink>
      <w:r w:rsidDel="00000000" w:rsidR="00000000" w:rsidRPr="00000000">
        <w:rPr>
          <w:sz w:val="20"/>
          <w:szCs w:val="20"/>
          <w:rtl w:val="0"/>
        </w:rPr>
        <w:t xml:space="preserve"> [accessed 19 March 2026].</w:t>
      </w:r>
    </w:p>
  </w:footnote>
  <w:footnote w:id="4">
    <w:p w:rsidR="00000000" w:rsidDel="00000000" w:rsidP="00000000" w:rsidRDefault="00000000" w:rsidRPr="00000000" w14:paraId="0000004A">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Gawronski and Strack (eds), </w:t>
      </w:r>
      <w:r w:rsidDel="00000000" w:rsidR="00000000" w:rsidRPr="00000000">
        <w:rPr>
          <w:i w:val="1"/>
          <w:iCs w:val="1"/>
          <w:sz w:val="20"/>
          <w:szCs w:val="20"/>
          <w:rtl w:val="0"/>
        </w:rPr>
        <w:t xml:space="preserve">Cognitive Consistency</w:t>
      </w:r>
      <w:r w:rsidDel="00000000" w:rsidR="00000000" w:rsidRPr="00000000">
        <w:rPr>
          <w:sz w:val="20"/>
          <w:szCs w:val="20"/>
          <w:rtl w:val="0"/>
        </w:rPr>
        <w:t xml:space="preserve">.</w:t>
      </w:r>
      <w:r w:rsidDel="00000000" w:rsidR="00000000" w:rsidRPr="00000000">
        <w:rPr>
          <w:rtl w:val="0"/>
        </w:rPr>
      </w:r>
    </w:p>
  </w:footnote>
  <w:footnote w:id="5">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Steven Piker, ‘The Problem of Consistency in Thai Religion’, </w:t>
      </w:r>
      <w:r w:rsidDel="00000000" w:rsidR="00000000" w:rsidRPr="00000000">
        <w:rPr>
          <w:i w:val="1"/>
          <w:iCs w:val="1"/>
          <w:sz w:val="20"/>
          <w:szCs w:val="20"/>
          <w:rtl w:val="0"/>
        </w:rPr>
        <w:t xml:space="preserve">Journal for the Scientific Study of Religion</w:t>
      </w:r>
      <w:r w:rsidDel="00000000" w:rsidR="00000000" w:rsidRPr="00000000">
        <w:rPr>
          <w:sz w:val="20"/>
          <w:szCs w:val="20"/>
          <w:rtl w:val="0"/>
        </w:rPr>
        <w:t xml:space="preserve">, 11 (1972), pp. 211-229, cited in T. L. Brink, ‘Inconsistency of Belief among Roman Catholic Girls: Concerning Religion, Astrology, Reincarnation’, </w:t>
      </w:r>
      <w:r w:rsidDel="00000000" w:rsidR="00000000" w:rsidRPr="00000000">
        <w:rPr>
          <w:i w:val="1"/>
          <w:iCs w:val="1"/>
          <w:sz w:val="20"/>
          <w:szCs w:val="20"/>
          <w:rtl w:val="0"/>
        </w:rPr>
        <w:t xml:space="preserve">Review of Religious Research</w:t>
      </w:r>
      <w:r w:rsidDel="00000000" w:rsidR="00000000" w:rsidRPr="00000000">
        <w:rPr>
          <w:sz w:val="20"/>
          <w:szCs w:val="20"/>
          <w:rtl w:val="0"/>
        </w:rPr>
        <w:t xml:space="preserve">, 20.1 (Autumn 1978), pp. 82-85.</w:t>
      </w:r>
    </w:p>
  </w:footnote>
  <w:footnote w:id="6">
    <w:p w:rsidR="00000000" w:rsidDel="00000000" w:rsidP="00000000" w:rsidRDefault="00000000" w:rsidRPr="00000000" w14:paraId="0000004C">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Jenny Blain, </w:t>
      </w:r>
      <w:r w:rsidDel="00000000" w:rsidR="00000000" w:rsidRPr="00000000">
        <w:rPr>
          <w:i w:val="1"/>
          <w:iCs w:val="1"/>
          <w:sz w:val="20"/>
          <w:szCs w:val="20"/>
          <w:rtl w:val="0"/>
        </w:rPr>
        <w:t xml:space="preserve">Nine Worlds of Seid-Magic: Ecstasy and Neo-Shamanism in North European Paganism</w:t>
      </w:r>
      <w:r w:rsidDel="00000000" w:rsidR="00000000" w:rsidRPr="00000000">
        <w:rPr>
          <w:sz w:val="20"/>
          <w:szCs w:val="20"/>
          <w:rtl w:val="0"/>
        </w:rPr>
        <w:t xml:space="preserve"> (London: Routledge, 2002). pp. x-xii.</w:t>
      </w:r>
      <w:r w:rsidDel="00000000" w:rsidR="00000000" w:rsidRPr="00000000">
        <w:rPr>
          <w:rtl w:val="0"/>
        </w:rPr>
      </w:r>
    </w:p>
  </w:footnote>
  <w:footnote w:id="7">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Monique M. Hennink, Inge Hutter and Ajay Bailey, </w:t>
      </w:r>
      <w:r w:rsidDel="00000000" w:rsidR="00000000" w:rsidRPr="00000000">
        <w:rPr>
          <w:i w:val="1"/>
          <w:iCs w:val="1"/>
          <w:sz w:val="20"/>
          <w:szCs w:val="20"/>
          <w:rtl w:val="0"/>
        </w:rPr>
        <w:t xml:space="preserve">Qualitative Research Methods</w:t>
      </w:r>
      <w:r w:rsidDel="00000000" w:rsidR="00000000" w:rsidRPr="00000000">
        <w:rPr>
          <w:sz w:val="20"/>
          <w:szCs w:val="20"/>
          <w:rtl w:val="0"/>
        </w:rPr>
        <w:t xml:space="preserve">, 2nd edn (London: Sage, 2020). pp. 26-69.  </w:t>
      </w:r>
    </w:p>
  </w:footnote>
  <w:footnote w:id="8">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Marilys Guillemin and Lynn Gillam, ‘Ethics, Reflexivity, and “Ethically Important Moments” in Research’, </w:t>
      </w:r>
      <w:r w:rsidDel="00000000" w:rsidR="00000000" w:rsidRPr="00000000">
        <w:rPr>
          <w:i w:val="1"/>
          <w:iCs w:val="1"/>
          <w:sz w:val="20"/>
          <w:szCs w:val="20"/>
          <w:rtl w:val="0"/>
        </w:rPr>
        <w:t xml:space="preserve">Qualitative Inquiry</w:t>
      </w:r>
      <w:r w:rsidDel="00000000" w:rsidR="00000000" w:rsidRPr="00000000">
        <w:rPr>
          <w:sz w:val="20"/>
          <w:szCs w:val="20"/>
          <w:rtl w:val="0"/>
        </w:rPr>
        <w:t xml:space="preserve">, 10.2 (2004), pp. 261-280. </w:t>
      </w:r>
    </w:p>
  </w:footnote>
  <w:footnote w:id="9">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Jenny Blain, ‘Speaking Shamanistically: Seidr, Academia and Rationality’, </w:t>
      </w:r>
      <w:r w:rsidDel="00000000" w:rsidR="00000000" w:rsidRPr="00000000">
        <w:rPr>
          <w:i w:val="1"/>
          <w:iCs w:val="1"/>
          <w:sz w:val="20"/>
          <w:szCs w:val="20"/>
          <w:rtl w:val="0"/>
        </w:rPr>
        <w:t xml:space="preserve">DISKUS</w:t>
      </w:r>
      <w:r w:rsidDel="00000000" w:rsidR="00000000" w:rsidRPr="00000000">
        <w:rPr>
          <w:sz w:val="20"/>
          <w:szCs w:val="20"/>
          <w:rtl w:val="0"/>
        </w:rPr>
        <w:t xml:space="preserve">, 6 (2000), pp. 3-8, 13.</w:t>
      </w:r>
    </w:p>
  </w:footnote>
  <w:footnote w:id="10">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Felicitas D. Goodman, </w:t>
      </w:r>
      <w:r w:rsidDel="00000000" w:rsidR="00000000" w:rsidRPr="00000000">
        <w:rPr>
          <w:i w:val="1"/>
          <w:iCs w:val="1"/>
          <w:sz w:val="20"/>
          <w:szCs w:val="20"/>
          <w:rtl w:val="0"/>
        </w:rPr>
        <w:t xml:space="preserve">Where the Spirits Ride the Wind: Trance Journeys and Other Ecstatic Experiences</w:t>
      </w:r>
      <w:r w:rsidDel="00000000" w:rsidR="00000000" w:rsidRPr="00000000">
        <w:rPr>
          <w:sz w:val="20"/>
          <w:szCs w:val="20"/>
          <w:rtl w:val="0"/>
        </w:rPr>
        <w:t xml:space="preserve"> (Bloomington: Indiana University Press, 1990); Felicitas D. Goodman, ‘Ritual Body Postures, Channeling, and the Ecstatic Body Trance’, </w:t>
      </w:r>
      <w:r w:rsidDel="00000000" w:rsidR="00000000" w:rsidRPr="00000000">
        <w:rPr>
          <w:i w:val="1"/>
          <w:iCs w:val="1"/>
          <w:sz w:val="20"/>
          <w:szCs w:val="20"/>
          <w:rtl w:val="0"/>
        </w:rPr>
        <w:t xml:space="preserve">Anthropology of Consciousness</w:t>
      </w:r>
      <w:r w:rsidDel="00000000" w:rsidR="00000000" w:rsidRPr="00000000">
        <w:rPr>
          <w:sz w:val="20"/>
          <w:szCs w:val="20"/>
          <w:rtl w:val="0"/>
        </w:rPr>
        <w:t xml:space="preserve">, 10 (1999), pp. 54-59; Dowson (1996), cited in Blain, ‘Speaking Shamanistically: Seidr, Academia and Rationality’, pp. 8-9.</w:t>
      </w:r>
    </w:p>
  </w:footnote>
  <w:footnote w:id="11">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David Yamane, ‘Narrative and Religious Experience’, </w:t>
      </w:r>
      <w:r w:rsidDel="00000000" w:rsidR="00000000" w:rsidRPr="00000000">
        <w:rPr>
          <w:i w:val="1"/>
          <w:iCs w:val="1"/>
          <w:sz w:val="20"/>
          <w:szCs w:val="20"/>
          <w:rtl w:val="0"/>
        </w:rPr>
        <w:t xml:space="preserve">Sociology of Religion</w:t>
      </w:r>
      <w:r w:rsidDel="00000000" w:rsidR="00000000" w:rsidRPr="00000000">
        <w:rPr>
          <w:sz w:val="20"/>
          <w:szCs w:val="20"/>
          <w:rtl w:val="0"/>
        </w:rPr>
        <w:t xml:space="preserve">, 61.2 (2000), pp. 171-189.</w:t>
      </w:r>
    </w:p>
  </w:footnote>
  <w:footnote w:id="12">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Brink, ‘Inconsistency of Belief among Roman Catholic Girls’, p. 84.</w:t>
      </w:r>
    </w:p>
  </w:footnote>
  <w:footnote w:id="13">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Blain, ‘Speaking Shamanistically: Seidr, Academia and Rationality’, p. 7.</w:t>
      </w:r>
    </w:p>
  </w:footnote>
  <w:footnote w:id="14">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Neal Krause and Christopher G. Ellison, ‘The Doubting Process: A Longitudinal Study of the Precipitants and Consequences of Religious Doubt’, </w:t>
      </w:r>
      <w:r w:rsidDel="00000000" w:rsidR="00000000" w:rsidRPr="00000000">
        <w:rPr>
          <w:i w:val="1"/>
          <w:iCs w:val="1"/>
          <w:sz w:val="20"/>
          <w:szCs w:val="20"/>
          <w:rtl w:val="0"/>
        </w:rPr>
        <w:t xml:space="preserve">Journal for the Scientific Study of Religion</w:t>
      </w:r>
      <w:r w:rsidDel="00000000" w:rsidR="00000000" w:rsidRPr="00000000">
        <w:rPr>
          <w:sz w:val="20"/>
          <w:szCs w:val="20"/>
          <w:rtl w:val="0"/>
        </w:rPr>
        <w:t xml:space="preserve">, 48.2 (June 2009), pp. 293-312.</w:t>
      </w:r>
    </w:p>
  </w:footnote>
  <w:footnote w:id="15">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Kathryn Haynes, ‘Reflexivity in Qualitative Research’, in </w:t>
      </w:r>
      <w:r w:rsidDel="00000000" w:rsidR="00000000" w:rsidRPr="00000000">
        <w:rPr>
          <w:i w:val="1"/>
          <w:iCs w:val="1"/>
          <w:sz w:val="20"/>
          <w:szCs w:val="20"/>
          <w:rtl w:val="0"/>
        </w:rPr>
        <w:t xml:space="preserve">Qualitative Organizational Research: Core Methods and Current Challenges</w:t>
      </w:r>
      <w:r w:rsidDel="00000000" w:rsidR="00000000" w:rsidRPr="00000000">
        <w:rPr>
          <w:sz w:val="20"/>
          <w:szCs w:val="20"/>
          <w:rtl w:val="0"/>
        </w:rPr>
        <w:t xml:space="preserve">, ed. by David Buchanan and Alan Bryman (London: SAGE, 2012), pp. 72-89.</w:t>
      </w:r>
    </w:p>
  </w:footnote>
  <w:footnote w:id="16">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Blain, ‘Speaking Shamanistically: Seidr, Academia and Rationality’, p. 11.</w:t>
      </w:r>
    </w:p>
  </w:footnote>
  <w:footnote w:id="17">
    <w:p w:rsidR="00000000" w:rsidDel="00000000" w:rsidP="00000000" w:rsidRDefault="00000000" w:rsidRPr="00000000" w14:paraId="00000057">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Sandra Acker, ‘In/out/side: Positioning the Researcher in Feminist Qualitative Research’, </w:t>
      </w:r>
      <w:r w:rsidDel="00000000" w:rsidR="00000000" w:rsidRPr="00000000">
        <w:rPr>
          <w:i w:val="1"/>
          <w:iCs w:val="1"/>
          <w:sz w:val="20"/>
          <w:szCs w:val="20"/>
          <w:rtl w:val="0"/>
        </w:rPr>
        <w:t xml:space="preserve">Resources for Feminist Research</w:t>
      </w:r>
      <w:r w:rsidDel="00000000" w:rsidR="00000000" w:rsidRPr="00000000">
        <w:rPr>
          <w:sz w:val="20"/>
          <w:szCs w:val="20"/>
          <w:rtl w:val="0"/>
        </w:rPr>
        <w:t xml:space="preserve">, 28.1/2 (2000), p. 189.</w:t>
      </w:r>
      <w:r w:rsidDel="00000000" w:rsidR="00000000" w:rsidRPr="00000000">
        <w:rPr>
          <w:rtl w:val="0"/>
        </w:rPr>
      </w:r>
    </w:p>
  </w:footnote>
  <w:footnote w:id="18">
    <w:p w:rsidR="00000000" w:rsidDel="00000000" w:rsidP="00000000" w:rsidRDefault="00000000" w:rsidRPr="00000000" w14:paraId="00000058">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T. L. Brink, ‘Quantitative and/or Qualitative Methods in the Scientific Study of Religion’, </w:t>
      </w:r>
      <w:r w:rsidDel="00000000" w:rsidR="00000000" w:rsidRPr="00000000">
        <w:rPr>
          <w:i w:val="1"/>
          <w:iCs w:val="1"/>
          <w:sz w:val="20"/>
          <w:szCs w:val="20"/>
          <w:rtl w:val="0"/>
        </w:rPr>
        <w:t xml:space="preserve">Zygon</w:t>
      </w:r>
      <w:r w:rsidDel="00000000" w:rsidR="00000000" w:rsidRPr="00000000">
        <w:rPr>
          <w:sz w:val="20"/>
          <w:szCs w:val="20"/>
          <w:rtl w:val="0"/>
        </w:rPr>
        <w:t xml:space="preserve">, 30.3 (1995), pp. 461-475.</w:t>
      </w:r>
      <w:r w:rsidDel="00000000" w:rsidR="00000000" w:rsidRPr="00000000">
        <w:rPr>
          <w:rtl w:val="0"/>
        </w:rPr>
      </w:r>
    </w:p>
  </w:footnote>
  <w:footnote w:id="19">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Dermot Moran, </w:t>
      </w:r>
      <w:r w:rsidDel="00000000" w:rsidR="00000000" w:rsidRPr="00000000">
        <w:rPr>
          <w:i w:val="1"/>
          <w:iCs w:val="1"/>
          <w:sz w:val="20"/>
          <w:szCs w:val="20"/>
          <w:rtl w:val="0"/>
        </w:rPr>
        <w:t xml:space="preserve">Introduction to Phenomenology</w:t>
      </w:r>
      <w:r w:rsidDel="00000000" w:rsidR="00000000" w:rsidRPr="00000000">
        <w:rPr>
          <w:sz w:val="20"/>
          <w:szCs w:val="20"/>
          <w:rtl w:val="0"/>
        </w:rPr>
        <w:t xml:space="preserve"> (London: Routledge, 2000); Blain, ‘Speaking Shamanistically: Seidr, Academia and Rationality’; Brink, ‘Inconsistency of Belief among Roman Catholic Girls’.</w:t>
      </w:r>
    </w:p>
  </w:footnote>
  <w:footnote w:id="20">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Brian Fay, </w:t>
      </w:r>
      <w:r w:rsidDel="00000000" w:rsidR="00000000" w:rsidRPr="00000000">
        <w:rPr>
          <w:i w:val="1"/>
          <w:iCs w:val="1"/>
          <w:sz w:val="20"/>
          <w:szCs w:val="20"/>
          <w:rtl w:val="0"/>
        </w:rPr>
        <w:t xml:space="preserve">Contemporary Philosophy of Social Science: A Multicultural Approach</w:t>
      </w:r>
      <w:r w:rsidDel="00000000" w:rsidR="00000000" w:rsidRPr="00000000">
        <w:rPr>
          <w:sz w:val="20"/>
          <w:szCs w:val="20"/>
          <w:rtl w:val="0"/>
        </w:rPr>
        <w:t xml:space="preserve"> (Cambridge: Blackwell, 1996), p. 20.</w:t>
      </w:r>
    </w:p>
  </w:footnote>
  <w:footnote w:id="21">
    <w:p w:rsidR="00000000" w:rsidDel="00000000" w:rsidP="00000000" w:rsidRDefault="00000000" w:rsidRPr="00000000" w14:paraId="0000005B">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Deborah Court and R. K. Abbas, </w:t>
      </w:r>
      <w:r w:rsidDel="00000000" w:rsidR="00000000" w:rsidRPr="00000000">
        <w:rPr>
          <w:i w:val="1"/>
          <w:iCs w:val="1"/>
          <w:sz w:val="20"/>
          <w:szCs w:val="20"/>
          <w:rtl w:val="0"/>
        </w:rPr>
        <w:t xml:space="preserve">Insider-Outsider Research in Qualitative Inquiry: New Perspectives on Method and Meaning</w:t>
      </w:r>
      <w:r w:rsidDel="00000000" w:rsidR="00000000" w:rsidRPr="00000000">
        <w:rPr>
          <w:sz w:val="20"/>
          <w:szCs w:val="20"/>
          <w:rtl w:val="0"/>
        </w:rPr>
        <w:t xml:space="preserve"> (London: Routledge, 2022).</w:t>
      </w:r>
      <w:r w:rsidDel="00000000" w:rsidR="00000000" w:rsidRPr="00000000">
        <w:rPr>
          <w:rtl w:val="0"/>
        </w:rPr>
      </w:r>
    </w:p>
  </w:footnote>
  <w:footnote w:id="22">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Patricia A. Adler and Peter Adler, </w:t>
      </w:r>
      <w:r w:rsidDel="00000000" w:rsidR="00000000" w:rsidRPr="00000000">
        <w:rPr>
          <w:i w:val="1"/>
          <w:iCs w:val="1"/>
          <w:sz w:val="20"/>
          <w:szCs w:val="20"/>
          <w:rtl w:val="0"/>
        </w:rPr>
        <w:t xml:space="preserve">Membership Roles in Field Research</w:t>
      </w:r>
      <w:r w:rsidDel="00000000" w:rsidR="00000000" w:rsidRPr="00000000">
        <w:rPr>
          <w:sz w:val="20"/>
          <w:szCs w:val="20"/>
          <w:rtl w:val="0"/>
        </w:rPr>
        <w:t xml:space="preserve"> (Newbury Park, CA: Sage, 1987). </w:t>
      </w:r>
    </w:p>
  </w:footnote>
  <w:footnote w:id="23">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Piedmont, ‘Social Desirability Bias’.</w:t>
      </w:r>
    </w:p>
  </w:footnote>
  <w:footnote w:id="24">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Robert Bellah, ‘Christianity and Symbolism’, </w:t>
      </w:r>
      <w:r w:rsidDel="00000000" w:rsidR="00000000" w:rsidRPr="00000000">
        <w:rPr>
          <w:i w:val="1"/>
          <w:iCs w:val="1"/>
          <w:sz w:val="20"/>
          <w:szCs w:val="20"/>
          <w:rtl w:val="0"/>
        </w:rPr>
        <w:t xml:space="preserve">Journal for the Scientific Study of Religion</w:t>
      </w:r>
      <w:r w:rsidDel="00000000" w:rsidR="00000000" w:rsidRPr="00000000">
        <w:rPr>
          <w:sz w:val="20"/>
          <w:szCs w:val="20"/>
          <w:rtl w:val="0"/>
        </w:rPr>
        <w:t xml:space="preserve">, 9 (1970), pp. 69–89, cited in T. L. Brink, ‘Inconsistency of Belief among Roman Catholic Girls: Concerning Religion, Astrology, Reincarnation’, </w:t>
      </w:r>
      <w:r w:rsidDel="00000000" w:rsidR="00000000" w:rsidRPr="00000000">
        <w:rPr>
          <w:i w:val="1"/>
          <w:iCs w:val="1"/>
          <w:sz w:val="20"/>
          <w:szCs w:val="20"/>
          <w:rtl w:val="0"/>
        </w:rPr>
        <w:t xml:space="preserve">Review of Religious Research</w:t>
      </w:r>
      <w:r w:rsidDel="00000000" w:rsidR="00000000" w:rsidRPr="00000000">
        <w:rPr>
          <w:sz w:val="20"/>
          <w:szCs w:val="20"/>
          <w:rtl w:val="0"/>
        </w:rPr>
        <w:t xml:space="preserve">, 20.1 (Autumn 1978), pp. 82-85.</w:t>
      </w:r>
    </w:p>
  </w:footnote>
  <w:footnote w:id="25">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Piker, ‘The Problem of Consistency in Thai Religion’, cited in Brink, ‘Inconsistency of Belief among Roman Catholic Girls’, pp. 82-85.</w:t>
      </w:r>
    </w:p>
  </w:footnote>
  <w:footnote w:id="30">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Brian Fay, </w:t>
      </w:r>
      <w:r w:rsidDel="00000000" w:rsidR="00000000" w:rsidRPr="00000000">
        <w:rPr>
          <w:i w:val="1"/>
          <w:iCs w:val="1"/>
          <w:sz w:val="20"/>
          <w:szCs w:val="20"/>
          <w:rtl w:val="0"/>
        </w:rPr>
        <w:t xml:space="preserve">Contemporary Philosophy of Social Science: A Multicultural Approach</w:t>
      </w:r>
      <w:r w:rsidDel="00000000" w:rsidR="00000000" w:rsidRPr="00000000">
        <w:rPr>
          <w:sz w:val="20"/>
          <w:szCs w:val="20"/>
          <w:rtl w:val="0"/>
        </w:rPr>
        <w:t xml:space="preserve"> (Cambridge: Blackwell, 1996), p. 20; Yamane, ‘Narrative and Religious Experience’, pp. 171-189.</w:t>
      </w:r>
    </w:p>
  </w:footnote>
  <w:footnote w:id="31">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Blain, ‘Speaking Shamanistically: Seidr, Academia and Rationality’, Preface.</w:t>
      </w:r>
    </w:p>
  </w:footnote>
  <w:footnote w:id="32">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Case and Phillipson, ‘The Hidden Lineage of Modern Management Science’; Michelle Pfeffer, ‘Reassessing the Marginalisation of Astrology in the Early Modern Period’.</w:t>
      </w:r>
    </w:p>
  </w:footnote>
  <w:footnote w:id="33">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Blain, ‘Speaking Shamanistically: Seidr, Academia and Rationality’, pp. 12.</w:t>
      </w:r>
    </w:p>
  </w:footnote>
  <w:footnote w:id="26">
    <w:p w:rsidR="00000000" w:rsidDel="00000000" w:rsidP="00000000" w:rsidRDefault="00000000" w:rsidRPr="00000000" w14:paraId="00000064">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Edmund S. Conklin, ‘Superstitious Belief Among College Students’, </w:t>
      </w:r>
      <w:r w:rsidDel="00000000" w:rsidR="00000000" w:rsidRPr="00000000">
        <w:rPr>
          <w:i w:val="1"/>
          <w:iCs w:val="1"/>
          <w:sz w:val="20"/>
          <w:szCs w:val="20"/>
          <w:rtl w:val="0"/>
        </w:rPr>
        <w:t xml:space="preserve">The American Journal of Psychology</w:t>
      </w:r>
      <w:r w:rsidDel="00000000" w:rsidR="00000000" w:rsidRPr="00000000">
        <w:rPr>
          <w:sz w:val="20"/>
          <w:szCs w:val="20"/>
          <w:rtl w:val="0"/>
        </w:rPr>
        <w:t xml:space="preserve">, 30.1 (1919), pp. 83–102; Brink, ‘Inconsistency of Belief among Roman Catholic Girls’, pp. 82-85.</w:t>
      </w:r>
      <w:r w:rsidDel="00000000" w:rsidR="00000000" w:rsidRPr="00000000">
        <w:rPr>
          <w:rtl w:val="0"/>
        </w:rPr>
      </w:r>
    </w:p>
  </w:footnote>
  <w:footnote w:id="34">
    <w:p w:rsidR="00000000" w:rsidDel="00000000" w:rsidP="00000000" w:rsidRDefault="00000000" w:rsidRPr="00000000" w14:paraId="00000065">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Marilys Guillemin and Lynn Gillam, ‘Ethics, Reflexivity, and “Ethically Important Moments” in Research’, </w:t>
      </w:r>
      <w:r w:rsidDel="00000000" w:rsidR="00000000" w:rsidRPr="00000000">
        <w:rPr>
          <w:i w:val="1"/>
          <w:iCs w:val="1"/>
          <w:sz w:val="20"/>
          <w:szCs w:val="20"/>
          <w:rtl w:val="0"/>
        </w:rPr>
        <w:t xml:space="preserve">Qualitative Inquiry</w:t>
      </w:r>
      <w:r w:rsidDel="00000000" w:rsidR="00000000" w:rsidRPr="00000000">
        <w:rPr>
          <w:sz w:val="20"/>
          <w:szCs w:val="20"/>
          <w:rtl w:val="0"/>
        </w:rPr>
        <w:t xml:space="preserve">, 10.2 (2004), pp. 261-280.</w:t>
      </w:r>
      <w:r w:rsidDel="00000000" w:rsidR="00000000" w:rsidRPr="00000000">
        <w:rPr>
          <w:rtl w:val="0"/>
        </w:rPr>
      </w:r>
    </w:p>
  </w:footnote>
  <w:footnote w:id="28">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Tony Walter and Helen Waterhouse, ‘A Very Private Belief: Reincarnation in Contemporary England’, </w:t>
      </w:r>
      <w:r w:rsidDel="00000000" w:rsidR="00000000" w:rsidRPr="00000000">
        <w:rPr>
          <w:i w:val="1"/>
          <w:iCs w:val="1"/>
          <w:sz w:val="20"/>
          <w:szCs w:val="20"/>
          <w:rtl w:val="0"/>
        </w:rPr>
        <w:t xml:space="preserve">Sociology</w:t>
      </w:r>
      <w:r w:rsidDel="00000000" w:rsidR="00000000" w:rsidRPr="00000000">
        <w:rPr>
          <w:sz w:val="20"/>
          <w:szCs w:val="20"/>
          <w:rtl w:val="0"/>
        </w:rPr>
        <w:t xml:space="preserve">, 33.2 (1999), pp. 249–265; Haynes, ‘Reflexivity in Qualitative Research’, pp.72-89.</w:t>
      </w:r>
    </w:p>
  </w:footnote>
  <w:footnote w:id="27">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Susmito Rittik, ‘Linking Belief Inconsistency and Religious Commitment with Dogmatism’ (unpublished paper, University of New England); Altemeyer, B. (2002). Dogmatic behavior among students: testing a new measure of dogmatism. </w:t>
      </w:r>
      <w:r w:rsidDel="00000000" w:rsidR="00000000" w:rsidRPr="00000000">
        <w:rPr>
          <w:i w:val="1"/>
          <w:iCs w:val="1"/>
          <w:sz w:val="20"/>
          <w:szCs w:val="20"/>
          <w:rtl w:val="0"/>
        </w:rPr>
        <w:t xml:space="preserve">The Journal of Social Psychology</w:t>
      </w:r>
      <w:r w:rsidDel="00000000" w:rsidR="00000000" w:rsidRPr="00000000">
        <w:rPr>
          <w:sz w:val="20"/>
          <w:szCs w:val="20"/>
          <w:rtl w:val="0"/>
        </w:rPr>
        <w:t xml:space="preserve">, </w:t>
      </w:r>
      <w:r w:rsidDel="00000000" w:rsidR="00000000" w:rsidRPr="00000000">
        <w:rPr>
          <w:i w:val="1"/>
          <w:iCs w:val="1"/>
          <w:sz w:val="20"/>
          <w:szCs w:val="20"/>
          <w:rtl w:val="0"/>
        </w:rPr>
        <w:t xml:space="preserve">142(6)</w:t>
      </w:r>
      <w:r w:rsidDel="00000000" w:rsidR="00000000" w:rsidRPr="00000000">
        <w:rPr>
          <w:sz w:val="20"/>
          <w:szCs w:val="20"/>
          <w:rtl w:val="0"/>
        </w:rPr>
        <w:t xml:space="preserve">, pp. 713-721.</w:t>
      </w:r>
    </w:p>
  </w:footnote>
  <w:footnote w:id="29">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iCs w:val="1"/>
          <w:sz w:val="20"/>
          <w:szCs w:val="20"/>
          <w:rtl w:val="0"/>
        </w:rPr>
        <w:t xml:space="preserve">Astrology and Religion Among the Ancients</w:t>
      </w:r>
      <w:r w:rsidDel="00000000" w:rsidR="00000000" w:rsidRPr="00000000">
        <w:rPr>
          <w:sz w:val="20"/>
          <w:szCs w:val="20"/>
          <w:rtl w:val="0"/>
        </w:rPr>
        <w:t xml:space="preserve"> (London: Routledge, 2012); Bob Altemeyer, ‘Dogmatic Behavior among Students: Testing a New Measure of Dogmatism’, </w:t>
      </w:r>
      <w:r w:rsidDel="00000000" w:rsidR="00000000" w:rsidRPr="00000000">
        <w:rPr>
          <w:i w:val="1"/>
          <w:iCs w:val="1"/>
          <w:sz w:val="20"/>
          <w:szCs w:val="20"/>
          <w:rtl w:val="0"/>
        </w:rPr>
        <w:t xml:space="preserve">The Journal of Social Psychology</w:t>
      </w:r>
      <w:r w:rsidDel="00000000" w:rsidR="00000000" w:rsidRPr="00000000">
        <w:rPr>
          <w:sz w:val="20"/>
          <w:szCs w:val="20"/>
          <w:rtl w:val="0"/>
        </w:rPr>
        <w:t xml:space="preserve">, 142.6 (2002), pp. 713-721; Roy Willis and Patrick Curry, </w:t>
      </w:r>
      <w:r w:rsidDel="00000000" w:rsidR="00000000" w:rsidRPr="00000000">
        <w:rPr>
          <w:i w:val="1"/>
          <w:iCs w:val="1"/>
          <w:sz w:val="20"/>
          <w:szCs w:val="20"/>
          <w:rtl w:val="0"/>
        </w:rPr>
        <w:t xml:space="preserve">Astrology, Science and Culture: Pulling Down the Moon</w:t>
      </w:r>
      <w:r w:rsidDel="00000000" w:rsidR="00000000" w:rsidRPr="00000000">
        <w:rPr>
          <w:sz w:val="20"/>
          <w:szCs w:val="20"/>
          <w:rtl w:val="0"/>
        </w:rPr>
        <w:t xml:space="preserve"> (Oxford: Berg, 2004).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07/978-94-007-0753-5_2746" TargetMode="External"/><Relationship Id="rId2" Type="http://schemas.openxmlformats.org/officeDocument/2006/relationships/hyperlink" Target="https://doi.org/10.1002/tea.218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