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CA1E1" w14:textId="77777777" w:rsidR="00493C4B" w:rsidRDefault="00493C4B" w:rsidP="00E306DC">
      <w:r>
        <w:t xml:space="preserve">BA (Hons) International Hotel Management </w:t>
      </w:r>
    </w:p>
    <w:p w14:paraId="306A05ED" w14:textId="77777777" w:rsidR="00493C4B" w:rsidRDefault="00493C4B" w:rsidP="00E306DC">
      <w:r>
        <w:t xml:space="preserve">Personnel Resourcing and Development </w:t>
      </w:r>
    </w:p>
    <w:p w14:paraId="5EAFE0B2" w14:textId="6C48B91D" w:rsidR="00D80129" w:rsidRDefault="00493C4B" w:rsidP="00E306DC">
      <w:r>
        <w:t xml:space="preserve">Module Code: </w:t>
      </w:r>
      <w:r w:rsidRPr="00493C4B">
        <w:t>BMIH5005</w:t>
      </w:r>
    </w:p>
    <w:p w14:paraId="3CC7A4ED" w14:textId="77777777" w:rsidR="00493C4B" w:rsidRDefault="00493C4B"/>
    <w:p w14:paraId="69D5F1E6" w14:textId="29E9B47E" w:rsidR="00493C4B" w:rsidRDefault="00E306DC">
      <w:r w:rsidRPr="00E306DC">
        <w:t>Research Project Proposal – 2000 words (+/-10%)</w:t>
      </w:r>
    </w:p>
    <w:p w14:paraId="4B039D3D" w14:textId="77777777" w:rsidR="00E306DC" w:rsidRDefault="00E306DC"/>
    <w:p w14:paraId="668281BA" w14:textId="5A6CF202" w:rsidR="00E306DC" w:rsidRPr="00E306DC" w:rsidRDefault="00E306DC" w:rsidP="00E306DC">
      <w:pPr>
        <w:jc w:val="center"/>
        <w:rPr>
          <w:sz w:val="40"/>
          <w:szCs w:val="40"/>
        </w:rPr>
      </w:pPr>
      <w:r w:rsidRPr="00E306DC">
        <w:rPr>
          <w:sz w:val="40"/>
          <w:szCs w:val="40"/>
        </w:rPr>
        <w:t>Discuss the impacts of technological force on employee development and retention: Hospitality HR’s perspective</w:t>
      </w:r>
    </w:p>
    <w:p w14:paraId="69609DF7" w14:textId="77777777" w:rsidR="00E306DC" w:rsidRDefault="00E306DC"/>
    <w:p w14:paraId="5D700C65" w14:textId="7238805B" w:rsidR="00493C4B" w:rsidRDefault="00493C4B">
      <w:r>
        <w:t xml:space="preserve">Date: </w:t>
      </w:r>
      <w:r w:rsidRPr="00493C4B">
        <w:t>1st March 2024</w:t>
      </w:r>
    </w:p>
    <w:p w14:paraId="4AF84880" w14:textId="77777777" w:rsidR="00493C4B" w:rsidRDefault="00493C4B"/>
    <w:p w14:paraId="1978461B" w14:textId="324D4C18" w:rsidR="00493C4B" w:rsidRDefault="00493C4B">
      <w:r>
        <w:t>Lecturer name:</w:t>
      </w:r>
      <w:r w:rsidR="00E306DC">
        <w:t xml:space="preserve"> </w:t>
      </w:r>
      <w:r w:rsidR="00E306DC" w:rsidRPr="00E306DC">
        <w:t>Helen Lee</w:t>
      </w:r>
    </w:p>
    <w:p w14:paraId="391C7164" w14:textId="77777777" w:rsidR="00493C4B" w:rsidRDefault="00493C4B"/>
    <w:p w14:paraId="3A00CDF3" w14:textId="2C41901D" w:rsidR="00493C4B" w:rsidRDefault="00E306DC">
      <w:r>
        <w:t xml:space="preserve">Student name: </w:t>
      </w:r>
      <w:r w:rsidR="00493C4B">
        <w:t>Constantin-Bogdan Rusu</w:t>
      </w:r>
    </w:p>
    <w:p w14:paraId="201C754B" w14:textId="119C7090" w:rsidR="00493C4B" w:rsidRDefault="00493C4B">
      <w:r>
        <w:t xml:space="preserve">Student ID: </w:t>
      </w:r>
      <w:r w:rsidR="00E306DC" w:rsidRPr="00E306DC">
        <w:t>2014305</w:t>
      </w:r>
    </w:p>
    <w:p w14:paraId="710E6225" w14:textId="77777777" w:rsidR="00E306DC" w:rsidRDefault="00E306DC"/>
    <w:p w14:paraId="30DE6B7D" w14:textId="529FB4C0" w:rsidR="00E306DC" w:rsidRDefault="00E306DC">
      <w:r>
        <w:t xml:space="preserve">Word count: </w:t>
      </w:r>
      <w:r w:rsidR="009A29AE">
        <w:t>2,011</w:t>
      </w:r>
    </w:p>
    <w:p w14:paraId="213B4734" w14:textId="77777777" w:rsidR="002E4CE2" w:rsidRDefault="002E4CE2"/>
    <w:p w14:paraId="52F0ED65" w14:textId="77777777" w:rsidR="002E4CE2" w:rsidRDefault="002E4CE2"/>
    <w:p w14:paraId="6C301B94" w14:textId="77777777" w:rsidR="002E4CE2" w:rsidRDefault="002E4CE2"/>
    <w:p w14:paraId="45DDBB92" w14:textId="77777777" w:rsidR="002E4CE2" w:rsidRDefault="002E4CE2"/>
    <w:p w14:paraId="325B053B" w14:textId="77777777" w:rsidR="002E4CE2" w:rsidRDefault="002E4CE2"/>
    <w:p w14:paraId="1DBA9365" w14:textId="77777777" w:rsidR="002E4CE2" w:rsidRDefault="002E4CE2"/>
    <w:p w14:paraId="59A204A9" w14:textId="77777777" w:rsidR="002E4CE2" w:rsidRDefault="002E4CE2"/>
    <w:p w14:paraId="1F888168" w14:textId="77777777" w:rsidR="002E4CE2" w:rsidRDefault="002E4CE2"/>
    <w:p w14:paraId="70DC954A" w14:textId="77777777" w:rsidR="002E4CE2" w:rsidRDefault="002E4CE2"/>
    <w:p w14:paraId="28CB5166" w14:textId="77777777" w:rsidR="002E4CE2" w:rsidRDefault="002E4CE2"/>
    <w:p w14:paraId="2FAFDAB9" w14:textId="77777777" w:rsidR="002E4CE2" w:rsidRDefault="002E4CE2"/>
    <w:p w14:paraId="675AA948" w14:textId="77777777" w:rsidR="002E4CE2" w:rsidRDefault="002E4CE2"/>
    <w:p w14:paraId="2580DBAD" w14:textId="77777777" w:rsidR="002E4CE2" w:rsidRDefault="002E4CE2"/>
    <w:p w14:paraId="2E46231C" w14:textId="77777777" w:rsidR="002E4CE2" w:rsidRDefault="002E4CE2"/>
    <w:p w14:paraId="2DBEEC00" w14:textId="29AEE71D" w:rsidR="002E4CE2" w:rsidRDefault="002E4CE2" w:rsidP="002E4CE2">
      <w:pPr>
        <w:pStyle w:val="Heading1"/>
      </w:pPr>
      <w:bookmarkStart w:id="0" w:name="_Toc160228707"/>
      <w:r>
        <w:lastRenderedPageBreak/>
        <w:t>Executive Summary</w:t>
      </w:r>
      <w:bookmarkEnd w:id="0"/>
    </w:p>
    <w:p w14:paraId="75F98E74" w14:textId="77777777" w:rsidR="002E4CE2" w:rsidRDefault="002E4CE2" w:rsidP="002E4CE2">
      <w:pPr>
        <w:spacing w:line="240" w:lineRule="auto"/>
      </w:pPr>
      <w:r>
        <w:t>The aim of the following research project proposal is to discuss the effects of technological forces on employee development. The project proposal is for the General Manager of Marriott International, emphasising solutions to the current external challenges, such as automatic intelligence (AI), retirement tide, etc., that the hotel and the entire sector are facing and how these challenges influence employee recruitment and retention. The objectives of the report include a brief background of the hotel, a discussion regarding the technological development in the hospitality industry, the turnover rate in the sector, the technological factor as part of PESTLE analysis, and how it affects employee recruitment and retention at Marriott International through SWOT analysis. It also provides illustrative examples. Lastly, the report provides recommendations for overcoming these challenges based on the provided assessment.</w:t>
      </w:r>
    </w:p>
    <w:p w14:paraId="01DADF05" w14:textId="77777777" w:rsidR="002E4CE2" w:rsidRDefault="002E4CE2" w:rsidP="002E4CE2">
      <w:pPr>
        <w:spacing w:line="240" w:lineRule="auto"/>
      </w:pPr>
      <w:r>
        <w:t>In the context of strategic HRM, it is extremely important to have a comprehensive understanding of the labour market, which is constantly changing under the influence of macro-environmental forces such as political, economic, social, technological, environmental, and legal factors. The effectiveness of recruitment and retention strategies depends on this comprehensive understanding of the labour market, including its size, level of technological development, elasticity, remuneration levels, geographical dispersion, and status, which includes primary and secondary labour markets. The work environment is reshaped, and it constantly evolves under the impact of technological progress and societal changes, determining changes in labour law and regulation. In the last three decades, employment legislation has changed to adapt to the advancement of technology. Concerns have been raised about how technological advancement might alter the character of certain professions. This mostly relates to how artificial intelligence (AI) represents the highest level of technology and how, in due course, AI will be able to replace intellectual and manual labour. Furthermore, technological advancements have resulted in embedding the latest technology through significant capital investments to improve productivity and profitability, as well as an increasing need for highly digitally skilled employees who require higher remuneration and must offer improved interactions with customers.</w:t>
      </w:r>
    </w:p>
    <w:p w14:paraId="1D2EB8F7" w14:textId="44AA856D" w:rsidR="002E4CE2" w:rsidRDefault="002E4CE2" w:rsidP="002E4CE2">
      <w:pPr>
        <w:spacing w:line="240" w:lineRule="auto"/>
      </w:pPr>
      <w:r>
        <w:t>In this context, it is recommended to continue to embed digitalization and the latest technological developments into HRM strategies and activities to enhance talent recruitment and retention. AI, virtual reality, and gamification are new strategies to attract and retain talent to contribute to the achievement of organisational goals.</w:t>
      </w:r>
    </w:p>
    <w:p w14:paraId="31B5FCC6" w14:textId="77777777" w:rsidR="002E4CE2" w:rsidRDefault="002E4CE2"/>
    <w:p w14:paraId="5B380CE7" w14:textId="77777777" w:rsidR="00E306DC" w:rsidRDefault="00E306DC"/>
    <w:p w14:paraId="0D0EA726" w14:textId="77777777" w:rsidR="00B47677" w:rsidRDefault="00B47677"/>
    <w:p w14:paraId="5656EE6A" w14:textId="77777777" w:rsidR="00B47677" w:rsidRDefault="00B47677"/>
    <w:p w14:paraId="433288F4" w14:textId="77777777" w:rsidR="00B47677" w:rsidRDefault="00B47677"/>
    <w:p w14:paraId="57D5AD88" w14:textId="77777777" w:rsidR="00B47677" w:rsidRDefault="00B47677"/>
    <w:p w14:paraId="309938DA" w14:textId="77777777" w:rsidR="00B47677" w:rsidRDefault="00B47677"/>
    <w:p w14:paraId="48B00E53" w14:textId="77777777" w:rsidR="00B47677" w:rsidRDefault="00B47677"/>
    <w:p w14:paraId="3239B6E0" w14:textId="77777777" w:rsidR="00B47677" w:rsidRDefault="00B47677"/>
    <w:p w14:paraId="345F2AB2" w14:textId="77777777" w:rsidR="00B47677" w:rsidRDefault="00B47677"/>
    <w:sdt>
      <w:sdtPr>
        <w:id w:val="-1993868624"/>
        <w:docPartObj>
          <w:docPartGallery w:val="Table of Contents"/>
          <w:docPartUnique/>
        </w:docPartObj>
      </w:sdtPr>
      <w:sdtEndPr>
        <w:rPr>
          <w:rFonts w:eastAsiaTheme="minorHAnsi" w:cstheme="minorBidi"/>
          <w:b/>
          <w:bCs/>
          <w:noProof/>
          <w:sz w:val="24"/>
          <w:szCs w:val="24"/>
        </w:rPr>
      </w:sdtEndPr>
      <w:sdtContent>
        <w:p w14:paraId="649A9B84" w14:textId="35FCF6C7" w:rsidR="002E4CE2" w:rsidRDefault="002E4CE2">
          <w:pPr>
            <w:pStyle w:val="TOCHeading"/>
          </w:pPr>
          <w:r>
            <w:t>Table of Contents</w:t>
          </w:r>
        </w:p>
        <w:p w14:paraId="6F3ACAB4" w14:textId="20B74D94" w:rsidR="009A29AE" w:rsidRDefault="002E4CE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0228707" w:history="1">
            <w:r w:rsidR="009A29AE" w:rsidRPr="001F486A">
              <w:rPr>
                <w:rStyle w:val="Hyperlink"/>
                <w:noProof/>
              </w:rPr>
              <w:t>Executive Summary</w:t>
            </w:r>
            <w:r w:rsidR="009A29AE">
              <w:rPr>
                <w:noProof/>
                <w:webHidden/>
              </w:rPr>
              <w:tab/>
            </w:r>
            <w:r w:rsidR="009A29AE">
              <w:rPr>
                <w:noProof/>
                <w:webHidden/>
              </w:rPr>
              <w:fldChar w:fldCharType="begin"/>
            </w:r>
            <w:r w:rsidR="009A29AE">
              <w:rPr>
                <w:noProof/>
                <w:webHidden/>
              </w:rPr>
              <w:instrText xml:space="preserve"> PAGEREF _Toc160228707 \h </w:instrText>
            </w:r>
            <w:r w:rsidR="009A29AE">
              <w:rPr>
                <w:noProof/>
                <w:webHidden/>
              </w:rPr>
            </w:r>
            <w:r w:rsidR="009A29AE">
              <w:rPr>
                <w:noProof/>
                <w:webHidden/>
              </w:rPr>
              <w:fldChar w:fldCharType="separate"/>
            </w:r>
            <w:r w:rsidR="009A29AE">
              <w:rPr>
                <w:noProof/>
                <w:webHidden/>
              </w:rPr>
              <w:t>2</w:t>
            </w:r>
            <w:r w:rsidR="009A29AE">
              <w:rPr>
                <w:noProof/>
                <w:webHidden/>
              </w:rPr>
              <w:fldChar w:fldCharType="end"/>
            </w:r>
          </w:hyperlink>
        </w:p>
        <w:p w14:paraId="3D7F4A23" w14:textId="2705DC02" w:rsidR="009A29AE" w:rsidRDefault="009A29AE">
          <w:pPr>
            <w:pStyle w:val="TOC1"/>
            <w:tabs>
              <w:tab w:val="right" w:leader="dot" w:pos="9016"/>
            </w:tabs>
            <w:rPr>
              <w:rFonts w:asciiTheme="minorHAnsi" w:eastAsiaTheme="minorEastAsia" w:hAnsiTheme="minorHAnsi"/>
              <w:noProof/>
              <w:lang w:eastAsia="en-GB"/>
            </w:rPr>
          </w:pPr>
          <w:hyperlink w:anchor="_Toc160228708" w:history="1">
            <w:r w:rsidRPr="001F486A">
              <w:rPr>
                <w:rStyle w:val="Hyperlink"/>
                <w:noProof/>
              </w:rPr>
              <w:t>Introduction</w:t>
            </w:r>
            <w:r>
              <w:rPr>
                <w:noProof/>
                <w:webHidden/>
              </w:rPr>
              <w:tab/>
            </w:r>
            <w:r>
              <w:rPr>
                <w:noProof/>
                <w:webHidden/>
              </w:rPr>
              <w:fldChar w:fldCharType="begin"/>
            </w:r>
            <w:r>
              <w:rPr>
                <w:noProof/>
                <w:webHidden/>
              </w:rPr>
              <w:instrText xml:space="preserve"> PAGEREF _Toc160228708 \h </w:instrText>
            </w:r>
            <w:r>
              <w:rPr>
                <w:noProof/>
                <w:webHidden/>
              </w:rPr>
            </w:r>
            <w:r>
              <w:rPr>
                <w:noProof/>
                <w:webHidden/>
              </w:rPr>
              <w:fldChar w:fldCharType="separate"/>
            </w:r>
            <w:r>
              <w:rPr>
                <w:noProof/>
                <w:webHidden/>
              </w:rPr>
              <w:t>4</w:t>
            </w:r>
            <w:r>
              <w:rPr>
                <w:noProof/>
                <w:webHidden/>
              </w:rPr>
              <w:fldChar w:fldCharType="end"/>
            </w:r>
          </w:hyperlink>
        </w:p>
        <w:p w14:paraId="574BE62C" w14:textId="0975D8DB" w:rsidR="009A29AE" w:rsidRDefault="009A29AE">
          <w:pPr>
            <w:pStyle w:val="TOC1"/>
            <w:tabs>
              <w:tab w:val="right" w:leader="dot" w:pos="9016"/>
            </w:tabs>
            <w:rPr>
              <w:rFonts w:asciiTheme="minorHAnsi" w:eastAsiaTheme="minorEastAsia" w:hAnsiTheme="minorHAnsi"/>
              <w:noProof/>
              <w:lang w:eastAsia="en-GB"/>
            </w:rPr>
          </w:pPr>
          <w:hyperlink w:anchor="_Toc160228709" w:history="1">
            <w:r w:rsidRPr="001F486A">
              <w:rPr>
                <w:rStyle w:val="Hyperlink"/>
                <w:noProof/>
              </w:rPr>
              <w:t>Discussion/Literature</w:t>
            </w:r>
            <w:r>
              <w:rPr>
                <w:noProof/>
                <w:webHidden/>
              </w:rPr>
              <w:tab/>
            </w:r>
            <w:r>
              <w:rPr>
                <w:noProof/>
                <w:webHidden/>
              </w:rPr>
              <w:fldChar w:fldCharType="begin"/>
            </w:r>
            <w:r>
              <w:rPr>
                <w:noProof/>
                <w:webHidden/>
              </w:rPr>
              <w:instrText xml:space="preserve"> PAGEREF _Toc160228709 \h </w:instrText>
            </w:r>
            <w:r>
              <w:rPr>
                <w:noProof/>
                <w:webHidden/>
              </w:rPr>
            </w:r>
            <w:r>
              <w:rPr>
                <w:noProof/>
                <w:webHidden/>
              </w:rPr>
              <w:fldChar w:fldCharType="separate"/>
            </w:r>
            <w:r>
              <w:rPr>
                <w:noProof/>
                <w:webHidden/>
              </w:rPr>
              <w:t>5</w:t>
            </w:r>
            <w:r>
              <w:rPr>
                <w:noProof/>
                <w:webHidden/>
              </w:rPr>
              <w:fldChar w:fldCharType="end"/>
            </w:r>
          </w:hyperlink>
        </w:p>
        <w:p w14:paraId="15CA0E70" w14:textId="223F4460" w:rsidR="009A29AE" w:rsidRDefault="009A29AE">
          <w:pPr>
            <w:pStyle w:val="TOC1"/>
            <w:tabs>
              <w:tab w:val="right" w:leader="dot" w:pos="9016"/>
            </w:tabs>
            <w:rPr>
              <w:rFonts w:asciiTheme="minorHAnsi" w:eastAsiaTheme="minorEastAsia" w:hAnsiTheme="minorHAnsi"/>
              <w:noProof/>
              <w:lang w:eastAsia="en-GB"/>
            </w:rPr>
          </w:pPr>
          <w:hyperlink w:anchor="_Toc160228710" w:history="1">
            <w:r w:rsidRPr="001F486A">
              <w:rPr>
                <w:rStyle w:val="Hyperlink"/>
                <w:noProof/>
              </w:rPr>
              <w:t>Conclusion</w:t>
            </w:r>
            <w:r>
              <w:rPr>
                <w:noProof/>
                <w:webHidden/>
              </w:rPr>
              <w:tab/>
            </w:r>
            <w:r>
              <w:rPr>
                <w:noProof/>
                <w:webHidden/>
              </w:rPr>
              <w:fldChar w:fldCharType="begin"/>
            </w:r>
            <w:r>
              <w:rPr>
                <w:noProof/>
                <w:webHidden/>
              </w:rPr>
              <w:instrText xml:space="preserve"> PAGEREF _Toc160228710 \h </w:instrText>
            </w:r>
            <w:r>
              <w:rPr>
                <w:noProof/>
                <w:webHidden/>
              </w:rPr>
            </w:r>
            <w:r>
              <w:rPr>
                <w:noProof/>
                <w:webHidden/>
              </w:rPr>
              <w:fldChar w:fldCharType="separate"/>
            </w:r>
            <w:r>
              <w:rPr>
                <w:noProof/>
                <w:webHidden/>
              </w:rPr>
              <w:t>8</w:t>
            </w:r>
            <w:r>
              <w:rPr>
                <w:noProof/>
                <w:webHidden/>
              </w:rPr>
              <w:fldChar w:fldCharType="end"/>
            </w:r>
          </w:hyperlink>
        </w:p>
        <w:p w14:paraId="03989A1C" w14:textId="389852C3" w:rsidR="009A29AE" w:rsidRDefault="009A29AE">
          <w:pPr>
            <w:pStyle w:val="TOC1"/>
            <w:tabs>
              <w:tab w:val="right" w:leader="dot" w:pos="9016"/>
            </w:tabs>
            <w:rPr>
              <w:rFonts w:asciiTheme="minorHAnsi" w:eastAsiaTheme="minorEastAsia" w:hAnsiTheme="minorHAnsi"/>
              <w:noProof/>
              <w:lang w:eastAsia="en-GB"/>
            </w:rPr>
          </w:pPr>
          <w:hyperlink w:anchor="_Toc160228711" w:history="1">
            <w:r w:rsidRPr="001F486A">
              <w:rPr>
                <w:rStyle w:val="Hyperlink"/>
                <w:noProof/>
              </w:rPr>
              <w:t>References</w:t>
            </w:r>
            <w:r>
              <w:rPr>
                <w:noProof/>
                <w:webHidden/>
              </w:rPr>
              <w:tab/>
            </w:r>
            <w:r>
              <w:rPr>
                <w:noProof/>
                <w:webHidden/>
              </w:rPr>
              <w:fldChar w:fldCharType="begin"/>
            </w:r>
            <w:r>
              <w:rPr>
                <w:noProof/>
                <w:webHidden/>
              </w:rPr>
              <w:instrText xml:space="preserve"> PAGEREF _Toc160228711 \h </w:instrText>
            </w:r>
            <w:r>
              <w:rPr>
                <w:noProof/>
                <w:webHidden/>
              </w:rPr>
            </w:r>
            <w:r>
              <w:rPr>
                <w:noProof/>
                <w:webHidden/>
              </w:rPr>
              <w:fldChar w:fldCharType="separate"/>
            </w:r>
            <w:r>
              <w:rPr>
                <w:noProof/>
                <w:webHidden/>
              </w:rPr>
              <w:t>10</w:t>
            </w:r>
            <w:r>
              <w:rPr>
                <w:noProof/>
                <w:webHidden/>
              </w:rPr>
              <w:fldChar w:fldCharType="end"/>
            </w:r>
          </w:hyperlink>
        </w:p>
        <w:p w14:paraId="105CD939" w14:textId="173C51FA" w:rsidR="009A29AE" w:rsidRDefault="009A29AE">
          <w:pPr>
            <w:pStyle w:val="TOC1"/>
            <w:tabs>
              <w:tab w:val="right" w:leader="dot" w:pos="9016"/>
            </w:tabs>
            <w:rPr>
              <w:rFonts w:asciiTheme="minorHAnsi" w:eastAsiaTheme="minorEastAsia" w:hAnsiTheme="minorHAnsi"/>
              <w:noProof/>
              <w:lang w:eastAsia="en-GB"/>
            </w:rPr>
          </w:pPr>
          <w:hyperlink w:anchor="_Toc160228712" w:history="1">
            <w:r w:rsidRPr="001F486A">
              <w:rPr>
                <w:rStyle w:val="Hyperlink"/>
                <w:noProof/>
              </w:rPr>
              <w:t>Appendices</w:t>
            </w:r>
            <w:r>
              <w:rPr>
                <w:noProof/>
                <w:webHidden/>
              </w:rPr>
              <w:tab/>
            </w:r>
            <w:r>
              <w:rPr>
                <w:noProof/>
                <w:webHidden/>
              </w:rPr>
              <w:fldChar w:fldCharType="begin"/>
            </w:r>
            <w:r>
              <w:rPr>
                <w:noProof/>
                <w:webHidden/>
              </w:rPr>
              <w:instrText xml:space="preserve"> PAGEREF _Toc160228712 \h </w:instrText>
            </w:r>
            <w:r>
              <w:rPr>
                <w:noProof/>
                <w:webHidden/>
              </w:rPr>
            </w:r>
            <w:r>
              <w:rPr>
                <w:noProof/>
                <w:webHidden/>
              </w:rPr>
              <w:fldChar w:fldCharType="separate"/>
            </w:r>
            <w:r>
              <w:rPr>
                <w:noProof/>
                <w:webHidden/>
              </w:rPr>
              <w:t>12</w:t>
            </w:r>
            <w:r>
              <w:rPr>
                <w:noProof/>
                <w:webHidden/>
              </w:rPr>
              <w:fldChar w:fldCharType="end"/>
            </w:r>
          </w:hyperlink>
        </w:p>
        <w:p w14:paraId="55062A42" w14:textId="146A52EE" w:rsidR="009A29AE" w:rsidRDefault="009A29AE">
          <w:pPr>
            <w:pStyle w:val="TOC2"/>
            <w:tabs>
              <w:tab w:val="right" w:leader="dot" w:pos="9016"/>
            </w:tabs>
            <w:rPr>
              <w:rFonts w:asciiTheme="minorHAnsi" w:eastAsiaTheme="minorEastAsia" w:hAnsiTheme="minorHAnsi"/>
              <w:noProof/>
              <w:lang w:eastAsia="en-GB"/>
            </w:rPr>
          </w:pPr>
          <w:hyperlink w:anchor="_Toc160228713" w:history="1">
            <w:r w:rsidRPr="001F486A">
              <w:rPr>
                <w:rStyle w:val="Hyperlink"/>
                <w:noProof/>
              </w:rPr>
              <w:t>Appendix 1. PESTLE Analysis</w:t>
            </w:r>
            <w:r>
              <w:rPr>
                <w:noProof/>
                <w:webHidden/>
              </w:rPr>
              <w:tab/>
            </w:r>
            <w:r>
              <w:rPr>
                <w:noProof/>
                <w:webHidden/>
              </w:rPr>
              <w:fldChar w:fldCharType="begin"/>
            </w:r>
            <w:r>
              <w:rPr>
                <w:noProof/>
                <w:webHidden/>
              </w:rPr>
              <w:instrText xml:space="preserve"> PAGEREF _Toc160228713 \h </w:instrText>
            </w:r>
            <w:r>
              <w:rPr>
                <w:noProof/>
                <w:webHidden/>
              </w:rPr>
            </w:r>
            <w:r>
              <w:rPr>
                <w:noProof/>
                <w:webHidden/>
              </w:rPr>
              <w:fldChar w:fldCharType="separate"/>
            </w:r>
            <w:r>
              <w:rPr>
                <w:noProof/>
                <w:webHidden/>
              </w:rPr>
              <w:t>12</w:t>
            </w:r>
            <w:r>
              <w:rPr>
                <w:noProof/>
                <w:webHidden/>
              </w:rPr>
              <w:fldChar w:fldCharType="end"/>
            </w:r>
          </w:hyperlink>
        </w:p>
        <w:p w14:paraId="68901BE9" w14:textId="7ABFFB26" w:rsidR="009A29AE" w:rsidRDefault="009A29AE">
          <w:pPr>
            <w:pStyle w:val="TOC2"/>
            <w:tabs>
              <w:tab w:val="right" w:leader="dot" w:pos="9016"/>
            </w:tabs>
            <w:rPr>
              <w:rFonts w:asciiTheme="minorHAnsi" w:eastAsiaTheme="minorEastAsia" w:hAnsiTheme="minorHAnsi"/>
              <w:noProof/>
              <w:lang w:eastAsia="en-GB"/>
            </w:rPr>
          </w:pPr>
          <w:hyperlink w:anchor="_Toc160228714" w:history="1">
            <w:r w:rsidRPr="001F486A">
              <w:rPr>
                <w:rStyle w:val="Hyperlink"/>
                <w:noProof/>
              </w:rPr>
              <w:t>Appendix 2 SWOT Analysis</w:t>
            </w:r>
            <w:r>
              <w:rPr>
                <w:noProof/>
                <w:webHidden/>
              </w:rPr>
              <w:tab/>
            </w:r>
            <w:r>
              <w:rPr>
                <w:noProof/>
                <w:webHidden/>
              </w:rPr>
              <w:fldChar w:fldCharType="begin"/>
            </w:r>
            <w:r>
              <w:rPr>
                <w:noProof/>
                <w:webHidden/>
              </w:rPr>
              <w:instrText xml:space="preserve"> PAGEREF _Toc160228714 \h </w:instrText>
            </w:r>
            <w:r>
              <w:rPr>
                <w:noProof/>
                <w:webHidden/>
              </w:rPr>
            </w:r>
            <w:r>
              <w:rPr>
                <w:noProof/>
                <w:webHidden/>
              </w:rPr>
              <w:fldChar w:fldCharType="separate"/>
            </w:r>
            <w:r>
              <w:rPr>
                <w:noProof/>
                <w:webHidden/>
              </w:rPr>
              <w:t>13</w:t>
            </w:r>
            <w:r>
              <w:rPr>
                <w:noProof/>
                <w:webHidden/>
              </w:rPr>
              <w:fldChar w:fldCharType="end"/>
            </w:r>
          </w:hyperlink>
        </w:p>
        <w:p w14:paraId="1A4D155C" w14:textId="7B8BB619" w:rsidR="002E4CE2" w:rsidRDefault="002E4CE2">
          <w:r>
            <w:rPr>
              <w:b/>
              <w:bCs/>
              <w:noProof/>
            </w:rPr>
            <w:fldChar w:fldCharType="end"/>
          </w:r>
        </w:p>
      </w:sdtContent>
    </w:sdt>
    <w:p w14:paraId="0B7BE129" w14:textId="77777777" w:rsidR="00B47677" w:rsidRDefault="00B47677"/>
    <w:p w14:paraId="24C66C7F" w14:textId="77777777" w:rsidR="002E4CE2" w:rsidRDefault="002E4CE2"/>
    <w:p w14:paraId="2215B89B" w14:textId="77777777" w:rsidR="002E4CE2" w:rsidRDefault="002E4CE2"/>
    <w:p w14:paraId="6575C633" w14:textId="77777777" w:rsidR="002E4CE2" w:rsidRDefault="002E4CE2"/>
    <w:p w14:paraId="56343DCC" w14:textId="77777777" w:rsidR="002E4CE2" w:rsidRDefault="002E4CE2"/>
    <w:p w14:paraId="313BE50D" w14:textId="77777777" w:rsidR="002E4CE2" w:rsidRDefault="002E4CE2"/>
    <w:p w14:paraId="5AD72685" w14:textId="77777777" w:rsidR="002E4CE2" w:rsidRDefault="002E4CE2"/>
    <w:p w14:paraId="5ABFAA82" w14:textId="77777777" w:rsidR="002E4CE2" w:rsidRDefault="002E4CE2"/>
    <w:p w14:paraId="5B5EE258" w14:textId="77777777" w:rsidR="002E4CE2" w:rsidRDefault="002E4CE2"/>
    <w:p w14:paraId="3B057A37" w14:textId="77777777" w:rsidR="002E4CE2" w:rsidRDefault="002E4CE2"/>
    <w:p w14:paraId="79AA4576" w14:textId="77777777" w:rsidR="002E4CE2" w:rsidRDefault="002E4CE2"/>
    <w:p w14:paraId="37F8D97F" w14:textId="77777777" w:rsidR="002E4CE2" w:rsidRDefault="002E4CE2"/>
    <w:p w14:paraId="418B1497" w14:textId="77777777" w:rsidR="002E4CE2" w:rsidRDefault="002E4CE2"/>
    <w:p w14:paraId="495FF862" w14:textId="77777777" w:rsidR="002E4CE2" w:rsidRDefault="002E4CE2"/>
    <w:p w14:paraId="06D275A7" w14:textId="77777777" w:rsidR="002E4CE2" w:rsidRDefault="002E4CE2"/>
    <w:p w14:paraId="1735CC4B" w14:textId="77777777" w:rsidR="002E4CE2" w:rsidRDefault="002E4CE2"/>
    <w:p w14:paraId="2537282D" w14:textId="77777777" w:rsidR="002E4CE2" w:rsidRDefault="002E4CE2"/>
    <w:p w14:paraId="1D34E130" w14:textId="77777777" w:rsidR="002E4CE2" w:rsidRDefault="002E4CE2"/>
    <w:p w14:paraId="400DFB36" w14:textId="77777777" w:rsidR="002E4CE2" w:rsidRDefault="002E4CE2"/>
    <w:p w14:paraId="6E088E59" w14:textId="77777777" w:rsidR="002E4CE2" w:rsidRDefault="002E4CE2"/>
    <w:p w14:paraId="02942613" w14:textId="77777777" w:rsidR="002E4CE2" w:rsidRDefault="002E4CE2"/>
    <w:p w14:paraId="3E427F42" w14:textId="646B22DC" w:rsidR="00B47677" w:rsidRDefault="00B47677" w:rsidP="00B47677">
      <w:pPr>
        <w:pStyle w:val="Heading1"/>
      </w:pPr>
      <w:bookmarkStart w:id="1" w:name="_Toc160228708"/>
      <w:r>
        <w:lastRenderedPageBreak/>
        <w:t>Introduction</w:t>
      </w:r>
      <w:bookmarkEnd w:id="1"/>
    </w:p>
    <w:p w14:paraId="38088398" w14:textId="77777777" w:rsidR="0071328A" w:rsidRDefault="0071328A" w:rsidP="0071328A">
      <w:r>
        <w:t>The aim of the following research project proposal is to discuss the effects of technological forces on employee development. The project proposal is for the General Manager of Marriott International, emphasising solutions to the current external challenges, such as automatic intelligence (AI), retirement tide, etc., that the hotel and the entire sector are facing and how these challenges influence employee recruitment and retention. The objectives of the report include a brief background of the hotel, a discussion regarding the technological development in the hospitality industry, the turnover rate in the sector, the technological factor as part of PESTLE analysis, and how it affects employee recruitment and retention at Marriott International through SWOT analysis. It also provides illustrative examples. Lastly, the report provides recommendations for overcoming these challenges based on the provided assessment.</w:t>
      </w:r>
    </w:p>
    <w:p w14:paraId="39AD35A9" w14:textId="77777777" w:rsidR="0071328A" w:rsidRDefault="0071328A" w:rsidP="0071328A">
      <w:r>
        <w:t>Marriott International is the leading brand in hospitality, a global operator, franchisor, and licensor of accommodation establishments, including hotels, residences, timeshares, and other types of lodging (Marriott International, 2023). The global chain of the corporation includes a vast and strong portfolio with more than 30 brands and circa 8,700 properties across 139 countries and territories, offering their customers more methods to bond, experience, and develop their world (Marriott International, 2024). Marriott managed the employment of about 377,000 employees as of the end of 2022, including 237,000 people who work for the property owners, which are supervised by Marriott, and 140,000 individuals employed by Marriott at properties, customer support centres, and above-property operations (Marriott International, 2023).</w:t>
      </w:r>
    </w:p>
    <w:p w14:paraId="15ECD7BA" w14:textId="44F06D42" w:rsidR="00BE0556" w:rsidRDefault="0071328A" w:rsidP="0071328A">
      <w:r>
        <w:t xml:space="preserve">There are many significant challenges that influence employee recruitment and retention at the leading international hotel brand, including labour shortages, attitudes towards employment, potential employees’ skill level, digitalization and technological advancement, an ageing population, changing work patterns due to technology, changing legislation regarding the use of technology by corporations, the need for additional jobs, digital upskilling, etc. (Boella and Goss-Turner, 2013). The advancement of technology reshapes hospitality operations, work patterns, behaviours, and attitudes. In the digital era, companies need to adapt, find solutions to adapt to the changes, and devise and implement HRM policies to overcome the </w:t>
      </w:r>
      <w:r>
        <w:lastRenderedPageBreak/>
        <w:t>challenges that occur due to the impact of macro-environmental forces. Since 2013, Marriott International has found a solution to overcome staff shortages and to attract digitally skilled university graduates through the Global Voyage Leadership Development Programme, offering a mixture of hands-on, discipline-detailed training and a curriculum focused on leadership that can be accessed via custom technology (Marriott International, 2023). Over 550 graduates in the US and Canada finished the programme in 2022 and were employed by the corporation (Marriott International, 2023).</w:t>
      </w:r>
    </w:p>
    <w:p w14:paraId="492E0568" w14:textId="77777777" w:rsidR="0071328A" w:rsidRDefault="0071328A" w:rsidP="0071328A"/>
    <w:p w14:paraId="24128FB5" w14:textId="2E73A17C" w:rsidR="00996CE9" w:rsidRDefault="00996CE9" w:rsidP="00996CE9">
      <w:pPr>
        <w:pStyle w:val="Heading1"/>
      </w:pPr>
      <w:bookmarkStart w:id="2" w:name="_Toc160228709"/>
      <w:r>
        <w:t>Discussion/Literature</w:t>
      </w:r>
      <w:bookmarkEnd w:id="2"/>
      <w:r>
        <w:t xml:space="preserve"> </w:t>
      </w:r>
    </w:p>
    <w:p w14:paraId="672BDC18" w14:textId="77777777" w:rsidR="0071328A" w:rsidRDefault="0071328A" w:rsidP="0071328A">
      <w:r>
        <w:t>Armstrong and Taylor (2020) define HRM as a strategic and coherent approach to the management of a firm's most important assets, namely the employees who individually and collectively contribute to the achievement of organisational goals. Additionally, CIPD (2023) emphasises that HRM is the process of developing a plan framework for hiring, managing, and developing staff members in a way that leads to the fulfilment of the long-term objectives of the company, ensuring that all the aspects are coherent in promoting the attitudes and behaviours required to generate value and fulfil performance goals.</w:t>
      </w:r>
    </w:p>
    <w:p w14:paraId="18A77EA1" w14:textId="77777777" w:rsidR="0071328A" w:rsidRDefault="0071328A" w:rsidP="0071328A">
      <w:r>
        <w:t>In the context of strategic HRM, it is extremely important to have a comprehensive understanding of the labour market, which is constantly changing under the influence of macro-environmental forces such as political, economic, social, technological, environmental, and legal factors. According to Boella and Goss-Turner (2013), the effectiveness of recruitment and retention strategies depends on this comprehensive understanding of the labour market, including its size, level of technological development, elasticity, remuneration levels, geographical dispersion, and status, which includes primary and secondary labour markets.</w:t>
      </w:r>
    </w:p>
    <w:p w14:paraId="6CB1AE44" w14:textId="77777777" w:rsidR="0071328A" w:rsidRDefault="0071328A" w:rsidP="0071328A">
      <w:r>
        <w:t xml:space="preserve">Moreover, according to Autor (2015), automation, artificial intelligence, and significantly increased processing capacity present a chance to replace labour on a never-before-seen scale. However, Boella and Goss-Turner (2013) argue that there is no chance that the primary services offered by the hospitality sector will become obsolete in the short run, explaining that certain employment categories will vanish as a result of outsourcing or technological advancements (telephonists, for example). </w:t>
      </w:r>
      <w:r>
        <w:lastRenderedPageBreak/>
        <w:t>Thus, the hospitality industry will certainly continue to grow, even though certain job positions will be altered.</w:t>
      </w:r>
    </w:p>
    <w:p w14:paraId="7777675A" w14:textId="77777777" w:rsidR="0071328A" w:rsidRDefault="0071328A" w:rsidP="0071328A">
      <w:r>
        <w:t>Another challenge is the fact that countries differ significantly in their level of technological progress as well as in their views on the acceptance and usage of it. The workforces of certain nations are highly educated and sophisticated, making it easier for them to adopt new technology; in contrast, the attitudes of certain other nations towards technology and machines will make this process more difficult, as per the view of Boella and Goss-Turner (2013). The work environment is reshaped, and it constantly evolves under the impact of technological progress and societal changes, determining changes in labour law and regulation. Boella and Goss-Turner (2013) explain that in the last three decades, employment legislation has changed to adapt to the advancement of technology.</w:t>
      </w:r>
    </w:p>
    <w:p w14:paraId="3AC4E341" w14:textId="77777777" w:rsidR="0071328A" w:rsidRDefault="0071328A" w:rsidP="0071328A">
      <w:r>
        <w:t>Furthermore, according to Su et al. (2022), concerns have been raised about how technological advancement might alter the character of certain professions. This mostly relates to how artificial intelligence (AI) represents the highest level of technology and how, in due course, AI will be able to replace intellectual and manual labour (Su et al., 2022). On the other hand, the business tourism segment has significantly grown in technologically advanced economies as a result of increasing demand for business professionals to meet (Boella and Goss-Turner, 2013).</w:t>
      </w:r>
    </w:p>
    <w:p w14:paraId="2E4EFC52" w14:textId="77777777" w:rsidR="0071328A" w:rsidRDefault="0071328A" w:rsidP="0071328A">
      <w:r>
        <w:t>Another macrotrend that impacts the hospitality industry is the ageing population, which affects demand and results in labour market shortages in this labour-intensive sector (Baum, 2010). According to Michael and Fotiadis (2022), recent statistics show that personnel turnover rates in the hotel segment range from 30% to 73% worldwide.</w:t>
      </w:r>
    </w:p>
    <w:p w14:paraId="2732A91C" w14:textId="77777777" w:rsidR="0071328A" w:rsidRDefault="0071328A" w:rsidP="0071328A">
      <w:r>
        <w:t>Moreover, there is an increased requirement for superior digital skills to generate and disseminate concepts and data (van Laar et al., 2019) and also for adapting to the characteristics and work attitudes and behaviours of young people (Bencsik, Horváth-Csikós, and Juhász, 2016).</w:t>
      </w:r>
    </w:p>
    <w:p w14:paraId="5D8E7069" w14:textId="77777777" w:rsidR="0071328A" w:rsidRDefault="0071328A" w:rsidP="0071328A">
      <w:r>
        <w:t xml:space="preserve">Furthermore, technological advancements have resulted in embedding the latest technology through significant capital investments to improve productivity and profitability, as well as an increasing need for highly digitally skilled employees who require higher remuneration and must offer improved interactions with customers. As a result, HRM professionals must consider enhancing training strategies to develop the workforce (Stone et al., 2015). Boella and Goss-Turner (2013) explain that embedding the latest technologies into the hospitality sector can improve the </w:t>
      </w:r>
      <w:r>
        <w:lastRenderedPageBreak/>
        <w:t>productivity and performance of the organisation, for example, through enhanced digital booking systems. This impact could also be referred to as the "process" effect since it primarily addresses the method by which the client obtains or receives the "service" offering. Additionally, hospitality operators may be able to provide improved "service" options or goods, like e-conferencing, thanks to these advanced technologies, as per the "product" impact (Boella and Goss-Turner, 2013). In other situations, the personal touch components of service are the main source of reliance. This kind of product may be referred to as "hi-touch" when the human element is strong. Hence, work is reorganised and redistributed as a result of technological progress.</w:t>
      </w:r>
    </w:p>
    <w:p w14:paraId="3C7B52CC" w14:textId="77777777" w:rsidR="0071328A" w:rsidRDefault="0071328A" w:rsidP="0071328A">
      <w:r>
        <w:t>In recent decades, artificial intelligence has expanded the scope of researching employment trends (Vrontis et al., 2022), considering that big data analytics, machine learning, and other technological advancements have made it possible to identify and assess patterns and, consequently, to anticipate potential human decisions and behaviours. Vrontis et al. (2022) argue that automation represents a novel strategy for personnel management and improving business performance, providing several HRM opportunities along with significant technological and ethical constraints. The effect of automation on HRM activities, such as hiring, training, and performance management, as well as HRM policies and strategic decisions, such as job replacement, collaboration between employees and robots and AI, decisional processes, and learning opportunities, According to Cooke et al. (2019), machine learning algorithms, smart devices, and the Internet of Things (IoT) enable more effective management and collaboration, making them especially beneficial for firms that operate internationally. Additionally, digital HRM information systems and other software developments represent a significant opportunity for HR departments to reduce the costs of departmental operations, incorporating employee performance appraisals and job applicant evaluations (Vrontis et al., 2022). Moreover, digitalization is transforming HRM-related activities through the introduction of e-training, e-recruitment, or e-competence management, hence improving the quality of HRM services.</w:t>
      </w:r>
    </w:p>
    <w:p w14:paraId="6224301A" w14:textId="77777777" w:rsidR="0071328A" w:rsidRDefault="0071328A" w:rsidP="0071328A">
      <w:r>
        <w:t xml:space="preserve">Stone et al. (2015) emphasise that interactive digital tools such as Web 2.0, social media, virtual reality, and virtual job previews may improve the customisation of e-recruiting and raise its efficiency. In the future, job candidates would be able to participate in interactive discussions with employers, join virtual job fairs, and get a virtual glimpse into the firm's regular operations. Virtual job fairs are online events </w:t>
      </w:r>
      <w:r>
        <w:lastRenderedPageBreak/>
        <w:t>where companies and candidates interact virtually using chat rooms, webinars, webcasts, and computer-based simulations. Participants can browse corporate data, submit resumes, and have face-to-face meetings with employers over the Internet in a virtual environment (Stone et al., 2015).</w:t>
      </w:r>
    </w:p>
    <w:p w14:paraId="2156470A" w14:textId="77777777" w:rsidR="0071328A" w:rsidRDefault="0071328A" w:rsidP="0071328A">
      <w:r>
        <w:t>PESTLE and SWOT analysis are assessment tools that support decision-making in strategic HRM. Please see Appendix 1 for PESTLE analysis and Appendix 2 for SWOT analysis of Marriott International.</w:t>
      </w:r>
    </w:p>
    <w:p w14:paraId="6FA2D989" w14:textId="05F00C33" w:rsidR="00B47677" w:rsidRDefault="0071328A" w:rsidP="0071328A">
      <w:r>
        <w:t>Marriott launched new digital resources in 2022 to give employees access to a variety of stress-reduction, anxiety-reduction, and anti-depression programmes (Marriott International, 2023). Moreover, Marriott's Global Privacy Office offers online and in-person privacy awareness training to its employees worldwide. Every year, Marriott conducts an evaluation of their global privacy training, which is available in multiple languages (Marriott International, 2023). In the past, the hotel chain has used the recruiting game My Marriott Hotel to appeal to candidates in a more interactive and entertaining manner (Brassfield, 2011), which can be considered an effective way to attract young people. Moreover, Marriott International has significantly redesigned its HR technology by implementing a new Human Capital Management (HCM) system driven by Oracle Fusion, which emphasises the employee experience (Accenture, 2024). The new mHUB platform made it possible for employee data, learning and training information, internal job openings, and other vital HR resources to be accessed quickly, easily, and customised in 15 different languages.</w:t>
      </w:r>
    </w:p>
    <w:p w14:paraId="4C77804D" w14:textId="77777777" w:rsidR="0071328A" w:rsidRDefault="0071328A" w:rsidP="0071328A"/>
    <w:p w14:paraId="38BACB5C" w14:textId="4EF9E995" w:rsidR="00B47677" w:rsidRDefault="00B47677" w:rsidP="00B47677">
      <w:pPr>
        <w:pStyle w:val="Heading1"/>
      </w:pPr>
      <w:bookmarkStart w:id="3" w:name="_Toc160228710"/>
      <w:r>
        <w:t>Conclusion</w:t>
      </w:r>
      <w:bookmarkEnd w:id="3"/>
      <w:r>
        <w:t xml:space="preserve"> </w:t>
      </w:r>
    </w:p>
    <w:p w14:paraId="6987AAFA" w14:textId="77777777" w:rsidR="009A29AE" w:rsidRDefault="009A29AE" w:rsidP="009A29AE">
      <w:r>
        <w:t>The research project proposal has discussed the effects of technological forces on employee development. The project proposal emphasised solutions to the current external challenges that the hotel and the entire sector are facing and how these challenges influence employee recruitment and retention. The report included a brief background of the hotel, a discussion regarding the technological development in the hospitality industry, the turnover rate in the sector, the technological factor as part of PESTLE analysis, and how it affects employee recruitment and retention at Marriott International through SWOT analysis, and it also provided illustrative examples.</w:t>
      </w:r>
    </w:p>
    <w:p w14:paraId="14B734AE" w14:textId="77777777" w:rsidR="009A29AE" w:rsidRDefault="009A29AE" w:rsidP="009A29AE">
      <w:r>
        <w:t xml:space="preserve">In the context of strategic HRM, it is extremely important to have a comprehensive understanding of the labour market, which is constantly changing under the influence </w:t>
      </w:r>
      <w:r>
        <w:lastRenderedPageBreak/>
        <w:t>of macro-environmental forces such as political, economic, social, technological, environmental, and legal factors. The effectiveness of recruitment and retention strategies depends on this comprehensive understanding of the labour market, including its size, level of technological development, elasticity, remuneration levels, geographical dispersion, and status, which includes primary and secondary labour markets. The work environment is reshaped, and it constantly evolves under the impact of technological progress and societal changes, determining changes in labour law and regulation. In the last three decades, employment legislation has changed to adapt to the advancement of technology. Concerns have been raised about how technological advancement might alter the character of certain professions. This mostly relates to how artificial intelligence (AI) represents the highest level of technology and how, in due course, AI will be able to replace intellectual and manual labour. Furthermore, technological advancements have resulted in embedding the latest technology through significant capital investments to improve productivity and profitability, as well as an increasing need for highly digitally skilled employees who require higher remuneration and must offer improved interactions with customers.</w:t>
      </w:r>
    </w:p>
    <w:p w14:paraId="536CB45A" w14:textId="77777777" w:rsidR="009A29AE" w:rsidRDefault="009A29AE" w:rsidP="009A29AE">
      <w:r>
        <w:t>In this context, it is recommended to continue to embed digitalization and the latest technological developments into HRM strategies and activities to enhance talent recruitment and retention. AI, virtual reality, and gamification are new strategies to attract and retain talent to contribute to the achievement of organisational goals.</w:t>
      </w:r>
    </w:p>
    <w:p w14:paraId="74653E2B" w14:textId="0C4FC2EE" w:rsidR="00B704F1" w:rsidRDefault="009A29AE" w:rsidP="009A29AE">
      <w:r>
        <w:t> </w:t>
      </w:r>
    </w:p>
    <w:p w14:paraId="752A7B31" w14:textId="77777777" w:rsidR="009A29AE" w:rsidRDefault="009A29AE" w:rsidP="009A29AE"/>
    <w:p w14:paraId="1579D0D2" w14:textId="77777777" w:rsidR="009A29AE" w:rsidRDefault="009A29AE" w:rsidP="009A29AE"/>
    <w:p w14:paraId="07023AE4" w14:textId="77777777" w:rsidR="009A29AE" w:rsidRDefault="009A29AE" w:rsidP="009A29AE"/>
    <w:p w14:paraId="5D2BA06B" w14:textId="77777777" w:rsidR="009A29AE" w:rsidRDefault="009A29AE" w:rsidP="009A29AE"/>
    <w:p w14:paraId="7CC63870" w14:textId="77777777" w:rsidR="009A29AE" w:rsidRDefault="009A29AE" w:rsidP="009A29AE"/>
    <w:p w14:paraId="774EA0B6" w14:textId="77777777" w:rsidR="009A29AE" w:rsidRDefault="009A29AE" w:rsidP="009A29AE"/>
    <w:p w14:paraId="09B8639C" w14:textId="77777777" w:rsidR="009A29AE" w:rsidRDefault="009A29AE" w:rsidP="009A29AE"/>
    <w:p w14:paraId="71AF2639" w14:textId="77777777" w:rsidR="009A29AE" w:rsidRDefault="009A29AE" w:rsidP="009A29AE"/>
    <w:p w14:paraId="10AA248B" w14:textId="77777777" w:rsidR="009A29AE" w:rsidRDefault="009A29AE" w:rsidP="009A29AE"/>
    <w:p w14:paraId="36321998" w14:textId="77777777" w:rsidR="001A7120" w:rsidRPr="001A7120" w:rsidRDefault="001A7120" w:rsidP="001A7120"/>
    <w:p w14:paraId="482B40CB" w14:textId="77777777" w:rsidR="00B47677" w:rsidRDefault="00B47677"/>
    <w:p w14:paraId="3D65C7A4" w14:textId="7AAFA242" w:rsidR="00B47677" w:rsidRDefault="00B47677" w:rsidP="00B47677">
      <w:pPr>
        <w:pStyle w:val="Heading1"/>
      </w:pPr>
      <w:bookmarkStart w:id="4" w:name="_Toc160228711"/>
      <w:r>
        <w:lastRenderedPageBreak/>
        <w:t>References</w:t>
      </w:r>
      <w:bookmarkEnd w:id="4"/>
    </w:p>
    <w:p w14:paraId="7F9171A4" w14:textId="77777777" w:rsidR="009A29AE" w:rsidRDefault="009A29AE"/>
    <w:p w14:paraId="09C1934C" w14:textId="77777777" w:rsidR="009A29AE" w:rsidRPr="001A7120" w:rsidRDefault="009A29AE" w:rsidP="001A7120">
      <w:r>
        <w:t xml:space="preserve">Accenture (2024) </w:t>
      </w:r>
      <w:r w:rsidRPr="001A7120">
        <w:rPr>
          <w:i/>
          <w:iCs/>
        </w:rPr>
        <w:t>Be our guest: Marriott’s new global HR hub</w:t>
      </w:r>
      <w:r>
        <w:t xml:space="preserve">. Available at: </w:t>
      </w:r>
      <w:hyperlink r:id="rId7" w:history="1">
        <w:r w:rsidRPr="007D1D77">
          <w:rPr>
            <w:rStyle w:val="Hyperlink"/>
          </w:rPr>
          <w:t>https://www.accenture.com/us-en/case-studies/travel/hr-transformation</w:t>
        </w:r>
      </w:hyperlink>
      <w:r>
        <w:t xml:space="preserve"> </w:t>
      </w:r>
      <w:r>
        <w:t>(Accessed: 29 February 2024)</w:t>
      </w:r>
    </w:p>
    <w:p w14:paraId="623C81AE" w14:textId="77777777" w:rsidR="009A29AE" w:rsidRDefault="009A29AE">
      <w:r w:rsidRPr="00C92F2B">
        <w:t>Armstrong, M.</w:t>
      </w:r>
      <w:r>
        <w:t>,</w:t>
      </w:r>
      <w:r w:rsidRPr="00C92F2B">
        <w:t xml:space="preserve"> and Taylor, S. (2020) </w:t>
      </w:r>
      <w:r w:rsidRPr="00C92F2B">
        <w:rPr>
          <w:i/>
          <w:iCs/>
        </w:rPr>
        <w:t>Armstrong’s handbook of human resource management practice</w:t>
      </w:r>
      <w:r w:rsidRPr="00C92F2B">
        <w:t>. 15th ed</w:t>
      </w:r>
      <w:r>
        <w:t>n</w:t>
      </w:r>
      <w:r w:rsidRPr="00C92F2B">
        <w:t>. London, United Kingdom: Kogan</w:t>
      </w:r>
      <w:r>
        <w:t xml:space="preserve"> </w:t>
      </w:r>
      <w:r w:rsidRPr="00C92F2B">
        <w:t>Page.</w:t>
      </w:r>
    </w:p>
    <w:p w14:paraId="4647DD75" w14:textId="77777777" w:rsidR="009A29AE" w:rsidRDefault="009A29AE">
      <w:r w:rsidRPr="00A555C0">
        <w:t xml:space="preserve">Autor, D.H. </w:t>
      </w:r>
      <w:r>
        <w:t>(</w:t>
      </w:r>
      <w:r w:rsidRPr="00A555C0">
        <w:t>2015</w:t>
      </w:r>
      <w:r>
        <w:t>)</w:t>
      </w:r>
      <w:r w:rsidRPr="00A555C0">
        <w:t xml:space="preserve"> </w:t>
      </w:r>
      <w:r>
        <w:t>‘</w:t>
      </w:r>
      <w:r w:rsidRPr="00A555C0">
        <w:t>Why are there still so many jobs? The history and future of workplace automation</w:t>
      </w:r>
      <w:r>
        <w:t>’</w:t>
      </w:r>
      <w:r w:rsidRPr="00A555C0">
        <w:t xml:space="preserve">. </w:t>
      </w:r>
      <w:r w:rsidRPr="00A555C0">
        <w:rPr>
          <w:i/>
          <w:iCs/>
        </w:rPr>
        <w:t>Journal of economic perspectives</w:t>
      </w:r>
      <w:r w:rsidRPr="00A555C0">
        <w:t>, 29(3), pp.</w:t>
      </w:r>
      <w:r>
        <w:t xml:space="preserve"> </w:t>
      </w:r>
      <w:r w:rsidRPr="00A555C0">
        <w:t>3-30.</w:t>
      </w:r>
      <w:r>
        <w:t xml:space="preserve"> Available at: </w:t>
      </w:r>
      <w:r w:rsidRPr="00A555C0">
        <w:t>DOI: 10.1257/jep.29.3.3</w:t>
      </w:r>
    </w:p>
    <w:p w14:paraId="4E07A4E6" w14:textId="77777777" w:rsidR="009A29AE" w:rsidRDefault="009A29AE">
      <w:r w:rsidRPr="00CB1DE6">
        <w:t xml:space="preserve">Baum, T. </w:t>
      </w:r>
      <w:r>
        <w:t>(</w:t>
      </w:r>
      <w:r w:rsidRPr="00CB1DE6">
        <w:t>2010</w:t>
      </w:r>
      <w:r>
        <w:t>)</w:t>
      </w:r>
      <w:r w:rsidRPr="00CB1DE6">
        <w:t xml:space="preserve"> </w:t>
      </w:r>
      <w:r>
        <w:t>‘</w:t>
      </w:r>
      <w:r w:rsidRPr="00CB1DE6">
        <w:t>Demographic changes and the labour market in the international tourism industry</w:t>
      </w:r>
      <w:r>
        <w:t>’</w:t>
      </w:r>
      <w:r w:rsidRPr="00CB1DE6">
        <w:t>.</w:t>
      </w:r>
      <w:r>
        <w:t xml:space="preserve"> </w:t>
      </w:r>
      <w:r w:rsidRPr="00CB1DE6">
        <w:t>In</w:t>
      </w:r>
      <w:r w:rsidRPr="002C4EC8">
        <w:t xml:space="preserve"> Yeoman</w:t>
      </w:r>
      <w:r>
        <w:t xml:space="preserve">, I., </w:t>
      </w:r>
      <w:r w:rsidRPr="002C4EC8">
        <w:t>Hsu</w:t>
      </w:r>
      <w:r>
        <w:t xml:space="preserve">, C., </w:t>
      </w:r>
      <w:r w:rsidRPr="002C4EC8">
        <w:t>Smith</w:t>
      </w:r>
      <w:r>
        <w:t>, K.,</w:t>
      </w:r>
      <w:r w:rsidRPr="002C4EC8">
        <w:t xml:space="preserve"> and Watson</w:t>
      </w:r>
      <w:r>
        <w:t>, S. (ed) (2010)</w:t>
      </w:r>
      <w:r w:rsidRPr="00CB1DE6">
        <w:t xml:space="preserve"> </w:t>
      </w:r>
      <w:r w:rsidRPr="00CB1DE6">
        <w:rPr>
          <w:i/>
          <w:iCs/>
        </w:rPr>
        <w:t>Tourism and Demography</w:t>
      </w:r>
      <w:r>
        <w:t xml:space="preserve">, </w:t>
      </w:r>
      <w:r w:rsidRPr="00CB1DE6">
        <w:t>pp. 1-19.</w:t>
      </w:r>
      <w:r>
        <w:t xml:space="preserve"> Oxford: </w:t>
      </w:r>
      <w:r w:rsidRPr="00CB1DE6">
        <w:t>Goodfellow</w:t>
      </w:r>
      <w:r>
        <w:t>.</w:t>
      </w:r>
    </w:p>
    <w:p w14:paraId="164DEBC4" w14:textId="77777777" w:rsidR="009A29AE" w:rsidRPr="007F2D0D" w:rsidRDefault="009A29AE" w:rsidP="007F2D0D">
      <w:r w:rsidRPr="00A44472">
        <w:t xml:space="preserve">Bencsik, A., Horváth-Csikós, G. and Juhász, T. </w:t>
      </w:r>
      <w:r>
        <w:t>(</w:t>
      </w:r>
      <w:r w:rsidRPr="00A44472">
        <w:t>2016</w:t>
      </w:r>
      <w:r>
        <w:t>)</w:t>
      </w:r>
      <w:r w:rsidRPr="00A44472">
        <w:t xml:space="preserve"> </w:t>
      </w:r>
      <w:r>
        <w:t>‘</w:t>
      </w:r>
      <w:r w:rsidRPr="00A44472">
        <w:t>Y and Z Generations at Workplaces</w:t>
      </w:r>
      <w:r>
        <w:t>’</w:t>
      </w:r>
      <w:r w:rsidRPr="00A44472">
        <w:t xml:space="preserve">. </w:t>
      </w:r>
      <w:r w:rsidRPr="00A44472">
        <w:rPr>
          <w:i/>
          <w:iCs/>
        </w:rPr>
        <w:t>Journal of competitiveness</w:t>
      </w:r>
      <w:r w:rsidRPr="00A44472">
        <w:t>, 8(3).</w:t>
      </w:r>
      <w:r>
        <w:t xml:space="preserve"> Available at: </w:t>
      </w:r>
      <w:r w:rsidRPr="00A44472">
        <w:t>DOI: 10.7441/joc.2016.03.06</w:t>
      </w:r>
      <w:r>
        <w:t xml:space="preserve"> </w:t>
      </w:r>
    </w:p>
    <w:p w14:paraId="465A7A5F" w14:textId="77777777" w:rsidR="009A29AE" w:rsidRDefault="009A29AE">
      <w:r w:rsidRPr="00EF5AC7">
        <w:t xml:space="preserve">Boella, M.J. and Goss-Turner, S. </w:t>
      </w:r>
      <w:r>
        <w:t>(</w:t>
      </w:r>
      <w:r w:rsidRPr="00EF5AC7">
        <w:t>2013</w:t>
      </w:r>
      <w:r>
        <w:t>)</w:t>
      </w:r>
      <w:r w:rsidRPr="00EF5AC7">
        <w:t xml:space="preserve"> </w:t>
      </w:r>
      <w:r w:rsidRPr="00EF5AC7">
        <w:rPr>
          <w:i/>
          <w:iCs/>
        </w:rPr>
        <w:t>Human resource management in the hospitality industry: A guide to best practice</w:t>
      </w:r>
      <w:r w:rsidRPr="00EF5AC7">
        <w:t xml:space="preserve">. </w:t>
      </w:r>
      <w:r>
        <w:t>9</w:t>
      </w:r>
      <w:r w:rsidRPr="00EF5AC7">
        <w:rPr>
          <w:vertAlign w:val="superscript"/>
        </w:rPr>
        <w:t>th</w:t>
      </w:r>
      <w:r>
        <w:t xml:space="preserve"> edn. London: </w:t>
      </w:r>
      <w:r w:rsidRPr="00EF5AC7">
        <w:t>Routledge.</w:t>
      </w:r>
    </w:p>
    <w:p w14:paraId="181562E2" w14:textId="77777777" w:rsidR="009A29AE" w:rsidRPr="002F2176" w:rsidRDefault="009A29AE" w:rsidP="002F2176">
      <w:r>
        <w:t xml:space="preserve">Brassfield, M. (2011) </w:t>
      </w:r>
      <w:r w:rsidRPr="002F2176">
        <w:rPr>
          <w:i/>
          <w:iCs/>
        </w:rPr>
        <w:t>My Marriott Hotel is a Farmville-Like Game for the Hospitality Industry</w:t>
      </w:r>
      <w:r>
        <w:t xml:space="preserve">. Available at: </w:t>
      </w:r>
      <w:hyperlink r:id="rId8" w:history="1">
        <w:r w:rsidRPr="007D1D77">
          <w:rPr>
            <w:rStyle w:val="Hyperlink"/>
          </w:rPr>
          <w:t>https://www.trendhunter.com/trends/my-marriott-hotel</w:t>
        </w:r>
      </w:hyperlink>
      <w:r>
        <w:t xml:space="preserve"> </w:t>
      </w:r>
      <w:r>
        <w:t>(Accessed: 29 February 2024)</w:t>
      </w:r>
    </w:p>
    <w:p w14:paraId="077F3FD0" w14:textId="77777777" w:rsidR="009A29AE" w:rsidRPr="00804540" w:rsidRDefault="009A29AE" w:rsidP="00804540">
      <w:r w:rsidRPr="00804540">
        <w:t>Cooke,</w:t>
      </w:r>
      <w:r>
        <w:t xml:space="preserve"> </w:t>
      </w:r>
      <w:r w:rsidRPr="00804540">
        <w:t>F.L.,</w:t>
      </w:r>
      <w:r>
        <w:t xml:space="preserve"> </w:t>
      </w:r>
      <w:r w:rsidRPr="00804540">
        <w:t>Wood,</w:t>
      </w:r>
      <w:r>
        <w:t xml:space="preserve"> </w:t>
      </w:r>
      <w:r w:rsidRPr="00804540">
        <w:t>G.,</w:t>
      </w:r>
      <w:r>
        <w:t xml:space="preserve"> </w:t>
      </w:r>
      <w:r w:rsidRPr="00804540">
        <w:t>Wang,</w:t>
      </w:r>
      <w:r>
        <w:t xml:space="preserve"> </w:t>
      </w:r>
      <w:r w:rsidRPr="00804540">
        <w:t>M.,</w:t>
      </w:r>
      <w:r>
        <w:t xml:space="preserve"> and </w:t>
      </w:r>
      <w:r w:rsidRPr="00804540">
        <w:t>Veen,</w:t>
      </w:r>
      <w:r>
        <w:t xml:space="preserve"> </w:t>
      </w:r>
      <w:r w:rsidRPr="00804540">
        <w:t>A. (2019)</w:t>
      </w:r>
      <w:r>
        <w:t xml:space="preserve"> ‘</w:t>
      </w:r>
      <w:r w:rsidRPr="00804540">
        <w:t>How</w:t>
      </w:r>
      <w:r>
        <w:t xml:space="preserve"> </w:t>
      </w:r>
      <w:r w:rsidRPr="00804540">
        <w:t>far</w:t>
      </w:r>
      <w:r>
        <w:t xml:space="preserve"> </w:t>
      </w:r>
      <w:r w:rsidRPr="00804540">
        <w:t>has international</w:t>
      </w:r>
      <w:r>
        <w:t xml:space="preserve"> </w:t>
      </w:r>
      <w:r w:rsidRPr="00804540">
        <w:t>HRM</w:t>
      </w:r>
      <w:r>
        <w:t xml:space="preserve"> </w:t>
      </w:r>
      <w:r w:rsidRPr="00804540">
        <w:t>travelled? A systematic review of literature on multinational corporations (2000–2014)</w:t>
      </w:r>
      <w:r>
        <w:t>’</w:t>
      </w:r>
      <w:r w:rsidRPr="00804540">
        <w:t>.</w:t>
      </w:r>
      <w:r>
        <w:t xml:space="preserve"> </w:t>
      </w:r>
      <w:r w:rsidRPr="00804540">
        <w:rPr>
          <w:i/>
          <w:iCs/>
        </w:rPr>
        <w:t>Human</w:t>
      </w:r>
      <w:r w:rsidRPr="00804540">
        <w:rPr>
          <w:i/>
          <w:iCs/>
        </w:rPr>
        <w:t xml:space="preserve"> </w:t>
      </w:r>
      <w:r w:rsidRPr="00804540">
        <w:rPr>
          <w:i/>
          <w:iCs/>
        </w:rPr>
        <w:t>Resource</w:t>
      </w:r>
      <w:r w:rsidRPr="00804540">
        <w:rPr>
          <w:i/>
          <w:iCs/>
        </w:rPr>
        <w:t xml:space="preserve"> </w:t>
      </w:r>
      <w:r w:rsidRPr="00804540">
        <w:rPr>
          <w:i/>
          <w:iCs/>
        </w:rPr>
        <w:t>Management Review</w:t>
      </w:r>
      <w:r w:rsidRPr="00804540">
        <w:t xml:space="preserve">, 29(1), 59–75. </w:t>
      </w:r>
      <w:r>
        <w:t xml:space="preserve">Available at: </w:t>
      </w:r>
      <w:hyperlink r:id="rId9" w:history="1">
        <w:r w:rsidRPr="007D1D77">
          <w:rPr>
            <w:rStyle w:val="Hyperlink"/>
          </w:rPr>
          <w:t>https://doi.org/10. 1016/j.hrmr.2018.05.001</w:t>
        </w:r>
      </w:hyperlink>
      <w:r>
        <w:t xml:space="preserve"> </w:t>
      </w:r>
    </w:p>
    <w:p w14:paraId="37BFBB85" w14:textId="77777777" w:rsidR="009A29AE" w:rsidRDefault="009A29AE">
      <w:r>
        <w:t xml:space="preserve">Marriott International (2023) </w:t>
      </w:r>
      <w:r w:rsidRPr="00FC627E">
        <w:t>Environmental, Social, and Governance Progress</w:t>
      </w:r>
      <w:r>
        <w:t xml:space="preserve">. Available at: </w:t>
      </w:r>
      <w:hyperlink r:id="rId10" w:history="1">
        <w:r w:rsidRPr="007D1D77">
          <w:rPr>
            <w:rStyle w:val="Hyperlink"/>
          </w:rPr>
          <w:t>https://serve360.marriott.com/wp-content/uploads/2023/06/Marriott-2023-Serve-360-ESG-Report-accessible.pdf</w:t>
        </w:r>
      </w:hyperlink>
      <w:r>
        <w:t xml:space="preserve"> (Accessed: 16 February 2024)</w:t>
      </w:r>
    </w:p>
    <w:p w14:paraId="5189B68E" w14:textId="77777777" w:rsidR="009A29AE" w:rsidRDefault="009A29AE">
      <w:r>
        <w:t>Marriott International (202</w:t>
      </w:r>
      <w:r>
        <w:t>4</w:t>
      </w:r>
      <w:r>
        <w:t>)</w:t>
      </w:r>
      <w:r>
        <w:t xml:space="preserve"> </w:t>
      </w:r>
      <w:r w:rsidRPr="00BE0556">
        <w:rPr>
          <w:i/>
          <w:iCs/>
        </w:rPr>
        <w:t>About Marriott International – Corporate Information</w:t>
      </w:r>
      <w:r>
        <w:t xml:space="preserve">. Available at: </w:t>
      </w:r>
      <w:hyperlink r:id="rId11" w:history="1">
        <w:r w:rsidRPr="007D1D77">
          <w:rPr>
            <w:rStyle w:val="Hyperlink"/>
          </w:rPr>
          <w:t>https://www.marriott.com/en-gb/marriott/aboutmarriott.mi</w:t>
        </w:r>
      </w:hyperlink>
      <w:r>
        <w:t xml:space="preserve"> </w:t>
      </w:r>
      <w:r>
        <w:t>(Accessed: 16 February 2024)</w:t>
      </w:r>
    </w:p>
    <w:p w14:paraId="2B2D4C3D" w14:textId="77777777" w:rsidR="009A29AE" w:rsidRPr="0093048D" w:rsidRDefault="009A29AE" w:rsidP="00AA203F">
      <w:pPr>
        <w:rPr>
          <w:rFonts w:cs="Arial"/>
        </w:rPr>
      </w:pPr>
      <w:r w:rsidRPr="0093048D">
        <w:rPr>
          <w:rFonts w:cs="Arial"/>
        </w:rPr>
        <w:lastRenderedPageBreak/>
        <w:t xml:space="preserve">Michael, N. and Fotiadis, A.K. (2022) ‘Employee turnover: The hotel industry perspective’. </w:t>
      </w:r>
      <w:r w:rsidRPr="0093048D">
        <w:rPr>
          <w:rFonts w:cs="Arial"/>
          <w:i/>
          <w:iCs/>
        </w:rPr>
        <w:t>Journal of Tourism, Heritage &amp; Services Marketing</w:t>
      </w:r>
      <w:r w:rsidRPr="0093048D">
        <w:rPr>
          <w:rFonts w:cs="Arial"/>
        </w:rPr>
        <w:t xml:space="preserve">, 8(1), pp. 38-47. Available at SSRN: </w:t>
      </w:r>
      <w:hyperlink r:id="rId12" w:history="1">
        <w:r w:rsidRPr="0093048D">
          <w:rPr>
            <w:rStyle w:val="Hyperlink"/>
            <w:rFonts w:cs="Arial"/>
          </w:rPr>
          <w:t>https://ssrn.com/abstract=4121197</w:t>
        </w:r>
      </w:hyperlink>
      <w:r w:rsidRPr="0093048D">
        <w:rPr>
          <w:rFonts w:cs="Arial"/>
        </w:rPr>
        <w:t xml:space="preserve"> </w:t>
      </w:r>
    </w:p>
    <w:p w14:paraId="03D29429" w14:textId="77777777" w:rsidR="009A29AE" w:rsidRPr="00DA2C6E" w:rsidRDefault="009A29AE" w:rsidP="00DA2C6E">
      <w:r>
        <w:t xml:space="preserve">Parker, B. (2024) </w:t>
      </w:r>
      <w:r w:rsidRPr="00DA2C6E">
        <w:rPr>
          <w:i/>
          <w:iCs/>
        </w:rPr>
        <w:t>Marriott SWOT 2024 | SWOT Analysis of Marriott</w:t>
      </w:r>
      <w:r>
        <w:t xml:space="preserve">. Available at: </w:t>
      </w:r>
      <w:hyperlink r:id="rId13" w:history="1">
        <w:r w:rsidRPr="007D1D77">
          <w:rPr>
            <w:rStyle w:val="Hyperlink"/>
          </w:rPr>
          <w:t>https://bstrategyhub.com/marriot-swot-analysis/</w:t>
        </w:r>
      </w:hyperlink>
      <w:r>
        <w:t xml:space="preserve"> (Accessed: 29 February 2024)</w:t>
      </w:r>
    </w:p>
    <w:p w14:paraId="408A8DC2" w14:textId="77777777" w:rsidR="009A29AE" w:rsidRPr="00432D53" w:rsidRDefault="009A29AE" w:rsidP="00432D53">
      <w:r w:rsidRPr="00432D53">
        <w:t xml:space="preserve">Stone, D.L., Deadrick, D.L., Lukaszewski, K.M. and Johnson, R. </w:t>
      </w:r>
      <w:r>
        <w:t>(</w:t>
      </w:r>
      <w:r w:rsidRPr="00432D53">
        <w:t>2015</w:t>
      </w:r>
      <w:r>
        <w:t>)</w:t>
      </w:r>
      <w:r w:rsidRPr="00432D53">
        <w:t xml:space="preserve"> </w:t>
      </w:r>
      <w:r>
        <w:t>‘</w:t>
      </w:r>
      <w:r w:rsidRPr="00432D53">
        <w:t>The influence of technology on the future of human resource management</w:t>
      </w:r>
      <w:r>
        <w:t>’</w:t>
      </w:r>
      <w:r w:rsidRPr="00432D53">
        <w:t xml:space="preserve">. </w:t>
      </w:r>
      <w:r w:rsidRPr="00432D53">
        <w:rPr>
          <w:i/>
          <w:iCs/>
        </w:rPr>
        <w:t>Human resource management review</w:t>
      </w:r>
      <w:r w:rsidRPr="00432D53">
        <w:t>, 25(2), pp.</w:t>
      </w:r>
      <w:r>
        <w:t xml:space="preserve"> </w:t>
      </w:r>
      <w:r w:rsidRPr="00432D53">
        <w:t>216-231.</w:t>
      </w:r>
      <w:r>
        <w:t xml:space="preserve"> Available at: </w:t>
      </w:r>
      <w:hyperlink r:id="rId14" w:history="1">
        <w:r w:rsidRPr="007D1D77">
          <w:rPr>
            <w:rStyle w:val="Hyperlink"/>
          </w:rPr>
          <w:t>https://doi.org/10.1016/j.hrmr.2015.01.002</w:t>
        </w:r>
      </w:hyperlink>
      <w:r>
        <w:t xml:space="preserve"> </w:t>
      </w:r>
    </w:p>
    <w:p w14:paraId="1E6D3368" w14:textId="77777777" w:rsidR="009A29AE" w:rsidRDefault="009A29AE">
      <w:r w:rsidRPr="003D151C">
        <w:t xml:space="preserve">Su, C.W., Yuan, X., Umar, M. and Lobonţ, O.R. </w:t>
      </w:r>
      <w:r>
        <w:t>(</w:t>
      </w:r>
      <w:r w:rsidRPr="003D151C">
        <w:t>2022</w:t>
      </w:r>
      <w:r>
        <w:t>)</w:t>
      </w:r>
      <w:r w:rsidRPr="003D151C">
        <w:t xml:space="preserve"> </w:t>
      </w:r>
      <w:r>
        <w:t>‘</w:t>
      </w:r>
      <w:r w:rsidRPr="003D151C">
        <w:t>Does technological innovation bring destruction or creation to the labo</w:t>
      </w:r>
      <w:r>
        <w:t>u</w:t>
      </w:r>
      <w:r w:rsidRPr="003D151C">
        <w:t>r market?</w:t>
      </w:r>
      <w:r>
        <w:t>’</w:t>
      </w:r>
      <w:r w:rsidRPr="003D151C">
        <w:t xml:space="preserve">. </w:t>
      </w:r>
      <w:r w:rsidRPr="003D151C">
        <w:rPr>
          <w:i/>
          <w:iCs/>
        </w:rPr>
        <w:t>Technology in Society</w:t>
      </w:r>
      <w:r w:rsidRPr="003D151C">
        <w:t>, 68</w:t>
      </w:r>
      <w:r>
        <w:t>.</w:t>
      </w:r>
      <w:r w:rsidRPr="003D151C">
        <w:t xml:space="preserve"> </w:t>
      </w:r>
      <w:r>
        <w:t>Available at:</w:t>
      </w:r>
      <w:r w:rsidRPr="00494B5D">
        <w:t xml:space="preserve"> </w:t>
      </w:r>
      <w:hyperlink r:id="rId15" w:history="1">
        <w:r w:rsidRPr="007D1D77">
          <w:rPr>
            <w:rStyle w:val="Hyperlink"/>
          </w:rPr>
          <w:t>https://doi.org/10.1016/j.techsoc.2022.101905</w:t>
        </w:r>
      </w:hyperlink>
      <w:r>
        <w:t xml:space="preserve"> </w:t>
      </w:r>
    </w:p>
    <w:p w14:paraId="5E59CDC8" w14:textId="77777777" w:rsidR="009A29AE" w:rsidRDefault="009A29AE">
      <w:r w:rsidRPr="00097786">
        <w:t>van Laar, E., van Deursen, A.J., van Dijk, J.A. and de Haan, J.</w:t>
      </w:r>
      <w:r>
        <w:t xml:space="preserve"> (</w:t>
      </w:r>
      <w:r w:rsidRPr="00097786">
        <w:t>2019</w:t>
      </w:r>
      <w:r>
        <w:t>) ‘</w:t>
      </w:r>
      <w:r w:rsidRPr="00097786">
        <w:t>Determinants of 21st-century digital skills: A large-scale survey among working professionals</w:t>
      </w:r>
      <w:r>
        <w:t>’</w:t>
      </w:r>
      <w:r w:rsidRPr="00097786">
        <w:t xml:space="preserve">. </w:t>
      </w:r>
      <w:r w:rsidRPr="00097786">
        <w:rPr>
          <w:i/>
          <w:iCs/>
        </w:rPr>
        <w:t>Computers in human behavio</w:t>
      </w:r>
      <w:r>
        <w:rPr>
          <w:i/>
          <w:iCs/>
        </w:rPr>
        <w:t>u</w:t>
      </w:r>
      <w:r w:rsidRPr="00097786">
        <w:rPr>
          <w:i/>
          <w:iCs/>
        </w:rPr>
        <w:t>r</w:t>
      </w:r>
      <w:r w:rsidRPr="00097786">
        <w:t>, 100, pp.</w:t>
      </w:r>
      <w:r>
        <w:t xml:space="preserve"> </w:t>
      </w:r>
      <w:r w:rsidRPr="00097786">
        <w:t>93-104.</w:t>
      </w:r>
      <w:r>
        <w:t xml:space="preserve"> Available at: </w:t>
      </w:r>
      <w:hyperlink r:id="rId16" w:history="1">
        <w:r w:rsidRPr="007D1D77">
          <w:rPr>
            <w:rStyle w:val="Hyperlink"/>
          </w:rPr>
          <w:t>https://doi.org/10.1016/j.chb.2019.06.017</w:t>
        </w:r>
      </w:hyperlink>
      <w:r>
        <w:t xml:space="preserve"> </w:t>
      </w:r>
    </w:p>
    <w:p w14:paraId="363869EB" w14:textId="77777777" w:rsidR="009A29AE" w:rsidRDefault="009A29AE">
      <w:r w:rsidRPr="009F488F">
        <w:t xml:space="preserve">Vrontis, D., Christofi, M., Pereira, V., Tarba, S., Makrides, A. and Trichina, E. </w:t>
      </w:r>
      <w:r>
        <w:t>(</w:t>
      </w:r>
      <w:r w:rsidRPr="009F488F">
        <w:t>2022</w:t>
      </w:r>
      <w:r>
        <w:t>)</w:t>
      </w:r>
      <w:r w:rsidRPr="009F488F">
        <w:t xml:space="preserve"> </w:t>
      </w:r>
      <w:r>
        <w:t>‘</w:t>
      </w:r>
      <w:r w:rsidRPr="009F488F">
        <w:t>Artificial intelligence, robotics, advanced technologies and human resource management: a systematic review</w:t>
      </w:r>
      <w:r>
        <w:t>’</w:t>
      </w:r>
      <w:r w:rsidRPr="009F488F">
        <w:t xml:space="preserve">. </w:t>
      </w:r>
      <w:r w:rsidRPr="009F488F">
        <w:rPr>
          <w:i/>
          <w:iCs/>
        </w:rPr>
        <w:t>The International Journal of Human Resource Management</w:t>
      </w:r>
      <w:r w:rsidRPr="009F488F">
        <w:t>, 33(6), pp.</w:t>
      </w:r>
      <w:r>
        <w:t xml:space="preserve"> </w:t>
      </w:r>
      <w:r w:rsidRPr="009F488F">
        <w:t>1237-1266.</w:t>
      </w:r>
      <w:r>
        <w:t xml:space="preserve"> Available at: </w:t>
      </w:r>
      <w:hyperlink r:id="rId17" w:history="1">
        <w:r w:rsidRPr="007D1D77">
          <w:rPr>
            <w:rStyle w:val="Hyperlink"/>
          </w:rPr>
          <w:t>https://doi.org/10.1080/09585192.2020.1871398</w:t>
        </w:r>
      </w:hyperlink>
      <w:r>
        <w:t xml:space="preserve"> </w:t>
      </w:r>
    </w:p>
    <w:p w14:paraId="5FAC7ACC" w14:textId="77777777" w:rsidR="0027056C" w:rsidRDefault="0027056C"/>
    <w:p w14:paraId="6AEE900D" w14:textId="77777777" w:rsidR="0027056C" w:rsidRDefault="0027056C"/>
    <w:p w14:paraId="2D79CC3A" w14:textId="77777777" w:rsidR="0027056C" w:rsidRDefault="0027056C"/>
    <w:p w14:paraId="73EAE1CB" w14:textId="77777777" w:rsidR="0027056C" w:rsidRDefault="0027056C"/>
    <w:p w14:paraId="36CB1F2A" w14:textId="77777777" w:rsidR="0027056C" w:rsidRDefault="0027056C"/>
    <w:p w14:paraId="64F577D9" w14:textId="77777777" w:rsidR="0027056C" w:rsidRDefault="0027056C"/>
    <w:p w14:paraId="7E86FD81" w14:textId="77777777" w:rsidR="0027056C" w:rsidRDefault="0027056C"/>
    <w:p w14:paraId="062384A6" w14:textId="77777777" w:rsidR="0027056C" w:rsidRDefault="0027056C"/>
    <w:p w14:paraId="1155FCB4" w14:textId="77777777" w:rsidR="0027056C" w:rsidRDefault="0027056C"/>
    <w:p w14:paraId="785246F2" w14:textId="77777777" w:rsidR="0027056C" w:rsidRDefault="0027056C"/>
    <w:p w14:paraId="3B8FA3A5" w14:textId="77777777" w:rsidR="0027056C" w:rsidRDefault="0027056C"/>
    <w:p w14:paraId="76655BF9" w14:textId="77777777" w:rsidR="0027056C" w:rsidRDefault="0027056C"/>
    <w:p w14:paraId="22FC88F9" w14:textId="77777777" w:rsidR="0027056C" w:rsidRDefault="0027056C"/>
    <w:p w14:paraId="29EC98C0" w14:textId="4F40020B" w:rsidR="0027056C" w:rsidRDefault="0027056C" w:rsidP="0027056C">
      <w:pPr>
        <w:pStyle w:val="Heading1"/>
      </w:pPr>
      <w:bookmarkStart w:id="5" w:name="_Toc160228712"/>
      <w:r>
        <w:lastRenderedPageBreak/>
        <w:t>Appendices</w:t>
      </w:r>
      <w:bookmarkEnd w:id="5"/>
    </w:p>
    <w:p w14:paraId="0D9F4895" w14:textId="3B9EB408" w:rsidR="0027056C" w:rsidRDefault="0027056C" w:rsidP="0027056C">
      <w:pPr>
        <w:pStyle w:val="Heading2"/>
      </w:pPr>
      <w:bookmarkStart w:id="6" w:name="_Toc160228713"/>
      <w:r>
        <w:t>Appendix 1. PESTLE Analysis</w:t>
      </w:r>
      <w:bookmarkEnd w:id="6"/>
    </w:p>
    <w:p w14:paraId="47DC4B7A" w14:textId="77777777" w:rsidR="0027056C" w:rsidRDefault="0027056C"/>
    <w:tbl>
      <w:tblPr>
        <w:tblStyle w:val="TableGrid"/>
        <w:tblW w:w="0" w:type="auto"/>
        <w:tblLook w:val="04A0" w:firstRow="1" w:lastRow="0" w:firstColumn="1" w:lastColumn="0" w:noHBand="0" w:noVBand="1"/>
      </w:tblPr>
      <w:tblGrid>
        <w:gridCol w:w="1546"/>
        <w:gridCol w:w="1252"/>
        <w:gridCol w:w="1581"/>
        <w:gridCol w:w="1499"/>
        <w:gridCol w:w="1569"/>
        <w:gridCol w:w="1569"/>
      </w:tblGrid>
      <w:tr w:rsidR="00171A33" w14:paraId="52B40274" w14:textId="77777777" w:rsidTr="0027056C">
        <w:tc>
          <w:tcPr>
            <w:tcW w:w="1348" w:type="dxa"/>
          </w:tcPr>
          <w:p w14:paraId="6FA7FA49" w14:textId="1ED7AF37" w:rsidR="0027056C" w:rsidRDefault="0027056C" w:rsidP="0027056C">
            <w:r>
              <w:t>Politic</w:t>
            </w:r>
          </w:p>
        </w:tc>
        <w:tc>
          <w:tcPr>
            <w:tcW w:w="1447" w:type="dxa"/>
          </w:tcPr>
          <w:p w14:paraId="1A39B8C2" w14:textId="143A8FC3" w:rsidR="0027056C" w:rsidRDefault="0027056C" w:rsidP="0027056C">
            <w:r>
              <w:t>Economic</w:t>
            </w:r>
          </w:p>
        </w:tc>
        <w:tc>
          <w:tcPr>
            <w:tcW w:w="1447" w:type="dxa"/>
          </w:tcPr>
          <w:p w14:paraId="3371B63B" w14:textId="01957058" w:rsidR="0027056C" w:rsidRDefault="0027056C" w:rsidP="0027056C">
            <w:r>
              <w:t>Social</w:t>
            </w:r>
          </w:p>
        </w:tc>
        <w:tc>
          <w:tcPr>
            <w:tcW w:w="1352" w:type="dxa"/>
          </w:tcPr>
          <w:p w14:paraId="2C68C16A" w14:textId="6A9BAC59" w:rsidR="0027056C" w:rsidRDefault="0027056C" w:rsidP="0027056C">
            <w:r>
              <w:t>Technological</w:t>
            </w:r>
          </w:p>
        </w:tc>
        <w:tc>
          <w:tcPr>
            <w:tcW w:w="1671" w:type="dxa"/>
          </w:tcPr>
          <w:p w14:paraId="49D0BA07" w14:textId="4F5CA998" w:rsidR="0027056C" w:rsidRDefault="0027056C" w:rsidP="0027056C">
            <w:r>
              <w:t>Environmental</w:t>
            </w:r>
          </w:p>
        </w:tc>
        <w:tc>
          <w:tcPr>
            <w:tcW w:w="1751" w:type="dxa"/>
          </w:tcPr>
          <w:p w14:paraId="677D730F" w14:textId="0E94D455" w:rsidR="0027056C" w:rsidRDefault="0027056C" w:rsidP="0027056C">
            <w:r>
              <w:t>Legal</w:t>
            </w:r>
          </w:p>
        </w:tc>
      </w:tr>
      <w:tr w:rsidR="0027056C" w14:paraId="57DA2E27" w14:textId="77777777" w:rsidTr="0027056C">
        <w:tc>
          <w:tcPr>
            <w:tcW w:w="1348" w:type="dxa"/>
          </w:tcPr>
          <w:p w14:paraId="5ECF0D95" w14:textId="6D0AFC04" w:rsidR="0027056C" w:rsidRDefault="0027056C">
            <w:r>
              <w:t>Political stability</w:t>
            </w:r>
          </w:p>
        </w:tc>
        <w:tc>
          <w:tcPr>
            <w:tcW w:w="1447" w:type="dxa"/>
          </w:tcPr>
          <w:p w14:paraId="4848E71E" w14:textId="61077A9C" w:rsidR="0027056C" w:rsidRDefault="0027056C">
            <w:r>
              <w:t>Economic stability</w:t>
            </w:r>
          </w:p>
        </w:tc>
        <w:tc>
          <w:tcPr>
            <w:tcW w:w="1447" w:type="dxa"/>
          </w:tcPr>
          <w:p w14:paraId="2FD74982" w14:textId="23711685" w:rsidR="0027056C" w:rsidRDefault="0027056C">
            <w:r>
              <w:t>Demographics</w:t>
            </w:r>
          </w:p>
        </w:tc>
        <w:tc>
          <w:tcPr>
            <w:tcW w:w="1352" w:type="dxa"/>
          </w:tcPr>
          <w:p w14:paraId="712BD15F" w14:textId="1E09D9EF" w:rsidR="0027056C" w:rsidRDefault="00171A33">
            <w:r>
              <w:t>Digital technologies</w:t>
            </w:r>
          </w:p>
        </w:tc>
        <w:tc>
          <w:tcPr>
            <w:tcW w:w="1671" w:type="dxa"/>
          </w:tcPr>
          <w:p w14:paraId="390C1EDA" w14:textId="21E6F0B7" w:rsidR="0027056C" w:rsidRDefault="00171A33">
            <w:r>
              <w:t>Environmental law and regulations</w:t>
            </w:r>
          </w:p>
        </w:tc>
        <w:tc>
          <w:tcPr>
            <w:tcW w:w="1751" w:type="dxa"/>
          </w:tcPr>
          <w:p w14:paraId="2108560E" w14:textId="558274CD" w:rsidR="0027056C" w:rsidRDefault="00171A33">
            <w:r>
              <w:t>Trade law and regulations</w:t>
            </w:r>
          </w:p>
        </w:tc>
      </w:tr>
      <w:tr w:rsidR="0027056C" w14:paraId="52BB0958" w14:textId="77777777" w:rsidTr="0027056C">
        <w:tc>
          <w:tcPr>
            <w:tcW w:w="1348" w:type="dxa"/>
          </w:tcPr>
          <w:p w14:paraId="68296A8D" w14:textId="4117BC7A" w:rsidR="0027056C" w:rsidRDefault="0027056C">
            <w:r>
              <w:t>Governmental policies</w:t>
            </w:r>
          </w:p>
        </w:tc>
        <w:tc>
          <w:tcPr>
            <w:tcW w:w="1447" w:type="dxa"/>
          </w:tcPr>
          <w:p w14:paraId="17E9A201" w14:textId="6C916851" w:rsidR="0027056C" w:rsidRDefault="0027056C">
            <w:r>
              <w:t>Exchange rates</w:t>
            </w:r>
          </w:p>
        </w:tc>
        <w:tc>
          <w:tcPr>
            <w:tcW w:w="1447" w:type="dxa"/>
          </w:tcPr>
          <w:p w14:paraId="78F8C0B9" w14:textId="3CB4CC1C" w:rsidR="0027056C" w:rsidRDefault="0027056C">
            <w:r>
              <w:t xml:space="preserve">Aging </w:t>
            </w:r>
            <w:r w:rsidR="00171A33">
              <w:t>population</w:t>
            </w:r>
          </w:p>
        </w:tc>
        <w:tc>
          <w:tcPr>
            <w:tcW w:w="1352" w:type="dxa"/>
          </w:tcPr>
          <w:p w14:paraId="7A067A88" w14:textId="222CE11D" w:rsidR="0027056C" w:rsidRDefault="00171A33">
            <w:r>
              <w:t xml:space="preserve">Virtual reality </w:t>
            </w:r>
          </w:p>
        </w:tc>
        <w:tc>
          <w:tcPr>
            <w:tcW w:w="1671" w:type="dxa"/>
          </w:tcPr>
          <w:p w14:paraId="6597A106" w14:textId="287AFE31" w:rsidR="0027056C" w:rsidRDefault="00171A33">
            <w:r>
              <w:t>Increasing requirement for sustainability</w:t>
            </w:r>
          </w:p>
        </w:tc>
        <w:tc>
          <w:tcPr>
            <w:tcW w:w="1751" w:type="dxa"/>
          </w:tcPr>
          <w:p w14:paraId="0509597F" w14:textId="26F17EBB" w:rsidR="0027056C" w:rsidRDefault="00171A33">
            <w:r>
              <w:t>Employment law</w:t>
            </w:r>
          </w:p>
        </w:tc>
      </w:tr>
      <w:tr w:rsidR="0027056C" w14:paraId="5FF877BE" w14:textId="77777777" w:rsidTr="0027056C">
        <w:tc>
          <w:tcPr>
            <w:tcW w:w="1348" w:type="dxa"/>
          </w:tcPr>
          <w:p w14:paraId="6C625540" w14:textId="7D477EF7" w:rsidR="0027056C" w:rsidRDefault="0027056C">
            <w:r>
              <w:t>Monetary policies</w:t>
            </w:r>
          </w:p>
        </w:tc>
        <w:tc>
          <w:tcPr>
            <w:tcW w:w="1447" w:type="dxa"/>
          </w:tcPr>
          <w:p w14:paraId="136D61C1" w14:textId="47CC9271" w:rsidR="0027056C" w:rsidRDefault="0027056C">
            <w:r>
              <w:t>Minimum wage</w:t>
            </w:r>
          </w:p>
        </w:tc>
        <w:tc>
          <w:tcPr>
            <w:tcW w:w="1447" w:type="dxa"/>
          </w:tcPr>
          <w:p w14:paraId="664BD2FF" w14:textId="7B1BFB7C" w:rsidR="0027056C" w:rsidRDefault="00171A33">
            <w:r>
              <w:t>Use of digital technology</w:t>
            </w:r>
          </w:p>
        </w:tc>
        <w:tc>
          <w:tcPr>
            <w:tcW w:w="1352" w:type="dxa"/>
          </w:tcPr>
          <w:p w14:paraId="05EA6F16" w14:textId="3424FA9D" w:rsidR="0027056C" w:rsidRDefault="00171A33">
            <w:r>
              <w:t>Artificial Intelligence</w:t>
            </w:r>
          </w:p>
        </w:tc>
        <w:tc>
          <w:tcPr>
            <w:tcW w:w="1671" w:type="dxa"/>
          </w:tcPr>
          <w:p w14:paraId="0DB4486E" w14:textId="361AA926" w:rsidR="0027056C" w:rsidRDefault="00171A33">
            <w:r>
              <w:t>ESG requirements</w:t>
            </w:r>
          </w:p>
        </w:tc>
        <w:tc>
          <w:tcPr>
            <w:tcW w:w="1751" w:type="dxa"/>
          </w:tcPr>
          <w:p w14:paraId="584B6898" w14:textId="69B8DF5F" w:rsidR="0027056C" w:rsidRDefault="00171A33">
            <w:r>
              <w:t>Data security and protection</w:t>
            </w:r>
          </w:p>
        </w:tc>
      </w:tr>
      <w:tr w:rsidR="0027056C" w14:paraId="483CD190" w14:textId="77777777" w:rsidTr="0027056C">
        <w:tc>
          <w:tcPr>
            <w:tcW w:w="1348" w:type="dxa"/>
          </w:tcPr>
          <w:p w14:paraId="5A169CC6" w14:textId="4850265A" w:rsidR="0027056C" w:rsidRDefault="0027056C">
            <w:r>
              <w:t>Regulatory bodies’ policies</w:t>
            </w:r>
          </w:p>
        </w:tc>
        <w:tc>
          <w:tcPr>
            <w:tcW w:w="1447" w:type="dxa"/>
          </w:tcPr>
          <w:p w14:paraId="30892F39" w14:textId="690E3308" w:rsidR="0027056C" w:rsidRDefault="0027056C">
            <w:r>
              <w:t>Taxation</w:t>
            </w:r>
          </w:p>
        </w:tc>
        <w:tc>
          <w:tcPr>
            <w:tcW w:w="1447" w:type="dxa"/>
          </w:tcPr>
          <w:p w14:paraId="19E568A3" w14:textId="264DED32" w:rsidR="0027056C" w:rsidRDefault="00171A33">
            <w:r>
              <w:t>Lifestyles</w:t>
            </w:r>
          </w:p>
        </w:tc>
        <w:tc>
          <w:tcPr>
            <w:tcW w:w="1352" w:type="dxa"/>
          </w:tcPr>
          <w:p w14:paraId="10EC0145" w14:textId="12394041" w:rsidR="0027056C" w:rsidRDefault="00171A33">
            <w:r>
              <w:t>Machine learning</w:t>
            </w:r>
          </w:p>
        </w:tc>
        <w:tc>
          <w:tcPr>
            <w:tcW w:w="1671" w:type="dxa"/>
          </w:tcPr>
          <w:p w14:paraId="48F9758E" w14:textId="05839BE1" w:rsidR="0027056C" w:rsidRDefault="00171A33">
            <w:r>
              <w:t>Climate change</w:t>
            </w:r>
          </w:p>
        </w:tc>
        <w:tc>
          <w:tcPr>
            <w:tcW w:w="1751" w:type="dxa"/>
          </w:tcPr>
          <w:p w14:paraId="251F98FC" w14:textId="42DD5024" w:rsidR="0027056C" w:rsidRDefault="00171A33">
            <w:r>
              <w:t>Environmental law</w:t>
            </w:r>
          </w:p>
        </w:tc>
      </w:tr>
      <w:tr w:rsidR="0027056C" w14:paraId="2527C873" w14:textId="77777777" w:rsidTr="0027056C">
        <w:tc>
          <w:tcPr>
            <w:tcW w:w="1348" w:type="dxa"/>
          </w:tcPr>
          <w:p w14:paraId="60406F3B" w14:textId="30519994" w:rsidR="0027056C" w:rsidRDefault="0027056C">
            <w:r>
              <w:t>Employment policies</w:t>
            </w:r>
          </w:p>
        </w:tc>
        <w:tc>
          <w:tcPr>
            <w:tcW w:w="1447" w:type="dxa"/>
          </w:tcPr>
          <w:p w14:paraId="22F8162F" w14:textId="6EB4DA02" w:rsidR="0027056C" w:rsidRDefault="0027056C">
            <w:r>
              <w:t>Industry regulations and standards</w:t>
            </w:r>
          </w:p>
        </w:tc>
        <w:tc>
          <w:tcPr>
            <w:tcW w:w="1447" w:type="dxa"/>
          </w:tcPr>
          <w:p w14:paraId="2277C432" w14:textId="6AA62CA5" w:rsidR="0027056C" w:rsidRDefault="00171A33">
            <w:r>
              <w:t>Employment attitudes and trends</w:t>
            </w:r>
          </w:p>
        </w:tc>
        <w:tc>
          <w:tcPr>
            <w:tcW w:w="1352" w:type="dxa"/>
          </w:tcPr>
          <w:p w14:paraId="67AE71B3" w14:textId="0C347315" w:rsidR="0027056C" w:rsidRDefault="00171A33">
            <w:r>
              <w:t>Robotics</w:t>
            </w:r>
          </w:p>
        </w:tc>
        <w:tc>
          <w:tcPr>
            <w:tcW w:w="1671" w:type="dxa"/>
          </w:tcPr>
          <w:p w14:paraId="2A4CE16E" w14:textId="52A7A418" w:rsidR="0027056C" w:rsidRDefault="00171A33">
            <w:r>
              <w:t xml:space="preserve">Sustainable Development Goals </w:t>
            </w:r>
          </w:p>
        </w:tc>
        <w:tc>
          <w:tcPr>
            <w:tcW w:w="1751" w:type="dxa"/>
          </w:tcPr>
          <w:p w14:paraId="62710709" w14:textId="77777777" w:rsidR="0027056C" w:rsidRDefault="0027056C"/>
        </w:tc>
      </w:tr>
    </w:tbl>
    <w:p w14:paraId="2E83636F" w14:textId="77777777" w:rsidR="0027056C" w:rsidRDefault="0027056C"/>
    <w:p w14:paraId="17DC3B7C" w14:textId="77777777" w:rsidR="00FC627E" w:rsidRDefault="00FC627E"/>
    <w:p w14:paraId="0C2252DD" w14:textId="77777777" w:rsidR="00B47677" w:rsidRDefault="00B47677"/>
    <w:p w14:paraId="5162EFC1" w14:textId="77777777" w:rsidR="00B47677" w:rsidRDefault="00B47677"/>
    <w:p w14:paraId="5A8961FB" w14:textId="77777777" w:rsidR="00171A33" w:rsidRDefault="00171A33"/>
    <w:p w14:paraId="5E10BE9F" w14:textId="77777777" w:rsidR="00171A33" w:rsidRDefault="00171A33"/>
    <w:p w14:paraId="66A63D8A" w14:textId="77777777" w:rsidR="00171A33" w:rsidRDefault="00171A33"/>
    <w:p w14:paraId="4C12176A" w14:textId="77777777" w:rsidR="00171A33" w:rsidRDefault="00171A33"/>
    <w:p w14:paraId="77E37484" w14:textId="77777777" w:rsidR="00171A33" w:rsidRDefault="00171A33"/>
    <w:p w14:paraId="6DAC0EDD" w14:textId="6A2CE7D9" w:rsidR="00171A33" w:rsidRDefault="00171A33" w:rsidP="00DA2C6E">
      <w:pPr>
        <w:pStyle w:val="Heading2"/>
      </w:pPr>
      <w:bookmarkStart w:id="7" w:name="_Toc160228714"/>
      <w:r>
        <w:lastRenderedPageBreak/>
        <w:t>Appendix 2 SWOT Analysis</w:t>
      </w:r>
      <w:bookmarkEnd w:id="7"/>
    </w:p>
    <w:tbl>
      <w:tblPr>
        <w:tblStyle w:val="TableGrid"/>
        <w:tblW w:w="0" w:type="auto"/>
        <w:tblLook w:val="04A0" w:firstRow="1" w:lastRow="0" w:firstColumn="1" w:lastColumn="0" w:noHBand="0" w:noVBand="1"/>
      </w:tblPr>
      <w:tblGrid>
        <w:gridCol w:w="2254"/>
        <w:gridCol w:w="2254"/>
        <w:gridCol w:w="2254"/>
        <w:gridCol w:w="2254"/>
      </w:tblGrid>
      <w:tr w:rsidR="00171A33" w14:paraId="634A75AE" w14:textId="77777777" w:rsidTr="00171A33">
        <w:tc>
          <w:tcPr>
            <w:tcW w:w="2254" w:type="dxa"/>
          </w:tcPr>
          <w:p w14:paraId="5F4F40F7" w14:textId="32239A37" w:rsidR="00171A33" w:rsidRDefault="00171A33">
            <w:r>
              <w:t>Strengths</w:t>
            </w:r>
          </w:p>
        </w:tc>
        <w:tc>
          <w:tcPr>
            <w:tcW w:w="2254" w:type="dxa"/>
          </w:tcPr>
          <w:p w14:paraId="7E7C1FE4" w14:textId="4D1BC6E3" w:rsidR="00171A33" w:rsidRDefault="00171A33">
            <w:r>
              <w:t>Weaknesses</w:t>
            </w:r>
          </w:p>
        </w:tc>
        <w:tc>
          <w:tcPr>
            <w:tcW w:w="2254" w:type="dxa"/>
          </w:tcPr>
          <w:p w14:paraId="7AE057B3" w14:textId="18951A50" w:rsidR="00171A33" w:rsidRDefault="00171A33">
            <w:r>
              <w:t>Opportunities</w:t>
            </w:r>
          </w:p>
        </w:tc>
        <w:tc>
          <w:tcPr>
            <w:tcW w:w="2254" w:type="dxa"/>
          </w:tcPr>
          <w:p w14:paraId="0B916132" w14:textId="0E1E7407" w:rsidR="00171A33" w:rsidRDefault="00171A33">
            <w:r>
              <w:t>Threats</w:t>
            </w:r>
          </w:p>
        </w:tc>
      </w:tr>
      <w:tr w:rsidR="00171A33" w14:paraId="5F8F23C7" w14:textId="77777777" w:rsidTr="00171A33">
        <w:tc>
          <w:tcPr>
            <w:tcW w:w="2254" w:type="dxa"/>
          </w:tcPr>
          <w:p w14:paraId="3A918F18" w14:textId="3808D5B1" w:rsidR="00171A33" w:rsidRDefault="00171A33">
            <w:r>
              <w:t>Global leader in hospitality</w:t>
            </w:r>
          </w:p>
        </w:tc>
        <w:tc>
          <w:tcPr>
            <w:tcW w:w="2254" w:type="dxa"/>
          </w:tcPr>
          <w:p w14:paraId="7D2B615C" w14:textId="0562B600" w:rsidR="00171A33" w:rsidRDefault="004516DD">
            <w:r>
              <w:t>Organisational size</w:t>
            </w:r>
          </w:p>
        </w:tc>
        <w:tc>
          <w:tcPr>
            <w:tcW w:w="2254" w:type="dxa"/>
          </w:tcPr>
          <w:p w14:paraId="0442F7DE" w14:textId="7743BE60" w:rsidR="00171A33" w:rsidRDefault="00DA2C6E">
            <w:r>
              <w:t>Attracting younger generation</w:t>
            </w:r>
          </w:p>
        </w:tc>
        <w:tc>
          <w:tcPr>
            <w:tcW w:w="2254" w:type="dxa"/>
          </w:tcPr>
          <w:p w14:paraId="182BB36D" w14:textId="5AB1EB4D" w:rsidR="00171A33" w:rsidRDefault="00DA2C6E">
            <w:r>
              <w:t>Inflation</w:t>
            </w:r>
          </w:p>
        </w:tc>
      </w:tr>
      <w:tr w:rsidR="00171A33" w14:paraId="05948724" w14:textId="77777777" w:rsidTr="00171A33">
        <w:tc>
          <w:tcPr>
            <w:tcW w:w="2254" w:type="dxa"/>
          </w:tcPr>
          <w:p w14:paraId="115C7891" w14:textId="5FE91AF3" w:rsidR="00171A33" w:rsidRDefault="00171A33">
            <w:r>
              <w:t>Strong employer brand</w:t>
            </w:r>
          </w:p>
        </w:tc>
        <w:tc>
          <w:tcPr>
            <w:tcW w:w="2254" w:type="dxa"/>
          </w:tcPr>
          <w:p w14:paraId="2389FC0A" w14:textId="2DF4D3CE" w:rsidR="00171A33" w:rsidRDefault="002C1C09">
            <w:r>
              <w:t>Heterogenous workforce</w:t>
            </w:r>
          </w:p>
        </w:tc>
        <w:tc>
          <w:tcPr>
            <w:tcW w:w="2254" w:type="dxa"/>
          </w:tcPr>
          <w:p w14:paraId="7F96C94C" w14:textId="0A632D09" w:rsidR="00171A33" w:rsidRDefault="00DA2C6E">
            <w:r>
              <w:t>Digitalisation of operations</w:t>
            </w:r>
          </w:p>
        </w:tc>
        <w:tc>
          <w:tcPr>
            <w:tcW w:w="2254" w:type="dxa"/>
          </w:tcPr>
          <w:p w14:paraId="56B55541" w14:textId="4E193A1A" w:rsidR="00171A33" w:rsidRDefault="00DA2C6E">
            <w:r>
              <w:t>Strong competition</w:t>
            </w:r>
          </w:p>
        </w:tc>
      </w:tr>
      <w:tr w:rsidR="00171A33" w14:paraId="5167E20F" w14:textId="77777777" w:rsidTr="00171A33">
        <w:tc>
          <w:tcPr>
            <w:tcW w:w="2254" w:type="dxa"/>
          </w:tcPr>
          <w:p w14:paraId="2E113277" w14:textId="79004558" w:rsidR="00171A33" w:rsidRDefault="00171A33">
            <w:r>
              <w:t>Strong organisational culture</w:t>
            </w:r>
          </w:p>
        </w:tc>
        <w:tc>
          <w:tcPr>
            <w:tcW w:w="2254" w:type="dxa"/>
          </w:tcPr>
          <w:p w14:paraId="64C9D685" w14:textId="167836FF" w:rsidR="00171A33" w:rsidRDefault="00DA2C6E">
            <w:r>
              <w:t>Issues with data protection</w:t>
            </w:r>
          </w:p>
        </w:tc>
        <w:tc>
          <w:tcPr>
            <w:tcW w:w="2254" w:type="dxa"/>
          </w:tcPr>
          <w:p w14:paraId="2E379D9C" w14:textId="2045805C" w:rsidR="00171A33" w:rsidRDefault="00DA2C6E">
            <w:r>
              <w:t>Emerging economies</w:t>
            </w:r>
          </w:p>
        </w:tc>
        <w:tc>
          <w:tcPr>
            <w:tcW w:w="2254" w:type="dxa"/>
          </w:tcPr>
          <w:p w14:paraId="26A635BA" w14:textId="6691B019" w:rsidR="00171A33" w:rsidRDefault="00DA2C6E">
            <w:r>
              <w:t>Changing international trade policies</w:t>
            </w:r>
          </w:p>
        </w:tc>
      </w:tr>
      <w:tr w:rsidR="00171A33" w14:paraId="090EF39F" w14:textId="77777777" w:rsidTr="00171A33">
        <w:tc>
          <w:tcPr>
            <w:tcW w:w="2254" w:type="dxa"/>
          </w:tcPr>
          <w:p w14:paraId="195829DA" w14:textId="4F725E14" w:rsidR="00171A33" w:rsidRDefault="00171A33">
            <w:r>
              <w:t>Effective strategic HRM policies and strategies</w:t>
            </w:r>
          </w:p>
        </w:tc>
        <w:tc>
          <w:tcPr>
            <w:tcW w:w="2254" w:type="dxa"/>
          </w:tcPr>
          <w:p w14:paraId="664A3FD9" w14:textId="3F7CB1A2" w:rsidR="00171A33" w:rsidRDefault="00DA2C6E">
            <w:r>
              <w:t>Reputational and ethical issues (Parker, 2024)</w:t>
            </w:r>
          </w:p>
        </w:tc>
        <w:tc>
          <w:tcPr>
            <w:tcW w:w="2254" w:type="dxa"/>
          </w:tcPr>
          <w:p w14:paraId="498055C0" w14:textId="722D750F" w:rsidR="00171A33" w:rsidRDefault="00DA2C6E">
            <w:r>
              <w:t>AI, VR, robotisation, automation</w:t>
            </w:r>
          </w:p>
        </w:tc>
        <w:tc>
          <w:tcPr>
            <w:tcW w:w="2254" w:type="dxa"/>
          </w:tcPr>
          <w:p w14:paraId="5B66927F" w14:textId="20A54C96" w:rsidR="00171A33" w:rsidRDefault="00DA2C6E">
            <w:r>
              <w:t>Geopolitical instability</w:t>
            </w:r>
          </w:p>
        </w:tc>
      </w:tr>
    </w:tbl>
    <w:p w14:paraId="14A6EE8C" w14:textId="77777777" w:rsidR="00171A33" w:rsidRDefault="00171A33"/>
    <w:p w14:paraId="7168BB88" w14:textId="77777777" w:rsidR="00B47677" w:rsidRDefault="00B47677"/>
    <w:p w14:paraId="49A168B3" w14:textId="77777777" w:rsidR="00B47677" w:rsidRDefault="00B47677"/>
    <w:p w14:paraId="6D715C84" w14:textId="77777777" w:rsidR="00B47677" w:rsidRDefault="00B47677"/>
    <w:sectPr w:rsidR="00B47677" w:rsidSect="00606C8E">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B0DED" w14:textId="77777777" w:rsidR="00606C8E" w:rsidRDefault="00606C8E" w:rsidP="00493C4B">
      <w:pPr>
        <w:spacing w:after="0" w:line="240" w:lineRule="auto"/>
      </w:pPr>
      <w:r>
        <w:separator/>
      </w:r>
    </w:p>
  </w:endnote>
  <w:endnote w:type="continuationSeparator" w:id="0">
    <w:p w14:paraId="4DD60857" w14:textId="77777777" w:rsidR="00606C8E" w:rsidRDefault="00606C8E" w:rsidP="00493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298492"/>
      <w:docPartObj>
        <w:docPartGallery w:val="Page Numbers (Bottom of Page)"/>
        <w:docPartUnique/>
      </w:docPartObj>
    </w:sdtPr>
    <w:sdtEndPr>
      <w:rPr>
        <w:noProof/>
      </w:rPr>
    </w:sdtEndPr>
    <w:sdtContent>
      <w:p w14:paraId="1D5D85D8" w14:textId="0349A656" w:rsidR="00493C4B" w:rsidRDefault="00493C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E3EA53" w14:textId="77777777" w:rsidR="00493C4B" w:rsidRDefault="00493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CC9B0" w14:textId="77777777" w:rsidR="00606C8E" w:rsidRDefault="00606C8E" w:rsidP="00493C4B">
      <w:pPr>
        <w:spacing w:after="0" w:line="240" w:lineRule="auto"/>
      </w:pPr>
      <w:r>
        <w:separator/>
      </w:r>
    </w:p>
  </w:footnote>
  <w:footnote w:type="continuationSeparator" w:id="0">
    <w:p w14:paraId="0F1B1547" w14:textId="77777777" w:rsidR="00606C8E" w:rsidRDefault="00606C8E" w:rsidP="00493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FBD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86858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D6E"/>
    <w:rsid w:val="00026E6B"/>
    <w:rsid w:val="00086F03"/>
    <w:rsid w:val="00092C71"/>
    <w:rsid w:val="00097786"/>
    <w:rsid w:val="00110C75"/>
    <w:rsid w:val="001517D0"/>
    <w:rsid w:val="00165761"/>
    <w:rsid w:val="00171A33"/>
    <w:rsid w:val="0019366D"/>
    <w:rsid w:val="001A3BA0"/>
    <w:rsid w:val="001A7120"/>
    <w:rsid w:val="001B10D1"/>
    <w:rsid w:val="00207A67"/>
    <w:rsid w:val="002348AD"/>
    <w:rsid w:val="00242D99"/>
    <w:rsid w:val="0027056C"/>
    <w:rsid w:val="002B51F0"/>
    <w:rsid w:val="002C1C09"/>
    <w:rsid w:val="002C4EC8"/>
    <w:rsid w:val="002E095D"/>
    <w:rsid w:val="002E4CE2"/>
    <w:rsid w:val="002F0E56"/>
    <w:rsid w:val="002F2176"/>
    <w:rsid w:val="00321DDF"/>
    <w:rsid w:val="00397EB8"/>
    <w:rsid w:val="003D151C"/>
    <w:rsid w:val="003F4EA9"/>
    <w:rsid w:val="00432D53"/>
    <w:rsid w:val="004516DD"/>
    <w:rsid w:val="00465887"/>
    <w:rsid w:val="0048542A"/>
    <w:rsid w:val="00493C4B"/>
    <w:rsid w:val="00494B5D"/>
    <w:rsid w:val="004E4864"/>
    <w:rsid w:val="00545E66"/>
    <w:rsid w:val="0057264F"/>
    <w:rsid w:val="005823CD"/>
    <w:rsid w:val="00606C8E"/>
    <w:rsid w:val="00642895"/>
    <w:rsid w:val="00645621"/>
    <w:rsid w:val="006825A1"/>
    <w:rsid w:val="006852C3"/>
    <w:rsid w:val="006F0002"/>
    <w:rsid w:val="006F12B5"/>
    <w:rsid w:val="006F3843"/>
    <w:rsid w:val="0071328A"/>
    <w:rsid w:val="00750B42"/>
    <w:rsid w:val="007A0173"/>
    <w:rsid w:val="007E6DD5"/>
    <w:rsid w:val="007F2D0D"/>
    <w:rsid w:val="007F4460"/>
    <w:rsid w:val="00804540"/>
    <w:rsid w:val="00863D71"/>
    <w:rsid w:val="00870C4B"/>
    <w:rsid w:val="008A0D6E"/>
    <w:rsid w:val="00920604"/>
    <w:rsid w:val="0099298F"/>
    <w:rsid w:val="00993158"/>
    <w:rsid w:val="00996CE9"/>
    <w:rsid w:val="009A29AE"/>
    <w:rsid w:val="009B09DF"/>
    <w:rsid w:val="009B1586"/>
    <w:rsid w:val="009F488F"/>
    <w:rsid w:val="00A10CE4"/>
    <w:rsid w:val="00A21FD6"/>
    <w:rsid w:val="00A3015F"/>
    <w:rsid w:val="00A44472"/>
    <w:rsid w:val="00A555C0"/>
    <w:rsid w:val="00A933F7"/>
    <w:rsid w:val="00AA203F"/>
    <w:rsid w:val="00B114D0"/>
    <w:rsid w:val="00B1290F"/>
    <w:rsid w:val="00B20FDD"/>
    <w:rsid w:val="00B27BA8"/>
    <w:rsid w:val="00B47677"/>
    <w:rsid w:val="00B704F1"/>
    <w:rsid w:val="00BA3753"/>
    <w:rsid w:val="00BE0556"/>
    <w:rsid w:val="00BE47DD"/>
    <w:rsid w:val="00BF6B37"/>
    <w:rsid w:val="00C2317E"/>
    <w:rsid w:val="00C73FE4"/>
    <w:rsid w:val="00C92F2B"/>
    <w:rsid w:val="00C956D5"/>
    <w:rsid w:val="00CB1DE6"/>
    <w:rsid w:val="00CB29C7"/>
    <w:rsid w:val="00CD073B"/>
    <w:rsid w:val="00D1166E"/>
    <w:rsid w:val="00D21CD3"/>
    <w:rsid w:val="00D47464"/>
    <w:rsid w:val="00D61AE1"/>
    <w:rsid w:val="00D80129"/>
    <w:rsid w:val="00DA2C6E"/>
    <w:rsid w:val="00DB7771"/>
    <w:rsid w:val="00DE1310"/>
    <w:rsid w:val="00DF31A7"/>
    <w:rsid w:val="00E02DEC"/>
    <w:rsid w:val="00E0604F"/>
    <w:rsid w:val="00E306DC"/>
    <w:rsid w:val="00E8644E"/>
    <w:rsid w:val="00EA6892"/>
    <w:rsid w:val="00EA7778"/>
    <w:rsid w:val="00EF5AC7"/>
    <w:rsid w:val="00F0318A"/>
    <w:rsid w:val="00F43331"/>
    <w:rsid w:val="00FC627E"/>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6F10"/>
  <w15:chartTrackingRefBased/>
  <w15:docId w15:val="{2BB2FBF5-DAA5-4755-9F8D-112B22F3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C4B"/>
    <w:pPr>
      <w:spacing w:line="360" w:lineRule="auto"/>
      <w:jc w:val="both"/>
    </w:pPr>
    <w:rPr>
      <w:rFonts w:ascii="Arial" w:hAnsi="Arial"/>
    </w:rPr>
  </w:style>
  <w:style w:type="paragraph" w:styleId="Heading1">
    <w:name w:val="heading 1"/>
    <w:basedOn w:val="Normal"/>
    <w:next w:val="Normal"/>
    <w:link w:val="Heading1Char"/>
    <w:uiPriority w:val="9"/>
    <w:qFormat/>
    <w:rsid w:val="00493C4B"/>
    <w:pPr>
      <w:keepNext/>
      <w:keepLines/>
      <w:spacing w:before="240" w:after="0"/>
      <w:jc w:val="left"/>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7056C"/>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8A0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A0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C4B"/>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7056C"/>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8A0D6E"/>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A0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D6E"/>
    <w:rPr>
      <w:rFonts w:eastAsiaTheme="majorEastAsia" w:cstheme="majorBidi"/>
      <w:color w:val="272727" w:themeColor="text1" w:themeTint="D8"/>
    </w:rPr>
  </w:style>
  <w:style w:type="paragraph" w:styleId="Title">
    <w:name w:val="Title"/>
    <w:basedOn w:val="Normal"/>
    <w:next w:val="Normal"/>
    <w:link w:val="TitleChar"/>
    <w:uiPriority w:val="10"/>
    <w:qFormat/>
    <w:rsid w:val="008A0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D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D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0D6E"/>
    <w:rPr>
      <w:i/>
      <w:iCs/>
      <w:color w:val="404040" w:themeColor="text1" w:themeTint="BF"/>
    </w:rPr>
  </w:style>
  <w:style w:type="character" w:styleId="IntenseEmphasis">
    <w:name w:val="Intense Emphasis"/>
    <w:basedOn w:val="DefaultParagraphFont"/>
    <w:uiPriority w:val="21"/>
    <w:qFormat/>
    <w:rsid w:val="008A0D6E"/>
    <w:rPr>
      <w:i/>
      <w:iCs/>
      <w:color w:val="0F4761" w:themeColor="accent1" w:themeShade="BF"/>
    </w:rPr>
  </w:style>
  <w:style w:type="paragraph" w:styleId="IntenseQuote">
    <w:name w:val="Intense Quote"/>
    <w:basedOn w:val="Normal"/>
    <w:next w:val="Normal"/>
    <w:link w:val="IntenseQuoteChar"/>
    <w:uiPriority w:val="30"/>
    <w:qFormat/>
    <w:rsid w:val="008A0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D6E"/>
    <w:rPr>
      <w:i/>
      <w:iCs/>
      <w:color w:val="0F4761" w:themeColor="accent1" w:themeShade="BF"/>
    </w:rPr>
  </w:style>
  <w:style w:type="character" w:styleId="IntenseReference">
    <w:name w:val="Intense Reference"/>
    <w:basedOn w:val="DefaultParagraphFont"/>
    <w:uiPriority w:val="32"/>
    <w:qFormat/>
    <w:rsid w:val="008A0D6E"/>
    <w:rPr>
      <w:b/>
      <w:bCs/>
      <w:smallCaps/>
      <w:color w:val="0F4761" w:themeColor="accent1" w:themeShade="BF"/>
      <w:spacing w:val="5"/>
    </w:rPr>
  </w:style>
  <w:style w:type="paragraph" w:customStyle="1" w:styleId="Default">
    <w:name w:val="Default"/>
    <w:rsid w:val="00493C4B"/>
    <w:pPr>
      <w:autoSpaceDE w:val="0"/>
      <w:autoSpaceDN w:val="0"/>
      <w:adjustRightInd w:val="0"/>
      <w:spacing w:after="0" w:line="240" w:lineRule="auto"/>
    </w:pPr>
    <w:rPr>
      <w:rFonts w:ascii="Arial" w:hAnsi="Arial" w:cs="Arial"/>
      <w:color w:val="000000"/>
      <w:kern w:val="0"/>
    </w:rPr>
  </w:style>
  <w:style w:type="paragraph" w:styleId="Header">
    <w:name w:val="header"/>
    <w:basedOn w:val="Normal"/>
    <w:link w:val="HeaderChar"/>
    <w:uiPriority w:val="99"/>
    <w:unhideWhenUsed/>
    <w:rsid w:val="00493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4B"/>
    <w:rPr>
      <w:rFonts w:ascii="Arial" w:hAnsi="Arial"/>
    </w:rPr>
  </w:style>
  <w:style w:type="paragraph" w:styleId="Footer">
    <w:name w:val="footer"/>
    <w:basedOn w:val="Normal"/>
    <w:link w:val="FooterChar"/>
    <w:uiPriority w:val="99"/>
    <w:unhideWhenUsed/>
    <w:rsid w:val="00493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4B"/>
    <w:rPr>
      <w:rFonts w:ascii="Arial" w:hAnsi="Arial"/>
    </w:rPr>
  </w:style>
  <w:style w:type="character" w:styleId="Hyperlink">
    <w:name w:val="Hyperlink"/>
    <w:basedOn w:val="DefaultParagraphFont"/>
    <w:uiPriority w:val="99"/>
    <w:unhideWhenUsed/>
    <w:rsid w:val="00BE47DD"/>
    <w:rPr>
      <w:color w:val="467886" w:themeColor="hyperlink"/>
      <w:u w:val="single"/>
    </w:rPr>
  </w:style>
  <w:style w:type="character" w:styleId="UnresolvedMention">
    <w:name w:val="Unresolved Mention"/>
    <w:basedOn w:val="DefaultParagraphFont"/>
    <w:uiPriority w:val="99"/>
    <w:semiHidden/>
    <w:unhideWhenUsed/>
    <w:rsid w:val="00BE47DD"/>
    <w:rPr>
      <w:color w:val="605E5C"/>
      <w:shd w:val="clear" w:color="auto" w:fill="E1DFDD"/>
    </w:rPr>
  </w:style>
  <w:style w:type="table" w:styleId="TableGrid">
    <w:name w:val="Table Grid"/>
    <w:basedOn w:val="TableNormal"/>
    <w:uiPriority w:val="59"/>
    <w:rsid w:val="0027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E4CE2"/>
    <w:pPr>
      <w:spacing w:after="100"/>
    </w:pPr>
  </w:style>
  <w:style w:type="paragraph" w:styleId="TOC2">
    <w:name w:val="toc 2"/>
    <w:basedOn w:val="Normal"/>
    <w:next w:val="Normal"/>
    <w:autoRedefine/>
    <w:uiPriority w:val="39"/>
    <w:unhideWhenUsed/>
    <w:rsid w:val="002E4C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918">
      <w:bodyDiv w:val="1"/>
      <w:marLeft w:val="0"/>
      <w:marRight w:val="0"/>
      <w:marTop w:val="0"/>
      <w:marBottom w:val="0"/>
      <w:divBdr>
        <w:top w:val="none" w:sz="0" w:space="0" w:color="auto"/>
        <w:left w:val="none" w:sz="0" w:space="0" w:color="auto"/>
        <w:bottom w:val="none" w:sz="0" w:space="0" w:color="auto"/>
        <w:right w:val="none" w:sz="0" w:space="0" w:color="auto"/>
      </w:divBdr>
    </w:div>
    <w:div w:id="124659396">
      <w:bodyDiv w:val="1"/>
      <w:marLeft w:val="0"/>
      <w:marRight w:val="0"/>
      <w:marTop w:val="0"/>
      <w:marBottom w:val="0"/>
      <w:divBdr>
        <w:top w:val="none" w:sz="0" w:space="0" w:color="auto"/>
        <w:left w:val="none" w:sz="0" w:space="0" w:color="auto"/>
        <w:bottom w:val="none" w:sz="0" w:space="0" w:color="auto"/>
        <w:right w:val="none" w:sz="0" w:space="0" w:color="auto"/>
      </w:divBdr>
    </w:div>
    <w:div w:id="202252388">
      <w:bodyDiv w:val="1"/>
      <w:marLeft w:val="0"/>
      <w:marRight w:val="0"/>
      <w:marTop w:val="0"/>
      <w:marBottom w:val="0"/>
      <w:divBdr>
        <w:top w:val="none" w:sz="0" w:space="0" w:color="auto"/>
        <w:left w:val="none" w:sz="0" w:space="0" w:color="auto"/>
        <w:bottom w:val="none" w:sz="0" w:space="0" w:color="auto"/>
        <w:right w:val="none" w:sz="0" w:space="0" w:color="auto"/>
      </w:divBdr>
    </w:div>
    <w:div w:id="234710100">
      <w:bodyDiv w:val="1"/>
      <w:marLeft w:val="0"/>
      <w:marRight w:val="0"/>
      <w:marTop w:val="0"/>
      <w:marBottom w:val="0"/>
      <w:divBdr>
        <w:top w:val="none" w:sz="0" w:space="0" w:color="auto"/>
        <w:left w:val="none" w:sz="0" w:space="0" w:color="auto"/>
        <w:bottom w:val="none" w:sz="0" w:space="0" w:color="auto"/>
        <w:right w:val="none" w:sz="0" w:space="0" w:color="auto"/>
      </w:divBdr>
    </w:div>
    <w:div w:id="288047347">
      <w:bodyDiv w:val="1"/>
      <w:marLeft w:val="0"/>
      <w:marRight w:val="0"/>
      <w:marTop w:val="0"/>
      <w:marBottom w:val="0"/>
      <w:divBdr>
        <w:top w:val="none" w:sz="0" w:space="0" w:color="auto"/>
        <w:left w:val="none" w:sz="0" w:space="0" w:color="auto"/>
        <w:bottom w:val="none" w:sz="0" w:space="0" w:color="auto"/>
        <w:right w:val="none" w:sz="0" w:space="0" w:color="auto"/>
      </w:divBdr>
    </w:div>
    <w:div w:id="379598117">
      <w:bodyDiv w:val="1"/>
      <w:marLeft w:val="0"/>
      <w:marRight w:val="0"/>
      <w:marTop w:val="0"/>
      <w:marBottom w:val="0"/>
      <w:divBdr>
        <w:top w:val="none" w:sz="0" w:space="0" w:color="auto"/>
        <w:left w:val="none" w:sz="0" w:space="0" w:color="auto"/>
        <w:bottom w:val="none" w:sz="0" w:space="0" w:color="auto"/>
        <w:right w:val="none" w:sz="0" w:space="0" w:color="auto"/>
      </w:divBdr>
    </w:div>
    <w:div w:id="385957032">
      <w:bodyDiv w:val="1"/>
      <w:marLeft w:val="0"/>
      <w:marRight w:val="0"/>
      <w:marTop w:val="0"/>
      <w:marBottom w:val="0"/>
      <w:divBdr>
        <w:top w:val="none" w:sz="0" w:space="0" w:color="auto"/>
        <w:left w:val="none" w:sz="0" w:space="0" w:color="auto"/>
        <w:bottom w:val="none" w:sz="0" w:space="0" w:color="auto"/>
        <w:right w:val="none" w:sz="0" w:space="0" w:color="auto"/>
      </w:divBdr>
    </w:div>
    <w:div w:id="427191985">
      <w:bodyDiv w:val="1"/>
      <w:marLeft w:val="0"/>
      <w:marRight w:val="0"/>
      <w:marTop w:val="0"/>
      <w:marBottom w:val="0"/>
      <w:divBdr>
        <w:top w:val="none" w:sz="0" w:space="0" w:color="auto"/>
        <w:left w:val="none" w:sz="0" w:space="0" w:color="auto"/>
        <w:bottom w:val="none" w:sz="0" w:space="0" w:color="auto"/>
        <w:right w:val="none" w:sz="0" w:space="0" w:color="auto"/>
      </w:divBdr>
    </w:div>
    <w:div w:id="468791025">
      <w:bodyDiv w:val="1"/>
      <w:marLeft w:val="0"/>
      <w:marRight w:val="0"/>
      <w:marTop w:val="0"/>
      <w:marBottom w:val="0"/>
      <w:divBdr>
        <w:top w:val="none" w:sz="0" w:space="0" w:color="auto"/>
        <w:left w:val="none" w:sz="0" w:space="0" w:color="auto"/>
        <w:bottom w:val="none" w:sz="0" w:space="0" w:color="auto"/>
        <w:right w:val="none" w:sz="0" w:space="0" w:color="auto"/>
      </w:divBdr>
    </w:div>
    <w:div w:id="501166618">
      <w:bodyDiv w:val="1"/>
      <w:marLeft w:val="0"/>
      <w:marRight w:val="0"/>
      <w:marTop w:val="0"/>
      <w:marBottom w:val="0"/>
      <w:divBdr>
        <w:top w:val="none" w:sz="0" w:space="0" w:color="auto"/>
        <w:left w:val="none" w:sz="0" w:space="0" w:color="auto"/>
        <w:bottom w:val="none" w:sz="0" w:space="0" w:color="auto"/>
        <w:right w:val="none" w:sz="0" w:space="0" w:color="auto"/>
      </w:divBdr>
      <w:divsChild>
        <w:div w:id="115875575">
          <w:marLeft w:val="0"/>
          <w:marRight w:val="0"/>
          <w:marTop w:val="0"/>
          <w:marBottom w:val="0"/>
          <w:divBdr>
            <w:top w:val="none" w:sz="0" w:space="0" w:color="auto"/>
            <w:left w:val="none" w:sz="0" w:space="0" w:color="auto"/>
            <w:bottom w:val="none" w:sz="0" w:space="0" w:color="auto"/>
            <w:right w:val="none" w:sz="0" w:space="0" w:color="auto"/>
          </w:divBdr>
        </w:div>
      </w:divsChild>
    </w:div>
    <w:div w:id="620579269">
      <w:bodyDiv w:val="1"/>
      <w:marLeft w:val="0"/>
      <w:marRight w:val="0"/>
      <w:marTop w:val="0"/>
      <w:marBottom w:val="0"/>
      <w:divBdr>
        <w:top w:val="none" w:sz="0" w:space="0" w:color="auto"/>
        <w:left w:val="none" w:sz="0" w:space="0" w:color="auto"/>
        <w:bottom w:val="none" w:sz="0" w:space="0" w:color="auto"/>
        <w:right w:val="none" w:sz="0" w:space="0" w:color="auto"/>
      </w:divBdr>
    </w:div>
    <w:div w:id="697972874">
      <w:bodyDiv w:val="1"/>
      <w:marLeft w:val="0"/>
      <w:marRight w:val="0"/>
      <w:marTop w:val="0"/>
      <w:marBottom w:val="0"/>
      <w:divBdr>
        <w:top w:val="none" w:sz="0" w:space="0" w:color="auto"/>
        <w:left w:val="none" w:sz="0" w:space="0" w:color="auto"/>
        <w:bottom w:val="none" w:sz="0" w:space="0" w:color="auto"/>
        <w:right w:val="none" w:sz="0" w:space="0" w:color="auto"/>
      </w:divBdr>
    </w:div>
    <w:div w:id="834884436">
      <w:bodyDiv w:val="1"/>
      <w:marLeft w:val="0"/>
      <w:marRight w:val="0"/>
      <w:marTop w:val="0"/>
      <w:marBottom w:val="0"/>
      <w:divBdr>
        <w:top w:val="none" w:sz="0" w:space="0" w:color="auto"/>
        <w:left w:val="none" w:sz="0" w:space="0" w:color="auto"/>
        <w:bottom w:val="none" w:sz="0" w:space="0" w:color="auto"/>
        <w:right w:val="none" w:sz="0" w:space="0" w:color="auto"/>
      </w:divBdr>
      <w:divsChild>
        <w:div w:id="1700350083">
          <w:marLeft w:val="0"/>
          <w:marRight w:val="0"/>
          <w:marTop w:val="0"/>
          <w:marBottom w:val="0"/>
          <w:divBdr>
            <w:top w:val="none" w:sz="0" w:space="0" w:color="auto"/>
            <w:left w:val="none" w:sz="0" w:space="0" w:color="auto"/>
            <w:bottom w:val="none" w:sz="0" w:space="0" w:color="auto"/>
            <w:right w:val="none" w:sz="0" w:space="0" w:color="auto"/>
          </w:divBdr>
        </w:div>
      </w:divsChild>
    </w:div>
    <w:div w:id="862018031">
      <w:bodyDiv w:val="1"/>
      <w:marLeft w:val="0"/>
      <w:marRight w:val="0"/>
      <w:marTop w:val="0"/>
      <w:marBottom w:val="0"/>
      <w:divBdr>
        <w:top w:val="none" w:sz="0" w:space="0" w:color="auto"/>
        <w:left w:val="none" w:sz="0" w:space="0" w:color="auto"/>
        <w:bottom w:val="none" w:sz="0" w:space="0" w:color="auto"/>
        <w:right w:val="none" w:sz="0" w:space="0" w:color="auto"/>
      </w:divBdr>
    </w:div>
    <w:div w:id="932131766">
      <w:bodyDiv w:val="1"/>
      <w:marLeft w:val="0"/>
      <w:marRight w:val="0"/>
      <w:marTop w:val="0"/>
      <w:marBottom w:val="0"/>
      <w:divBdr>
        <w:top w:val="none" w:sz="0" w:space="0" w:color="auto"/>
        <w:left w:val="none" w:sz="0" w:space="0" w:color="auto"/>
        <w:bottom w:val="none" w:sz="0" w:space="0" w:color="auto"/>
        <w:right w:val="none" w:sz="0" w:space="0" w:color="auto"/>
      </w:divBdr>
    </w:div>
    <w:div w:id="996033144">
      <w:bodyDiv w:val="1"/>
      <w:marLeft w:val="0"/>
      <w:marRight w:val="0"/>
      <w:marTop w:val="0"/>
      <w:marBottom w:val="0"/>
      <w:divBdr>
        <w:top w:val="none" w:sz="0" w:space="0" w:color="auto"/>
        <w:left w:val="none" w:sz="0" w:space="0" w:color="auto"/>
        <w:bottom w:val="none" w:sz="0" w:space="0" w:color="auto"/>
        <w:right w:val="none" w:sz="0" w:space="0" w:color="auto"/>
      </w:divBdr>
    </w:div>
    <w:div w:id="1007288667">
      <w:bodyDiv w:val="1"/>
      <w:marLeft w:val="0"/>
      <w:marRight w:val="0"/>
      <w:marTop w:val="0"/>
      <w:marBottom w:val="0"/>
      <w:divBdr>
        <w:top w:val="none" w:sz="0" w:space="0" w:color="auto"/>
        <w:left w:val="none" w:sz="0" w:space="0" w:color="auto"/>
        <w:bottom w:val="none" w:sz="0" w:space="0" w:color="auto"/>
        <w:right w:val="none" w:sz="0" w:space="0" w:color="auto"/>
      </w:divBdr>
    </w:div>
    <w:div w:id="1120491091">
      <w:bodyDiv w:val="1"/>
      <w:marLeft w:val="0"/>
      <w:marRight w:val="0"/>
      <w:marTop w:val="0"/>
      <w:marBottom w:val="0"/>
      <w:divBdr>
        <w:top w:val="none" w:sz="0" w:space="0" w:color="auto"/>
        <w:left w:val="none" w:sz="0" w:space="0" w:color="auto"/>
        <w:bottom w:val="none" w:sz="0" w:space="0" w:color="auto"/>
        <w:right w:val="none" w:sz="0" w:space="0" w:color="auto"/>
      </w:divBdr>
    </w:div>
    <w:div w:id="1136289486">
      <w:bodyDiv w:val="1"/>
      <w:marLeft w:val="0"/>
      <w:marRight w:val="0"/>
      <w:marTop w:val="0"/>
      <w:marBottom w:val="0"/>
      <w:divBdr>
        <w:top w:val="none" w:sz="0" w:space="0" w:color="auto"/>
        <w:left w:val="none" w:sz="0" w:space="0" w:color="auto"/>
        <w:bottom w:val="none" w:sz="0" w:space="0" w:color="auto"/>
        <w:right w:val="none" w:sz="0" w:space="0" w:color="auto"/>
      </w:divBdr>
    </w:div>
    <w:div w:id="1178545591">
      <w:bodyDiv w:val="1"/>
      <w:marLeft w:val="0"/>
      <w:marRight w:val="0"/>
      <w:marTop w:val="0"/>
      <w:marBottom w:val="0"/>
      <w:divBdr>
        <w:top w:val="none" w:sz="0" w:space="0" w:color="auto"/>
        <w:left w:val="none" w:sz="0" w:space="0" w:color="auto"/>
        <w:bottom w:val="none" w:sz="0" w:space="0" w:color="auto"/>
        <w:right w:val="none" w:sz="0" w:space="0" w:color="auto"/>
      </w:divBdr>
    </w:div>
    <w:div w:id="1187985660">
      <w:bodyDiv w:val="1"/>
      <w:marLeft w:val="0"/>
      <w:marRight w:val="0"/>
      <w:marTop w:val="0"/>
      <w:marBottom w:val="0"/>
      <w:divBdr>
        <w:top w:val="none" w:sz="0" w:space="0" w:color="auto"/>
        <w:left w:val="none" w:sz="0" w:space="0" w:color="auto"/>
        <w:bottom w:val="none" w:sz="0" w:space="0" w:color="auto"/>
        <w:right w:val="none" w:sz="0" w:space="0" w:color="auto"/>
      </w:divBdr>
    </w:div>
    <w:div w:id="1227835615">
      <w:bodyDiv w:val="1"/>
      <w:marLeft w:val="0"/>
      <w:marRight w:val="0"/>
      <w:marTop w:val="0"/>
      <w:marBottom w:val="0"/>
      <w:divBdr>
        <w:top w:val="none" w:sz="0" w:space="0" w:color="auto"/>
        <w:left w:val="none" w:sz="0" w:space="0" w:color="auto"/>
        <w:bottom w:val="none" w:sz="0" w:space="0" w:color="auto"/>
        <w:right w:val="none" w:sz="0" w:space="0" w:color="auto"/>
      </w:divBdr>
    </w:div>
    <w:div w:id="1372995724">
      <w:bodyDiv w:val="1"/>
      <w:marLeft w:val="0"/>
      <w:marRight w:val="0"/>
      <w:marTop w:val="0"/>
      <w:marBottom w:val="0"/>
      <w:divBdr>
        <w:top w:val="none" w:sz="0" w:space="0" w:color="auto"/>
        <w:left w:val="none" w:sz="0" w:space="0" w:color="auto"/>
        <w:bottom w:val="none" w:sz="0" w:space="0" w:color="auto"/>
        <w:right w:val="none" w:sz="0" w:space="0" w:color="auto"/>
      </w:divBdr>
    </w:div>
    <w:div w:id="1384795298">
      <w:bodyDiv w:val="1"/>
      <w:marLeft w:val="0"/>
      <w:marRight w:val="0"/>
      <w:marTop w:val="0"/>
      <w:marBottom w:val="0"/>
      <w:divBdr>
        <w:top w:val="none" w:sz="0" w:space="0" w:color="auto"/>
        <w:left w:val="none" w:sz="0" w:space="0" w:color="auto"/>
        <w:bottom w:val="none" w:sz="0" w:space="0" w:color="auto"/>
        <w:right w:val="none" w:sz="0" w:space="0" w:color="auto"/>
      </w:divBdr>
    </w:div>
    <w:div w:id="1418940209">
      <w:bodyDiv w:val="1"/>
      <w:marLeft w:val="0"/>
      <w:marRight w:val="0"/>
      <w:marTop w:val="0"/>
      <w:marBottom w:val="0"/>
      <w:divBdr>
        <w:top w:val="none" w:sz="0" w:space="0" w:color="auto"/>
        <w:left w:val="none" w:sz="0" w:space="0" w:color="auto"/>
        <w:bottom w:val="none" w:sz="0" w:space="0" w:color="auto"/>
        <w:right w:val="none" w:sz="0" w:space="0" w:color="auto"/>
      </w:divBdr>
    </w:div>
    <w:div w:id="1714846563">
      <w:bodyDiv w:val="1"/>
      <w:marLeft w:val="0"/>
      <w:marRight w:val="0"/>
      <w:marTop w:val="0"/>
      <w:marBottom w:val="0"/>
      <w:divBdr>
        <w:top w:val="none" w:sz="0" w:space="0" w:color="auto"/>
        <w:left w:val="none" w:sz="0" w:space="0" w:color="auto"/>
        <w:bottom w:val="none" w:sz="0" w:space="0" w:color="auto"/>
        <w:right w:val="none" w:sz="0" w:space="0" w:color="auto"/>
      </w:divBdr>
    </w:div>
    <w:div w:id="1756051837">
      <w:bodyDiv w:val="1"/>
      <w:marLeft w:val="0"/>
      <w:marRight w:val="0"/>
      <w:marTop w:val="0"/>
      <w:marBottom w:val="0"/>
      <w:divBdr>
        <w:top w:val="none" w:sz="0" w:space="0" w:color="auto"/>
        <w:left w:val="none" w:sz="0" w:space="0" w:color="auto"/>
        <w:bottom w:val="none" w:sz="0" w:space="0" w:color="auto"/>
        <w:right w:val="none" w:sz="0" w:space="0" w:color="auto"/>
      </w:divBdr>
      <w:divsChild>
        <w:div w:id="1933969694">
          <w:marLeft w:val="0"/>
          <w:marRight w:val="0"/>
          <w:marTop w:val="0"/>
          <w:marBottom w:val="0"/>
          <w:divBdr>
            <w:top w:val="none" w:sz="0" w:space="0" w:color="auto"/>
            <w:left w:val="none" w:sz="0" w:space="0" w:color="auto"/>
            <w:bottom w:val="none" w:sz="0" w:space="0" w:color="auto"/>
            <w:right w:val="none" w:sz="0" w:space="0" w:color="auto"/>
          </w:divBdr>
        </w:div>
      </w:divsChild>
    </w:div>
    <w:div w:id="1783497775">
      <w:bodyDiv w:val="1"/>
      <w:marLeft w:val="0"/>
      <w:marRight w:val="0"/>
      <w:marTop w:val="0"/>
      <w:marBottom w:val="0"/>
      <w:divBdr>
        <w:top w:val="none" w:sz="0" w:space="0" w:color="auto"/>
        <w:left w:val="none" w:sz="0" w:space="0" w:color="auto"/>
        <w:bottom w:val="none" w:sz="0" w:space="0" w:color="auto"/>
        <w:right w:val="none" w:sz="0" w:space="0" w:color="auto"/>
      </w:divBdr>
    </w:div>
    <w:div w:id="1858078311">
      <w:bodyDiv w:val="1"/>
      <w:marLeft w:val="0"/>
      <w:marRight w:val="0"/>
      <w:marTop w:val="0"/>
      <w:marBottom w:val="0"/>
      <w:divBdr>
        <w:top w:val="none" w:sz="0" w:space="0" w:color="auto"/>
        <w:left w:val="none" w:sz="0" w:space="0" w:color="auto"/>
        <w:bottom w:val="none" w:sz="0" w:space="0" w:color="auto"/>
        <w:right w:val="none" w:sz="0" w:space="0" w:color="auto"/>
      </w:divBdr>
    </w:div>
    <w:div w:id="1955209424">
      <w:bodyDiv w:val="1"/>
      <w:marLeft w:val="0"/>
      <w:marRight w:val="0"/>
      <w:marTop w:val="0"/>
      <w:marBottom w:val="0"/>
      <w:divBdr>
        <w:top w:val="none" w:sz="0" w:space="0" w:color="auto"/>
        <w:left w:val="none" w:sz="0" w:space="0" w:color="auto"/>
        <w:bottom w:val="none" w:sz="0" w:space="0" w:color="auto"/>
        <w:right w:val="none" w:sz="0" w:space="0" w:color="auto"/>
      </w:divBdr>
    </w:div>
    <w:div w:id="1958216358">
      <w:bodyDiv w:val="1"/>
      <w:marLeft w:val="0"/>
      <w:marRight w:val="0"/>
      <w:marTop w:val="0"/>
      <w:marBottom w:val="0"/>
      <w:divBdr>
        <w:top w:val="none" w:sz="0" w:space="0" w:color="auto"/>
        <w:left w:val="none" w:sz="0" w:space="0" w:color="auto"/>
        <w:bottom w:val="none" w:sz="0" w:space="0" w:color="auto"/>
        <w:right w:val="none" w:sz="0" w:space="0" w:color="auto"/>
      </w:divBdr>
    </w:div>
    <w:div w:id="1968705783">
      <w:bodyDiv w:val="1"/>
      <w:marLeft w:val="0"/>
      <w:marRight w:val="0"/>
      <w:marTop w:val="0"/>
      <w:marBottom w:val="0"/>
      <w:divBdr>
        <w:top w:val="none" w:sz="0" w:space="0" w:color="auto"/>
        <w:left w:val="none" w:sz="0" w:space="0" w:color="auto"/>
        <w:bottom w:val="none" w:sz="0" w:space="0" w:color="auto"/>
        <w:right w:val="none" w:sz="0" w:space="0" w:color="auto"/>
      </w:divBdr>
    </w:div>
    <w:div w:id="1976567236">
      <w:bodyDiv w:val="1"/>
      <w:marLeft w:val="0"/>
      <w:marRight w:val="0"/>
      <w:marTop w:val="0"/>
      <w:marBottom w:val="0"/>
      <w:divBdr>
        <w:top w:val="none" w:sz="0" w:space="0" w:color="auto"/>
        <w:left w:val="none" w:sz="0" w:space="0" w:color="auto"/>
        <w:bottom w:val="none" w:sz="0" w:space="0" w:color="auto"/>
        <w:right w:val="none" w:sz="0" w:space="0" w:color="auto"/>
      </w:divBdr>
    </w:div>
    <w:div w:id="2028209233">
      <w:bodyDiv w:val="1"/>
      <w:marLeft w:val="0"/>
      <w:marRight w:val="0"/>
      <w:marTop w:val="0"/>
      <w:marBottom w:val="0"/>
      <w:divBdr>
        <w:top w:val="none" w:sz="0" w:space="0" w:color="auto"/>
        <w:left w:val="none" w:sz="0" w:space="0" w:color="auto"/>
        <w:bottom w:val="none" w:sz="0" w:space="0" w:color="auto"/>
        <w:right w:val="none" w:sz="0" w:space="0" w:color="auto"/>
      </w:divBdr>
    </w:div>
    <w:div w:id="211015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ndhunter.com/trends/my-marriott-hotel" TargetMode="External"/><Relationship Id="rId13" Type="http://schemas.openxmlformats.org/officeDocument/2006/relationships/hyperlink" Target="https://bstrategyhub.com/marriot-swot-analys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centure.com/us-en/case-studies/travel/hr-transformation" TargetMode="External"/><Relationship Id="rId12" Type="http://schemas.openxmlformats.org/officeDocument/2006/relationships/hyperlink" Target="https://ssrn.com/abstract=4121197" TargetMode="External"/><Relationship Id="rId17" Type="http://schemas.openxmlformats.org/officeDocument/2006/relationships/hyperlink" Target="https://doi.org/10.1080/09585192.2020.1871398" TargetMode="External"/><Relationship Id="rId2" Type="http://schemas.openxmlformats.org/officeDocument/2006/relationships/styles" Target="styles.xml"/><Relationship Id="rId16" Type="http://schemas.openxmlformats.org/officeDocument/2006/relationships/hyperlink" Target="https://doi.org/10.1016/j.chb.2019.06.01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riott.com/en-gb/marriott/aboutmarriott.mi" TargetMode="External"/><Relationship Id="rId5" Type="http://schemas.openxmlformats.org/officeDocument/2006/relationships/footnotes" Target="footnotes.xml"/><Relationship Id="rId15" Type="http://schemas.openxmlformats.org/officeDocument/2006/relationships/hyperlink" Target="https://doi.org/10.1016/j.techsoc.2022.101905" TargetMode="External"/><Relationship Id="rId10" Type="http://schemas.openxmlformats.org/officeDocument/2006/relationships/hyperlink" Target="https://serve360.marriott.com/wp-content/uploads/2023/06/Marriott-2023-Serve-360-ESG-Report-accessible.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01016/j.hrmr.2018.05.001" TargetMode="External"/><Relationship Id="rId14" Type="http://schemas.openxmlformats.org/officeDocument/2006/relationships/hyperlink" Target="https://doi.org/10.1016/j.hrmr.2015.0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13</Pages>
  <Words>3542</Words>
  <Characters>20192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Constantin-Bogdan Rusu</dc:creator>
  <cp:keywords/>
  <dc:description/>
  <cp:lastModifiedBy>sonia badulescu</cp:lastModifiedBy>
  <cp:revision>83</cp:revision>
  <dcterms:created xsi:type="dcterms:W3CDTF">2024-03-01T14:19:00Z</dcterms:created>
  <dcterms:modified xsi:type="dcterms:W3CDTF">2024-03-01T23:38:00Z</dcterms:modified>
</cp:coreProperties>
</file>