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4F2F2DB" w14:textId="371D1E0E" w:rsidR="007D1947" w:rsidRDefault="00751460">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FINANCE FOR BUSINESS MANAGERS</w:t>
          </w:r>
        </w:p>
        <w:p w14:paraId="475B7674" w14:textId="2C3B4477" w:rsidR="007D1947" w:rsidRDefault="00751460">
          <w:pPr>
            <w:pStyle w:val="NoSpacing"/>
            <w:jc w:val="center"/>
            <w:rPr>
              <w:color w:val="5B9BD5" w:themeColor="accent1"/>
              <w:sz w:val="28"/>
              <w:szCs w:val="28"/>
            </w:rPr>
          </w:pPr>
          <w:r w:rsidRPr="00751460">
            <w:rPr>
              <w:color w:val="5B9BD5" w:themeColor="accent1"/>
              <w:sz w:val="28"/>
              <w:szCs w:val="28"/>
            </w:rPr>
            <w:t>Financial Performance Analysis of Barclays PLC and Strategic Investment Appraisal of Beard Plc</w:t>
          </w:r>
        </w:p>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BAF8D9" w14:textId="762EDF20" w:rsidR="007D1947" w:rsidRDefault="00751460">
                                <w:pPr>
                                  <w:pStyle w:val="NoSpacing"/>
                                  <w:spacing w:after="40"/>
                                  <w:jc w:val="center"/>
                                  <w:rPr>
                                    <w:caps/>
                                    <w:color w:val="5B9BD5" w:themeColor="accent1"/>
                                    <w:sz w:val="28"/>
                                    <w:szCs w:val="28"/>
                                  </w:rPr>
                                </w:pPr>
                                <w:r>
                                  <w:rPr>
                                    <w:caps/>
                                    <w:color w:val="5B9BD5" w:themeColor="accent1"/>
                                    <w:sz w:val="28"/>
                                    <w:szCs w:val="28"/>
                                  </w:rPr>
                                  <w:t>20/04</w:t>
                                </w:r>
                                <w:r w:rsidR="00AB664F">
                                  <w:rPr>
                                    <w:caps/>
                                    <w:color w:val="5B9BD5" w:themeColor="accent1"/>
                                    <w:sz w:val="28"/>
                                    <w:szCs w:val="28"/>
                                  </w:rPr>
                                  <w:t>/</w:t>
                                </w:r>
                                <w:r>
                                  <w:rPr>
                                    <w:caps/>
                                    <w:color w:val="5B9BD5" w:themeColor="accent1"/>
                                    <w:sz w:val="28"/>
                                    <w:szCs w:val="28"/>
                                  </w:rPr>
                                  <w:t>2026</w:t>
                                </w:r>
                              </w:p>
                              <w:p w14:paraId="69E98CB3" w14:textId="4F89C263" w:rsidR="007D1947" w:rsidRDefault="004A11F6">
                                <w:pPr>
                                  <w:pStyle w:val="NoSpacing"/>
                                  <w:jc w:val="center"/>
                                  <w:rPr>
                                    <w:color w:val="5B9BD5" w:themeColor="accent1"/>
                                  </w:rPr>
                                </w:pPr>
                                <w:r>
                                  <w:rPr>
                                    <w:caps/>
                                    <w:color w:val="5B9BD5" w:themeColor="accent1"/>
                                    <w:lang w:val="en-GB"/>
                                  </w:rPr>
                                  <w:t>University of Wales Trinity Saint David</w:t>
                                </w:r>
                              </w:p>
                              <w:p w14:paraId="3FC79022" w14:textId="37399F97" w:rsidR="007D1947" w:rsidRDefault="007D1947">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p w14:paraId="52BAF8D9" w14:textId="762EDF20" w:rsidR="007D1947" w:rsidRDefault="00751460">
                          <w:pPr>
                            <w:pStyle w:val="NoSpacing"/>
                            <w:spacing w:after="40"/>
                            <w:jc w:val="center"/>
                            <w:rPr>
                              <w:caps/>
                              <w:color w:val="5B9BD5" w:themeColor="accent1"/>
                              <w:sz w:val="28"/>
                              <w:szCs w:val="28"/>
                            </w:rPr>
                          </w:pPr>
                          <w:r>
                            <w:rPr>
                              <w:caps/>
                              <w:color w:val="5B9BD5" w:themeColor="accent1"/>
                              <w:sz w:val="28"/>
                              <w:szCs w:val="28"/>
                            </w:rPr>
                            <w:t>20/04</w:t>
                          </w:r>
                          <w:r w:rsidR="00AB664F">
                            <w:rPr>
                              <w:caps/>
                              <w:color w:val="5B9BD5" w:themeColor="accent1"/>
                              <w:sz w:val="28"/>
                              <w:szCs w:val="28"/>
                            </w:rPr>
                            <w:t>/</w:t>
                          </w:r>
                          <w:r>
                            <w:rPr>
                              <w:caps/>
                              <w:color w:val="5B9BD5" w:themeColor="accent1"/>
                              <w:sz w:val="28"/>
                              <w:szCs w:val="28"/>
                            </w:rPr>
                            <w:t>2026</w:t>
                          </w:r>
                        </w:p>
                        <w:p w14:paraId="69E98CB3" w14:textId="4F89C263" w:rsidR="007D1947" w:rsidRDefault="004A11F6">
                          <w:pPr>
                            <w:pStyle w:val="NoSpacing"/>
                            <w:jc w:val="center"/>
                            <w:rPr>
                              <w:color w:val="5B9BD5" w:themeColor="accent1"/>
                            </w:rPr>
                          </w:pPr>
                          <w:r>
                            <w:rPr>
                              <w:caps/>
                              <w:color w:val="5B9BD5" w:themeColor="accent1"/>
                              <w:lang w:val="en-GB"/>
                            </w:rPr>
                            <w:t>University of Wales Trinity Saint David</w:t>
                          </w:r>
                        </w:p>
                        <w:p w14:paraId="3FC79022" w14:textId="37399F97" w:rsidR="007D1947" w:rsidRDefault="007D1947">
                          <w:pPr>
                            <w:pStyle w:val="NoSpacing"/>
                            <w:jc w:val="center"/>
                            <w:rPr>
                              <w:color w:val="5B9BD5" w:themeColor="accent1"/>
                            </w:rPr>
                          </w:pPr>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Pr="00751460" w:rsidRDefault="007D1947" w:rsidP="007D1947">
          <w:pPr>
            <w:pStyle w:val="Heading1"/>
            <w:rPr>
              <w:rFonts w:ascii="Times New Roman" w:hAnsi="Times New Roman" w:cs="Times New Roman"/>
              <w:b/>
              <w:bCs/>
              <w:sz w:val="24"/>
              <w:szCs w:val="24"/>
            </w:rPr>
          </w:pPr>
          <w:r>
            <w:br w:type="page"/>
          </w:r>
          <w:bookmarkStart w:id="0" w:name="_Toc227613564"/>
          <w:r w:rsidRPr="00751460">
            <w:rPr>
              <w:rFonts w:ascii="Times New Roman" w:hAnsi="Times New Roman" w:cs="Times New Roman"/>
              <w:b/>
              <w:bCs/>
              <w:color w:val="auto"/>
              <w:sz w:val="24"/>
              <w:szCs w:val="24"/>
            </w:rPr>
            <w:lastRenderedPageBreak/>
            <w:t>Executive Summary</w:t>
          </w:r>
          <w:bookmarkEnd w:id="0"/>
        </w:p>
        <w:p w14:paraId="6EE716A5" w14:textId="5A2742A0" w:rsidR="00751460" w:rsidRPr="00751460" w:rsidRDefault="00751460" w:rsidP="00751460">
          <w:pPr>
            <w:spacing w:after="0" w:line="360" w:lineRule="auto"/>
            <w:ind w:firstLine="720"/>
            <w:rPr>
              <w:rFonts w:ascii="Times New Roman" w:hAnsi="Times New Roman" w:cs="Times New Roman"/>
              <w:sz w:val="24"/>
              <w:szCs w:val="24"/>
            </w:rPr>
          </w:pPr>
          <w:r w:rsidRPr="00751460">
            <w:rPr>
              <w:rFonts w:ascii="Times New Roman" w:hAnsi="Times New Roman" w:cs="Times New Roman"/>
              <w:sz w:val="24"/>
              <w:szCs w:val="24"/>
            </w:rPr>
            <w:t xml:space="preserve">This report entails a detailed assessment of the financial performance of Barclays PLC between 2024 and 2025 and gives an investment appraisal of the expansion options of Beard Plc. Barclays is an FTSE 100 multinational bank that was able to withstand a challenging macroeconomic environment characterised by high interest rates, inflationary pressures and regulatory reforms. Profitability increased slightly, which was backed by increased net interest margins, and liquidity was high with low loan-to-deposit ratios and a high amount of cash. Restructuring and digitalisation brought about efficiency gains, but asset turnover was low, and the gearing was still indicative of high leverage. The confidence of investors was not high, as the buyback of shares was in the form of decreasing price-to-earnings ratios, even when the earnings per share increased. Such recommendations as the capital structure should be enhanced by aiming at the level of 13 to 15 of the Tier 1 capital ratio; cost efficiency should be enhanced by digitalisation and better communication to investors with </w:t>
          </w:r>
          <w:r w:rsidR="00B37AF3" w:rsidRPr="00751460">
            <w:rPr>
              <w:rFonts w:ascii="Times New Roman" w:hAnsi="Times New Roman" w:cs="Times New Roman"/>
              <w:sz w:val="24"/>
              <w:szCs w:val="24"/>
            </w:rPr>
            <w:t>clearer</w:t>
          </w:r>
          <w:r w:rsidRPr="00751460">
            <w:rPr>
              <w:rFonts w:ascii="Times New Roman" w:hAnsi="Times New Roman" w:cs="Times New Roman"/>
              <w:sz w:val="24"/>
              <w:szCs w:val="24"/>
            </w:rPr>
            <w:t xml:space="preserve"> ESG and strategic disclosures; and liquidity management should be optimised by ensuring that the lending growth is balanced with risk management.</w:t>
          </w:r>
        </w:p>
        <w:p w14:paraId="325CAB55" w14:textId="77777777" w:rsidR="00751460" w:rsidRPr="00751460" w:rsidRDefault="00751460" w:rsidP="00751460">
          <w:pPr>
            <w:spacing w:after="0" w:line="360" w:lineRule="auto"/>
            <w:ind w:firstLine="720"/>
            <w:rPr>
              <w:rFonts w:ascii="Times New Roman" w:hAnsi="Times New Roman" w:cs="Times New Roman"/>
              <w:sz w:val="24"/>
              <w:szCs w:val="24"/>
            </w:rPr>
          </w:pPr>
          <w:r w:rsidRPr="00751460">
            <w:rPr>
              <w:rFonts w:ascii="Times New Roman" w:hAnsi="Times New Roman" w:cs="Times New Roman"/>
              <w:sz w:val="24"/>
              <w:szCs w:val="24"/>
            </w:rPr>
            <w:t>The second part of the report appraises Beard Plc’s three expansion options using discounted cash flow techniques. NPV analysis has revealed that the best financial feasibility option was to continue with purses and wallets production (Option C) due to its NPV of £268,524 and an IRR of 15.3%, which is considerably higher than the cost of capital (5%). The best combination, given capital rationing limits of £1.5m, is full funding of Option C and partial funding of Option B (internet sales), which results in a total NPV of £398,257. The funding must incorporate a balanced moderate debt with retained earnings to reduce dilution but leverage tax shields and restrained equity or hybrid-based funding. In general, the report focuses on striking a balance between short-term performance and long-term value creation by disciplined financial management and strategic investment.</w:t>
          </w:r>
        </w:p>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Pr="00751460" w:rsidRDefault="007D1947">
              <w:pPr>
                <w:pStyle w:val="TOCHeading"/>
                <w:rPr>
                  <w:rFonts w:ascii="Times New Roman" w:hAnsi="Times New Roman" w:cs="Times New Roman"/>
                  <w:b/>
                  <w:bCs/>
                  <w:color w:val="auto"/>
                </w:rPr>
              </w:pPr>
              <w:r w:rsidRPr="00751460">
                <w:rPr>
                  <w:rFonts w:ascii="Times New Roman" w:hAnsi="Times New Roman" w:cs="Times New Roman"/>
                  <w:b/>
                  <w:bCs/>
                  <w:color w:val="auto"/>
                </w:rPr>
                <w:t>Table of Contents</w:t>
              </w:r>
            </w:p>
            <w:p w14:paraId="766C5273" w14:textId="0AD94C57" w:rsidR="00B37AF3" w:rsidRDefault="007D1947">
              <w:pPr>
                <w:pStyle w:val="TOC1"/>
                <w:tabs>
                  <w:tab w:val="right" w:leader="dot" w:pos="9016"/>
                </w:tabs>
                <w:rPr>
                  <w:rFonts w:eastAsiaTheme="minorEastAsia"/>
                  <w:noProof/>
                  <w:kern w:val="2"/>
                  <w:sz w:val="24"/>
                  <w:szCs w:val="24"/>
                  <w14:ligatures w14:val="standardContextual"/>
                </w:rPr>
              </w:pPr>
              <w:r>
                <w:fldChar w:fldCharType="begin"/>
              </w:r>
              <w:r>
                <w:instrText xml:space="preserve"> TOC \o "1-3" \h \z \u </w:instrText>
              </w:r>
              <w:r>
                <w:fldChar w:fldCharType="separate"/>
              </w:r>
              <w:hyperlink w:anchor="_Toc227613564" w:history="1">
                <w:r w:rsidR="00B37AF3" w:rsidRPr="008131D2">
                  <w:rPr>
                    <w:rStyle w:val="Hyperlink"/>
                    <w:rFonts w:ascii="Times New Roman" w:hAnsi="Times New Roman" w:cs="Times New Roman"/>
                    <w:b/>
                    <w:bCs/>
                    <w:noProof/>
                  </w:rPr>
                  <w:t>Executive Summary</w:t>
                </w:r>
                <w:r w:rsidR="00B37AF3">
                  <w:rPr>
                    <w:noProof/>
                    <w:webHidden/>
                  </w:rPr>
                  <w:tab/>
                </w:r>
                <w:r w:rsidR="00B37AF3">
                  <w:rPr>
                    <w:noProof/>
                    <w:webHidden/>
                  </w:rPr>
                  <w:fldChar w:fldCharType="begin"/>
                </w:r>
                <w:r w:rsidR="00B37AF3">
                  <w:rPr>
                    <w:noProof/>
                    <w:webHidden/>
                  </w:rPr>
                  <w:instrText xml:space="preserve"> PAGEREF _Toc227613564 \h </w:instrText>
                </w:r>
                <w:r w:rsidR="00B37AF3">
                  <w:rPr>
                    <w:noProof/>
                    <w:webHidden/>
                  </w:rPr>
                </w:r>
                <w:r w:rsidR="00B37AF3">
                  <w:rPr>
                    <w:noProof/>
                    <w:webHidden/>
                  </w:rPr>
                  <w:fldChar w:fldCharType="separate"/>
                </w:r>
                <w:r w:rsidR="00B37AF3">
                  <w:rPr>
                    <w:noProof/>
                    <w:webHidden/>
                  </w:rPr>
                  <w:t>1</w:t>
                </w:r>
                <w:r w:rsidR="00B37AF3">
                  <w:rPr>
                    <w:noProof/>
                    <w:webHidden/>
                  </w:rPr>
                  <w:fldChar w:fldCharType="end"/>
                </w:r>
              </w:hyperlink>
            </w:p>
            <w:p w14:paraId="34A40E13" w14:textId="6B9AA783" w:rsidR="00B37AF3" w:rsidRDefault="00B37AF3">
              <w:pPr>
                <w:pStyle w:val="TOC1"/>
                <w:tabs>
                  <w:tab w:val="right" w:leader="dot" w:pos="9016"/>
                </w:tabs>
                <w:rPr>
                  <w:rFonts w:eastAsiaTheme="minorEastAsia"/>
                  <w:noProof/>
                  <w:kern w:val="2"/>
                  <w:sz w:val="24"/>
                  <w:szCs w:val="24"/>
                  <w14:ligatures w14:val="standardContextual"/>
                </w:rPr>
              </w:pPr>
              <w:hyperlink w:anchor="_Toc227613565" w:history="1">
                <w:r w:rsidRPr="008131D2">
                  <w:rPr>
                    <w:rStyle w:val="Hyperlink"/>
                    <w:rFonts w:ascii="Times New Roman" w:hAnsi="Times New Roman" w:cs="Times New Roman"/>
                    <w:b/>
                    <w:bCs/>
                    <w:noProof/>
                  </w:rPr>
                  <w:t>1.0 Introduction</w:t>
                </w:r>
                <w:r>
                  <w:rPr>
                    <w:noProof/>
                    <w:webHidden/>
                  </w:rPr>
                  <w:tab/>
                </w:r>
                <w:r>
                  <w:rPr>
                    <w:noProof/>
                    <w:webHidden/>
                  </w:rPr>
                  <w:fldChar w:fldCharType="begin"/>
                </w:r>
                <w:r>
                  <w:rPr>
                    <w:noProof/>
                    <w:webHidden/>
                  </w:rPr>
                  <w:instrText xml:space="preserve"> PAGEREF _Toc227613565 \h </w:instrText>
                </w:r>
                <w:r>
                  <w:rPr>
                    <w:noProof/>
                    <w:webHidden/>
                  </w:rPr>
                </w:r>
                <w:r>
                  <w:rPr>
                    <w:noProof/>
                    <w:webHidden/>
                  </w:rPr>
                  <w:fldChar w:fldCharType="separate"/>
                </w:r>
                <w:r>
                  <w:rPr>
                    <w:noProof/>
                    <w:webHidden/>
                  </w:rPr>
                  <w:t>4</w:t>
                </w:r>
                <w:r>
                  <w:rPr>
                    <w:noProof/>
                    <w:webHidden/>
                  </w:rPr>
                  <w:fldChar w:fldCharType="end"/>
                </w:r>
              </w:hyperlink>
            </w:p>
            <w:p w14:paraId="14BCB1F7" w14:textId="10B7F8AA" w:rsidR="00B37AF3" w:rsidRDefault="00B37AF3">
              <w:pPr>
                <w:pStyle w:val="TOC1"/>
                <w:tabs>
                  <w:tab w:val="right" w:leader="dot" w:pos="9016"/>
                </w:tabs>
                <w:rPr>
                  <w:rFonts w:eastAsiaTheme="minorEastAsia"/>
                  <w:noProof/>
                  <w:kern w:val="2"/>
                  <w:sz w:val="24"/>
                  <w:szCs w:val="24"/>
                  <w14:ligatures w14:val="standardContextual"/>
                </w:rPr>
              </w:pPr>
              <w:hyperlink w:anchor="_Toc227613566" w:history="1">
                <w:r w:rsidRPr="008131D2">
                  <w:rPr>
                    <w:rStyle w:val="Hyperlink"/>
                    <w:rFonts w:ascii="Times New Roman" w:hAnsi="Times New Roman" w:cs="Times New Roman"/>
                    <w:b/>
                    <w:bCs/>
                    <w:noProof/>
                  </w:rPr>
                  <w:t>2.0 Main Findings</w:t>
                </w:r>
                <w:r>
                  <w:rPr>
                    <w:noProof/>
                    <w:webHidden/>
                  </w:rPr>
                  <w:tab/>
                </w:r>
                <w:r>
                  <w:rPr>
                    <w:noProof/>
                    <w:webHidden/>
                  </w:rPr>
                  <w:fldChar w:fldCharType="begin"/>
                </w:r>
                <w:r>
                  <w:rPr>
                    <w:noProof/>
                    <w:webHidden/>
                  </w:rPr>
                  <w:instrText xml:space="preserve"> PAGEREF _Toc227613566 \h </w:instrText>
                </w:r>
                <w:r>
                  <w:rPr>
                    <w:noProof/>
                    <w:webHidden/>
                  </w:rPr>
                </w:r>
                <w:r>
                  <w:rPr>
                    <w:noProof/>
                    <w:webHidden/>
                  </w:rPr>
                  <w:fldChar w:fldCharType="separate"/>
                </w:r>
                <w:r>
                  <w:rPr>
                    <w:noProof/>
                    <w:webHidden/>
                  </w:rPr>
                  <w:t>5</w:t>
                </w:r>
                <w:r>
                  <w:rPr>
                    <w:noProof/>
                    <w:webHidden/>
                  </w:rPr>
                  <w:fldChar w:fldCharType="end"/>
                </w:r>
              </w:hyperlink>
            </w:p>
            <w:p w14:paraId="26041A03" w14:textId="209E58C5" w:rsidR="00B37AF3" w:rsidRPr="00B37AF3" w:rsidRDefault="00B37AF3">
              <w:pPr>
                <w:pStyle w:val="TOC2"/>
                <w:tabs>
                  <w:tab w:val="right" w:leader="dot" w:pos="9016"/>
                </w:tabs>
                <w:rPr>
                  <w:rFonts w:eastAsiaTheme="minorEastAsia"/>
                  <w:noProof/>
                  <w:kern w:val="2"/>
                  <w:sz w:val="24"/>
                  <w:szCs w:val="24"/>
                  <w14:ligatures w14:val="standardContextual"/>
                </w:rPr>
              </w:pPr>
              <w:hyperlink w:anchor="_Toc227613567" w:history="1">
                <w:r w:rsidRPr="00B37AF3">
                  <w:rPr>
                    <w:rStyle w:val="Hyperlink"/>
                    <w:rFonts w:ascii="Times New Roman" w:hAnsi="Times New Roman" w:cs="Times New Roman"/>
                    <w:noProof/>
                  </w:rPr>
                  <w:t>2.1 Part 1: Barclays PLC Financial Analysis</w:t>
                </w:r>
                <w:r w:rsidRPr="00B37AF3">
                  <w:rPr>
                    <w:noProof/>
                    <w:webHidden/>
                  </w:rPr>
                  <w:tab/>
                </w:r>
                <w:r w:rsidRPr="00B37AF3">
                  <w:rPr>
                    <w:noProof/>
                    <w:webHidden/>
                  </w:rPr>
                  <w:fldChar w:fldCharType="begin"/>
                </w:r>
                <w:r w:rsidRPr="00B37AF3">
                  <w:rPr>
                    <w:noProof/>
                    <w:webHidden/>
                  </w:rPr>
                  <w:instrText xml:space="preserve"> PAGEREF _Toc227613567 \h </w:instrText>
                </w:r>
                <w:r w:rsidRPr="00B37AF3">
                  <w:rPr>
                    <w:noProof/>
                    <w:webHidden/>
                  </w:rPr>
                </w:r>
                <w:r w:rsidRPr="00B37AF3">
                  <w:rPr>
                    <w:noProof/>
                    <w:webHidden/>
                  </w:rPr>
                  <w:fldChar w:fldCharType="separate"/>
                </w:r>
                <w:r w:rsidRPr="00B37AF3">
                  <w:rPr>
                    <w:noProof/>
                    <w:webHidden/>
                  </w:rPr>
                  <w:t>5</w:t>
                </w:r>
                <w:r w:rsidRPr="00B37AF3">
                  <w:rPr>
                    <w:noProof/>
                    <w:webHidden/>
                  </w:rPr>
                  <w:fldChar w:fldCharType="end"/>
                </w:r>
              </w:hyperlink>
            </w:p>
            <w:p w14:paraId="0666B14C" w14:textId="693783E4" w:rsidR="00B37AF3" w:rsidRPr="00B37AF3" w:rsidRDefault="00B37AF3">
              <w:pPr>
                <w:pStyle w:val="TOC3"/>
                <w:tabs>
                  <w:tab w:val="right" w:leader="dot" w:pos="9016"/>
                </w:tabs>
                <w:rPr>
                  <w:rFonts w:eastAsiaTheme="minorEastAsia"/>
                  <w:noProof/>
                  <w:kern w:val="2"/>
                  <w:sz w:val="24"/>
                  <w:szCs w:val="24"/>
                  <w14:ligatures w14:val="standardContextual"/>
                </w:rPr>
              </w:pPr>
              <w:hyperlink w:anchor="_Toc227613568" w:history="1">
                <w:r w:rsidRPr="00B37AF3">
                  <w:rPr>
                    <w:rStyle w:val="Hyperlink"/>
                    <w:rFonts w:ascii="Times New Roman" w:hAnsi="Times New Roman" w:cs="Times New Roman"/>
                    <w:noProof/>
                  </w:rPr>
                  <w:t>2.1.1 Financial Statements Overview</w:t>
                </w:r>
                <w:r w:rsidRPr="00B37AF3">
                  <w:rPr>
                    <w:noProof/>
                    <w:webHidden/>
                  </w:rPr>
                  <w:tab/>
                </w:r>
                <w:r w:rsidRPr="00B37AF3">
                  <w:rPr>
                    <w:noProof/>
                    <w:webHidden/>
                  </w:rPr>
                  <w:fldChar w:fldCharType="begin"/>
                </w:r>
                <w:r w:rsidRPr="00B37AF3">
                  <w:rPr>
                    <w:noProof/>
                    <w:webHidden/>
                  </w:rPr>
                  <w:instrText xml:space="preserve"> PAGEREF _Toc227613568 \h </w:instrText>
                </w:r>
                <w:r w:rsidRPr="00B37AF3">
                  <w:rPr>
                    <w:noProof/>
                    <w:webHidden/>
                  </w:rPr>
                </w:r>
                <w:r w:rsidRPr="00B37AF3">
                  <w:rPr>
                    <w:noProof/>
                    <w:webHidden/>
                  </w:rPr>
                  <w:fldChar w:fldCharType="separate"/>
                </w:r>
                <w:r w:rsidRPr="00B37AF3">
                  <w:rPr>
                    <w:noProof/>
                    <w:webHidden/>
                  </w:rPr>
                  <w:t>5</w:t>
                </w:r>
                <w:r w:rsidRPr="00B37AF3">
                  <w:rPr>
                    <w:noProof/>
                    <w:webHidden/>
                  </w:rPr>
                  <w:fldChar w:fldCharType="end"/>
                </w:r>
              </w:hyperlink>
            </w:p>
            <w:p w14:paraId="2CAC59AC" w14:textId="4D19AA08" w:rsidR="00B37AF3" w:rsidRPr="00B37AF3" w:rsidRDefault="00B37AF3">
              <w:pPr>
                <w:pStyle w:val="TOC3"/>
                <w:tabs>
                  <w:tab w:val="right" w:leader="dot" w:pos="9016"/>
                </w:tabs>
                <w:rPr>
                  <w:rFonts w:eastAsiaTheme="minorEastAsia"/>
                  <w:noProof/>
                  <w:kern w:val="2"/>
                  <w:sz w:val="24"/>
                  <w:szCs w:val="24"/>
                  <w14:ligatures w14:val="standardContextual"/>
                </w:rPr>
              </w:pPr>
              <w:hyperlink w:anchor="_Toc227613569" w:history="1">
                <w:r w:rsidRPr="00B37AF3">
                  <w:rPr>
                    <w:rStyle w:val="Hyperlink"/>
                    <w:rFonts w:ascii="Times New Roman" w:hAnsi="Times New Roman" w:cs="Times New Roman"/>
                    <w:noProof/>
                  </w:rPr>
                  <w:t>2.1.2 Ratio Results &amp; Analysis</w:t>
                </w:r>
                <w:r w:rsidRPr="00B37AF3">
                  <w:rPr>
                    <w:noProof/>
                    <w:webHidden/>
                  </w:rPr>
                  <w:tab/>
                </w:r>
                <w:r w:rsidRPr="00B37AF3">
                  <w:rPr>
                    <w:noProof/>
                    <w:webHidden/>
                  </w:rPr>
                  <w:fldChar w:fldCharType="begin"/>
                </w:r>
                <w:r w:rsidRPr="00B37AF3">
                  <w:rPr>
                    <w:noProof/>
                    <w:webHidden/>
                  </w:rPr>
                  <w:instrText xml:space="preserve"> PAGEREF _Toc227613569 \h </w:instrText>
                </w:r>
                <w:r w:rsidRPr="00B37AF3">
                  <w:rPr>
                    <w:noProof/>
                    <w:webHidden/>
                  </w:rPr>
                </w:r>
                <w:r w:rsidRPr="00B37AF3">
                  <w:rPr>
                    <w:noProof/>
                    <w:webHidden/>
                  </w:rPr>
                  <w:fldChar w:fldCharType="separate"/>
                </w:r>
                <w:r w:rsidRPr="00B37AF3">
                  <w:rPr>
                    <w:noProof/>
                    <w:webHidden/>
                  </w:rPr>
                  <w:t>6</w:t>
                </w:r>
                <w:r w:rsidRPr="00B37AF3">
                  <w:rPr>
                    <w:noProof/>
                    <w:webHidden/>
                  </w:rPr>
                  <w:fldChar w:fldCharType="end"/>
                </w:r>
              </w:hyperlink>
            </w:p>
            <w:p w14:paraId="6AF8E3A3" w14:textId="572D01A0" w:rsidR="00B37AF3" w:rsidRPr="00B37AF3" w:rsidRDefault="00B37AF3">
              <w:pPr>
                <w:pStyle w:val="TOC3"/>
                <w:tabs>
                  <w:tab w:val="right" w:leader="dot" w:pos="9016"/>
                </w:tabs>
                <w:rPr>
                  <w:rFonts w:eastAsiaTheme="minorEastAsia"/>
                  <w:noProof/>
                  <w:kern w:val="2"/>
                  <w:sz w:val="24"/>
                  <w:szCs w:val="24"/>
                  <w14:ligatures w14:val="standardContextual"/>
                </w:rPr>
              </w:pPr>
              <w:hyperlink w:anchor="_Toc227613570" w:history="1">
                <w:r w:rsidRPr="00B37AF3">
                  <w:rPr>
                    <w:rStyle w:val="Hyperlink"/>
                    <w:rFonts w:ascii="Times New Roman" w:hAnsi="Times New Roman" w:cs="Times New Roman"/>
                    <w:noProof/>
                  </w:rPr>
                  <w:t>2.1.3 Critical Evaluation</w:t>
                </w:r>
                <w:r w:rsidRPr="00B37AF3">
                  <w:rPr>
                    <w:noProof/>
                    <w:webHidden/>
                  </w:rPr>
                  <w:tab/>
                </w:r>
                <w:r w:rsidRPr="00B37AF3">
                  <w:rPr>
                    <w:noProof/>
                    <w:webHidden/>
                  </w:rPr>
                  <w:fldChar w:fldCharType="begin"/>
                </w:r>
                <w:r w:rsidRPr="00B37AF3">
                  <w:rPr>
                    <w:noProof/>
                    <w:webHidden/>
                  </w:rPr>
                  <w:instrText xml:space="preserve"> PAGEREF _Toc227613570 \h </w:instrText>
                </w:r>
                <w:r w:rsidRPr="00B37AF3">
                  <w:rPr>
                    <w:noProof/>
                    <w:webHidden/>
                  </w:rPr>
                </w:r>
                <w:r w:rsidRPr="00B37AF3">
                  <w:rPr>
                    <w:noProof/>
                    <w:webHidden/>
                  </w:rPr>
                  <w:fldChar w:fldCharType="separate"/>
                </w:r>
                <w:r w:rsidRPr="00B37AF3">
                  <w:rPr>
                    <w:noProof/>
                    <w:webHidden/>
                  </w:rPr>
                  <w:t>9</w:t>
                </w:r>
                <w:r w:rsidRPr="00B37AF3">
                  <w:rPr>
                    <w:noProof/>
                    <w:webHidden/>
                  </w:rPr>
                  <w:fldChar w:fldCharType="end"/>
                </w:r>
              </w:hyperlink>
            </w:p>
            <w:p w14:paraId="6941E158" w14:textId="5CB4A5D8" w:rsidR="00B37AF3" w:rsidRPr="00B37AF3" w:rsidRDefault="00B37AF3">
              <w:pPr>
                <w:pStyle w:val="TOC3"/>
                <w:tabs>
                  <w:tab w:val="right" w:leader="dot" w:pos="9016"/>
                </w:tabs>
                <w:rPr>
                  <w:rFonts w:eastAsiaTheme="minorEastAsia"/>
                  <w:noProof/>
                  <w:kern w:val="2"/>
                  <w:sz w:val="24"/>
                  <w:szCs w:val="24"/>
                  <w14:ligatures w14:val="standardContextual"/>
                </w:rPr>
              </w:pPr>
              <w:hyperlink w:anchor="_Toc227613571" w:history="1">
                <w:r w:rsidRPr="00B37AF3">
                  <w:rPr>
                    <w:rStyle w:val="Hyperlink"/>
                    <w:rFonts w:ascii="Times New Roman" w:hAnsi="Times New Roman" w:cs="Times New Roman"/>
                    <w:noProof/>
                  </w:rPr>
                  <w:t>2.1.4 Recommendations</w:t>
                </w:r>
                <w:r w:rsidRPr="00B37AF3">
                  <w:rPr>
                    <w:noProof/>
                    <w:webHidden/>
                  </w:rPr>
                  <w:tab/>
                </w:r>
                <w:r w:rsidRPr="00B37AF3">
                  <w:rPr>
                    <w:noProof/>
                    <w:webHidden/>
                  </w:rPr>
                  <w:fldChar w:fldCharType="begin"/>
                </w:r>
                <w:r w:rsidRPr="00B37AF3">
                  <w:rPr>
                    <w:noProof/>
                    <w:webHidden/>
                  </w:rPr>
                  <w:instrText xml:space="preserve"> PAGEREF _Toc227613571 \h </w:instrText>
                </w:r>
                <w:r w:rsidRPr="00B37AF3">
                  <w:rPr>
                    <w:noProof/>
                    <w:webHidden/>
                  </w:rPr>
                </w:r>
                <w:r w:rsidRPr="00B37AF3">
                  <w:rPr>
                    <w:noProof/>
                    <w:webHidden/>
                  </w:rPr>
                  <w:fldChar w:fldCharType="separate"/>
                </w:r>
                <w:r w:rsidRPr="00B37AF3">
                  <w:rPr>
                    <w:noProof/>
                    <w:webHidden/>
                  </w:rPr>
                  <w:t>10</w:t>
                </w:r>
                <w:r w:rsidRPr="00B37AF3">
                  <w:rPr>
                    <w:noProof/>
                    <w:webHidden/>
                  </w:rPr>
                  <w:fldChar w:fldCharType="end"/>
                </w:r>
              </w:hyperlink>
            </w:p>
            <w:p w14:paraId="1F6ED3FF" w14:textId="77FA59A3" w:rsidR="00B37AF3" w:rsidRPr="00B37AF3" w:rsidRDefault="00B37AF3">
              <w:pPr>
                <w:pStyle w:val="TOC2"/>
                <w:tabs>
                  <w:tab w:val="right" w:leader="dot" w:pos="9016"/>
                </w:tabs>
                <w:rPr>
                  <w:rFonts w:eastAsiaTheme="minorEastAsia"/>
                  <w:noProof/>
                  <w:kern w:val="2"/>
                  <w:sz w:val="24"/>
                  <w:szCs w:val="24"/>
                  <w14:ligatures w14:val="standardContextual"/>
                </w:rPr>
              </w:pPr>
              <w:hyperlink w:anchor="_Toc227613572" w:history="1">
                <w:r w:rsidRPr="00B37AF3">
                  <w:rPr>
                    <w:rStyle w:val="Hyperlink"/>
                    <w:rFonts w:ascii="Times New Roman" w:hAnsi="Times New Roman" w:cs="Times New Roman"/>
                    <w:noProof/>
                  </w:rPr>
                  <w:t>2.2 Part 2: Beard Plc Investment Appraisal</w:t>
                </w:r>
                <w:r w:rsidRPr="00B37AF3">
                  <w:rPr>
                    <w:noProof/>
                    <w:webHidden/>
                  </w:rPr>
                  <w:tab/>
                </w:r>
                <w:r w:rsidRPr="00B37AF3">
                  <w:rPr>
                    <w:noProof/>
                    <w:webHidden/>
                  </w:rPr>
                  <w:fldChar w:fldCharType="begin"/>
                </w:r>
                <w:r w:rsidRPr="00B37AF3">
                  <w:rPr>
                    <w:noProof/>
                    <w:webHidden/>
                  </w:rPr>
                  <w:instrText xml:space="preserve"> PAGEREF _Toc227613572 \h </w:instrText>
                </w:r>
                <w:r w:rsidRPr="00B37AF3">
                  <w:rPr>
                    <w:noProof/>
                    <w:webHidden/>
                  </w:rPr>
                </w:r>
                <w:r w:rsidRPr="00B37AF3">
                  <w:rPr>
                    <w:noProof/>
                    <w:webHidden/>
                  </w:rPr>
                  <w:fldChar w:fldCharType="separate"/>
                </w:r>
                <w:r w:rsidRPr="00B37AF3">
                  <w:rPr>
                    <w:noProof/>
                    <w:webHidden/>
                  </w:rPr>
                  <w:t>11</w:t>
                </w:r>
                <w:r w:rsidRPr="00B37AF3">
                  <w:rPr>
                    <w:noProof/>
                    <w:webHidden/>
                  </w:rPr>
                  <w:fldChar w:fldCharType="end"/>
                </w:r>
              </w:hyperlink>
            </w:p>
            <w:p w14:paraId="79C7AE1B" w14:textId="74451352" w:rsidR="00B37AF3" w:rsidRPr="00B37AF3" w:rsidRDefault="00B37AF3">
              <w:pPr>
                <w:pStyle w:val="TOC3"/>
                <w:tabs>
                  <w:tab w:val="right" w:leader="dot" w:pos="9016"/>
                </w:tabs>
                <w:rPr>
                  <w:rFonts w:eastAsiaTheme="minorEastAsia"/>
                  <w:noProof/>
                  <w:kern w:val="2"/>
                  <w:sz w:val="24"/>
                  <w:szCs w:val="24"/>
                  <w14:ligatures w14:val="standardContextual"/>
                </w:rPr>
              </w:pPr>
              <w:hyperlink w:anchor="_Toc227613573" w:history="1">
                <w:r w:rsidRPr="00B37AF3">
                  <w:rPr>
                    <w:rStyle w:val="Hyperlink"/>
                    <w:rFonts w:ascii="Times New Roman" w:hAnsi="Times New Roman" w:cs="Times New Roman"/>
                    <w:noProof/>
                  </w:rPr>
                  <w:t>2.2.1 NPV Evaluation</w:t>
                </w:r>
                <w:r w:rsidRPr="00B37AF3">
                  <w:rPr>
                    <w:noProof/>
                    <w:webHidden/>
                  </w:rPr>
                  <w:tab/>
                </w:r>
                <w:r w:rsidRPr="00B37AF3">
                  <w:rPr>
                    <w:noProof/>
                    <w:webHidden/>
                  </w:rPr>
                  <w:fldChar w:fldCharType="begin"/>
                </w:r>
                <w:r w:rsidRPr="00B37AF3">
                  <w:rPr>
                    <w:noProof/>
                    <w:webHidden/>
                  </w:rPr>
                  <w:instrText xml:space="preserve"> PAGEREF _Toc227613573 \h </w:instrText>
                </w:r>
                <w:r w:rsidRPr="00B37AF3">
                  <w:rPr>
                    <w:noProof/>
                    <w:webHidden/>
                  </w:rPr>
                </w:r>
                <w:r w:rsidRPr="00B37AF3">
                  <w:rPr>
                    <w:noProof/>
                    <w:webHidden/>
                  </w:rPr>
                  <w:fldChar w:fldCharType="separate"/>
                </w:r>
                <w:r w:rsidRPr="00B37AF3">
                  <w:rPr>
                    <w:noProof/>
                    <w:webHidden/>
                  </w:rPr>
                  <w:t>11</w:t>
                </w:r>
                <w:r w:rsidRPr="00B37AF3">
                  <w:rPr>
                    <w:noProof/>
                    <w:webHidden/>
                  </w:rPr>
                  <w:fldChar w:fldCharType="end"/>
                </w:r>
              </w:hyperlink>
            </w:p>
            <w:p w14:paraId="7C6F4528" w14:textId="2B082B9C" w:rsidR="00B37AF3" w:rsidRPr="00B37AF3" w:rsidRDefault="00B37AF3">
              <w:pPr>
                <w:pStyle w:val="TOC3"/>
                <w:tabs>
                  <w:tab w:val="right" w:leader="dot" w:pos="9016"/>
                </w:tabs>
                <w:rPr>
                  <w:rFonts w:eastAsiaTheme="minorEastAsia"/>
                  <w:noProof/>
                  <w:kern w:val="2"/>
                  <w:sz w:val="24"/>
                  <w:szCs w:val="24"/>
                  <w14:ligatures w14:val="standardContextual"/>
                </w:rPr>
              </w:pPr>
              <w:hyperlink w:anchor="_Toc227613574" w:history="1">
                <w:r w:rsidRPr="00B37AF3">
                  <w:rPr>
                    <w:rStyle w:val="Hyperlink"/>
                    <w:rFonts w:ascii="Times New Roman" w:hAnsi="Times New Roman" w:cs="Times New Roman"/>
                    <w:noProof/>
                  </w:rPr>
                  <w:t>2.2.2 IRR Calculation</w:t>
                </w:r>
                <w:r w:rsidRPr="00B37AF3">
                  <w:rPr>
                    <w:noProof/>
                    <w:webHidden/>
                  </w:rPr>
                  <w:tab/>
                </w:r>
                <w:r w:rsidRPr="00B37AF3">
                  <w:rPr>
                    <w:noProof/>
                    <w:webHidden/>
                  </w:rPr>
                  <w:fldChar w:fldCharType="begin"/>
                </w:r>
                <w:r w:rsidRPr="00B37AF3">
                  <w:rPr>
                    <w:noProof/>
                    <w:webHidden/>
                  </w:rPr>
                  <w:instrText xml:space="preserve"> PAGEREF _Toc227613574 \h </w:instrText>
                </w:r>
                <w:r w:rsidRPr="00B37AF3">
                  <w:rPr>
                    <w:noProof/>
                    <w:webHidden/>
                  </w:rPr>
                </w:r>
                <w:r w:rsidRPr="00B37AF3">
                  <w:rPr>
                    <w:noProof/>
                    <w:webHidden/>
                  </w:rPr>
                  <w:fldChar w:fldCharType="separate"/>
                </w:r>
                <w:r w:rsidRPr="00B37AF3">
                  <w:rPr>
                    <w:noProof/>
                    <w:webHidden/>
                  </w:rPr>
                  <w:t>12</w:t>
                </w:r>
                <w:r w:rsidRPr="00B37AF3">
                  <w:rPr>
                    <w:noProof/>
                    <w:webHidden/>
                  </w:rPr>
                  <w:fldChar w:fldCharType="end"/>
                </w:r>
              </w:hyperlink>
            </w:p>
            <w:p w14:paraId="53BCF967" w14:textId="3C78FA7F" w:rsidR="00B37AF3" w:rsidRPr="00B37AF3" w:rsidRDefault="00B37AF3">
              <w:pPr>
                <w:pStyle w:val="TOC3"/>
                <w:tabs>
                  <w:tab w:val="right" w:leader="dot" w:pos="9016"/>
                </w:tabs>
                <w:rPr>
                  <w:rFonts w:eastAsiaTheme="minorEastAsia"/>
                  <w:noProof/>
                  <w:kern w:val="2"/>
                  <w:sz w:val="24"/>
                  <w:szCs w:val="24"/>
                  <w14:ligatures w14:val="standardContextual"/>
                </w:rPr>
              </w:pPr>
              <w:hyperlink w:anchor="_Toc227613575" w:history="1">
                <w:r w:rsidRPr="00B37AF3">
                  <w:rPr>
                    <w:rStyle w:val="Hyperlink"/>
                    <w:rFonts w:ascii="Times New Roman" w:hAnsi="Times New Roman" w:cs="Times New Roman"/>
                    <w:noProof/>
                  </w:rPr>
                  <w:t>2.2.3 Theoretical Discussion</w:t>
                </w:r>
                <w:r w:rsidRPr="00B37AF3">
                  <w:rPr>
                    <w:noProof/>
                    <w:webHidden/>
                  </w:rPr>
                  <w:tab/>
                </w:r>
                <w:r w:rsidRPr="00B37AF3">
                  <w:rPr>
                    <w:noProof/>
                    <w:webHidden/>
                  </w:rPr>
                  <w:fldChar w:fldCharType="begin"/>
                </w:r>
                <w:r w:rsidRPr="00B37AF3">
                  <w:rPr>
                    <w:noProof/>
                    <w:webHidden/>
                  </w:rPr>
                  <w:instrText xml:space="preserve"> PAGEREF _Toc227613575 \h </w:instrText>
                </w:r>
                <w:r w:rsidRPr="00B37AF3">
                  <w:rPr>
                    <w:noProof/>
                    <w:webHidden/>
                  </w:rPr>
                </w:r>
                <w:r w:rsidRPr="00B37AF3">
                  <w:rPr>
                    <w:noProof/>
                    <w:webHidden/>
                  </w:rPr>
                  <w:fldChar w:fldCharType="separate"/>
                </w:r>
                <w:r w:rsidRPr="00B37AF3">
                  <w:rPr>
                    <w:noProof/>
                    <w:webHidden/>
                  </w:rPr>
                  <w:t>12</w:t>
                </w:r>
                <w:r w:rsidRPr="00B37AF3">
                  <w:rPr>
                    <w:noProof/>
                    <w:webHidden/>
                  </w:rPr>
                  <w:fldChar w:fldCharType="end"/>
                </w:r>
              </w:hyperlink>
            </w:p>
            <w:p w14:paraId="13B8D796" w14:textId="03848671" w:rsidR="00B37AF3" w:rsidRPr="00B37AF3" w:rsidRDefault="00B37AF3">
              <w:pPr>
                <w:pStyle w:val="TOC3"/>
                <w:tabs>
                  <w:tab w:val="right" w:leader="dot" w:pos="9016"/>
                </w:tabs>
                <w:rPr>
                  <w:rFonts w:eastAsiaTheme="minorEastAsia"/>
                  <w:noProof/>
                  <w:kern w:val="2"/>
                  <w:sz w:val="24"/>
                  <w:szCs w:val="24"/>
                  <w14:ligatures w14:val="standardContextual"/>
                </w:rPr>
              </w:pPr>
              <w:hyperlink w:anchor="_Toc227613576" w:history="1">
                <w:r w:rsidRPr="00B37AF3">
                  <w:rPr>
                    <w:rStyle w:val="Hyperlink"/>
                    <w:rFonts w:ascii="Times New Roman" w:hAnsi="Times New Roman" w:cs="Times New Roman"/>
                    <w:noProof/>
                  </w:rPr>
                  <w:t>2.2.5 Financing Options</w:t>
                </w:r>
                <w:r w:rsidRPr="00B37AF3">
                  <w:rPr>
                    <w:noProof/>
                    <w:webHidden/>
                  </w:rPr>
                  <w:tab/>
                </w:r>
                <w:r w:rsidRPr="00B37AF3">
                  <w:rPr>
                    <w:noProof/>
                    <w:webHidden/>
                  </w:rPr>
                  <w:fldChar w:fldCharType="begin"/>
                </w:r>
                <w:r w:rsidRPr="00B37AF3">
                  <w:rPr>
                    <w:noProof/>
                    <w:webHidden/>
                  </w:rPr>
                  <w:instrText xml:space="preserve"> PAGEREF _Toc227613576 \h </w:instrText>
                </w:r>
                <w:r w:rsidRPr="00B37AF3">
                  <w:rPr>
                    <w:noProof/>
                    <w:webHidden/>
                  </w:rPr>
                </w:r>
                <w:r w:rsidRPr="00B37AF3">
                  <w:rPr>
                    <w:noProof/>
                    <w:webHidden/>
                  </w:rPr>
                  <w:fldChar w:fldCharType="separate"/>
                </w:r>
                <w:r w:rsidRPr="00B37AF3">
                  <w:rPr>
                    <w:noProof/>
                    <w:webHidden/>
                  </w:rPr>
                  <w:t>15</w:t>
                </w:r>
                <w:r w:rsidRPr="00B37AF3">
                  <w:rPr>
                    <w:noProof/>
                    <w:webHidden/>
                  </w:rPr>
                  <w:fldChar w:fldCharType="end"/>
                </w:r>
              </w:hyperlink>
            </w:p>
            <w:p w14:paraId="35334FF0" w14:textId="719DFDAD" w:rsidR="00B37AF3" w:rsidRDefault="00B37AF3">
              <w:pPr>
                <w:pStyle w:val="TOC1"/>
                <w:tabs>
                  <w:tab w:val="right" w:leader="dot" w:pos="9016"/>
                </w:tabs>
                <w:rPr>
                  <w:rFonts w:eastAsiaTheme="minorEastAsia"/>
                  <w:noProof/>
                  <w:kern w:val="2"/>
                  <w:sz w:val="24"/>
                  <w:szCs w:val="24"/>
                  <w14:ligatures w14:val="standardContextual"/>
                </w:rPr>
              </w:pPr>
              <w:hyperlink w:anchor="_Toc227613577" w:history="1">
                <w:r w:rsidRPr="008131D2">
                  <w:rPr>
                    <w:rStyle w:val="Hyperlink"/>
                    <w:rFonts w:ascii="Times New Roman" w:hAnsi="Times New Roman" w:cs="Times New Roman"/>
                    <w:b/>
                    <w:bCs/>
                    <w:noProof/>
                  </w:rPr>
                  <w:t>3.0 Conclusion</w:t>
                </w:r>
                <w:r>
                  <w:rPr>
                    <w:noProof/>
                    <w:webHidden/>
                  </w:rPr>
                  <w:tab/>
                </w:r>
                <w:r>
                  <w:rPr>
                    <w:noProof/>
                    <w:webHidden/>
                  </w:rPr>
                  <w:fldChar w:fldCharType="begin"/>
                </w:r>
                <w:r>
                  <w:rPr>
                    <w:noProof/>
                    <w:webHidden/>
                  </w:rPr>
                  <w:instrText xml:space="preserve"> PAGEREF _Toc227613577 \h </w:instrText>
                </w:r>
                <w:r>
                  <w:rPr>
                    <w:noProof/>
                    <w:webHidden/>
                  </w:rPr>
                </w:r>
                <w:r>
                  <w:rPr>
                    <w:noProof/>
                    <w:webHidden/>
                  </w:rPr>
                  <w:fldChar w:fldCharType="separate"/>
                </w:r>
                <w:r>
                  <w:rPr>
                    <w:noProof/>
                    <w:webHidden/>
                  </w:rPr>
                  <w:t>16</w:t>
                </w:r>
                <w:r>
                  <w:rPr>
                    <w:noProof/>
                    <w:webHidden/>
                  </w:rPr>
                  <w:fldChar w:fldCharType="end"/>
                </w:r>
              </w:hyperlink>
            </w:p>
            <w:p w14:paraId="0C8E77BE" w14:textId="56A676FA" w:rsidR="00B37AF3" w:rsidRDefault="00B37AF3">
              <w:pPr>
                <w:pStyle w:val="TOC1"/>
                <w:tabs>
                  <w:tab w:val="right" w:leader="dot" w:pos="9016"/>
                </w:tabs>
                <w:rPr>
                  <w:rFonts w:eastAsiaTheme="minorEastAsia"/>
                  <w:noProof/>
                  <w:kern w:val="2"/>
                  <w:sz w:val="24"/>
                  <w:szCs w:val="24"/>
                  <w14:ligatures w14:val="standardContextual"/>
                </w:rPr>
              </w:pPr>
              <w:hyperlink w:anchor="_Toc227613578" w:history="1">
                <w:r w:rsidRPr="008131D2">
                  <w:rPr>
                    <w:rStyle w:val="Hyperlink"/>
                    <w:rFonts w:ascii="Times New Roman" w:hAnsi="Times New Roman" w:cs="Times New Roman"/>
                    <w:b/>
                    <w:bCs/>
                    <w:noProof/>
                  </w:rPr>
                  <w:t>4.0 Reference list</w:t>
                </w:r>
                <w:r>
                  <w:rPr>
                    <w:noProof/>
                    <w:webHidden/>
                  </w:rPr>
                  <w:tab/>
                </w:r>
                <w:r>
                  <w:rPr>
                    <w:noProof/>
                    <w:webHidden/>
                  </w:rPr>
                  <w:fldChar w:fldCharType="begin"/>
                </w:r>
                <w:r>
                  <w:rPr>
                    <w:noProof/>
                    <w:webHidden/>
                  </w:rPr>
                  <w:instrText xml:space="preserve"> PAGEREF _Toc227613578 \h </w:instrText>
                </w:r>
                <w:r>
                  <w:rPr>
                    <w:noProof/>
                    <w:webHidden/>
                  </w:rPr>
                </w:r>
                <w:r>
                  <w:rPr>
                    <w:noProof/>
                    <w:webHidden/>
                  </w:rPr>
                  <w:fldChar w:fldCharType="separate"/>
                </w:r>
                <w:r>
                  <w:rPr>
                    <w:noProof/>
                    <w:webHidden/>
                  </w:rPr>
                  <w:t>17</w:t>
                </w:r>
                <w:r>
                  <w:rPr>
                    <w:noProof/>
                    <w:webHidden/>
                  </w:rPr>
                  <w:fldChar w:fldCharType="end"/>
                </w:r>
              </w:hyperlink>
            </w:p>
            <w:p w14:paraId="5094676C" w14:textId="6ADEC96B" w:rsidR="00B37AF3" w:rsidRDefault="00B37AF3">
              <w:pPr>
                <w:pStyle w:val="TOC1"/>
                <w:tabs>
                  <w:tab w:val="right" w:leader="dot" w:pos="9016"/>
                </w:tabs>
                <w:rPr>
                  <w:rFonts w:eastAsiaTheme="minorEastAsia"/>
                  <w:noProof/>
                  <w:kern w:val="2"/>
                  <w:sz w:val="24"/>
                  <w:szCs w:val="24"/>
                  <w14:ligatures w14:val="standardContextual"/>
                </w:rPr>
              </w:pPr>
              <w:hyperlink w:anchor="_Toc227613579" w:history="1">
                <w:r w:rsidRPr="008131D2">
                  <w:rPr>
                    <w:rStyle w:val="Hyperlink"/>
                    <w:rFonts w:ascii="Times New Roman" w:hAnsi="Times New Roman" w:cs="Times New Roman"/>
                    <w:b/>
                    <w:bCs/>
                    <w:noProof/>
                  </w:rPr>
                  <w:t>5.0 Appendices</w:t>
                </w:r>
                <w:r>
                  <w:rPr>
                    <w:noProof/>
                    <w:webHidden/>
                  </w:rPr>
                  <w:tab/>
                </w:r>
                <w:r>
                  <w:rPr>
                    <w:noProof/>
                    <w:webHidden/>
                  </w:rPr>
                  <w:fldChar w:fldCharType="begin"/>
                </w:r>
                <w:r>
                  <w:rPr>
                    <w:noProof/>
                    <w:webHidden/>
                  </w:rPr>
                  <w:instrText xml:space="preserve"> PAGEREF _Toc227613579 \h </w:instrText>
                </w:r>
                <w:r>
                  <w:rPr>
                    <w:noProof/>
                    <w:webHidden/>
                  </w:rPr>
                </w:r>
                <w:r>
                  <w:rPr>
                    <w:noProof/>
                    <w:webHidden/>
                  </w:rPr>
                  <w:fldChar w:fldCharType="separate"/>
                </w:r>
                <w:r>
                  <w:rPr>
                    <w:noProof/>
                    <w:webHidden/>
                  </w:rPr>
                  <w:t>22</w:t>
                </w:r>
                <w:r>
                  <w:rPr>
                    <w:noProof/>
                    <w:webHidden/>
                  </w:rPr>
                  <w:fldChar w:fldCharType="end"/>
                </w:r>
              </w:hyperlink>
            </w:p>
            <w:p w14:paraId="68508B4D" w14:textId="1DC1668C" w:rsidR="00B37AF3" w:rsidRPr="00B37AF3" w:rsidRDefault="00B37AF3">
              <w:pPr>
                <w:pStyle w:val="TOC2"/>
                <w:tabs>
                  <w:tab w:val="right" w:leader="dot" w:pos="9016"/>
                </w:tabs>
                <w:rPr>
                  <w:rFonts w:eastAsiaTheme="minorEastAsia"/>
                  <w:noProof/>
                  <w:kern w:val="2"/>
                  <w:sz w:val="24"/>
                  <w:szCs w:val="24"/>
                  <w14:ligatures w14:val="standardContextual"/>
                </w:rPr>
              </w:pPr>
              <w:hyperlink w:anchor="_Toc227613580" w:history="1">
                <w:r w:rsidRPr="00B37AF3">
                  <w:rPr>
                    <w:rStyle w:val="Hyperlink"/>
                    <w:rFonts w:ascii="Times New Roman" w:hAnsi="Times New Roman" w:cs="Times New Roman"/>
                    <w:noProof/>
                  </w:rPr>
                  <w:t>6.1 Appendix 1 Consolidated Income Statement</w:t>
                </w:r>
                <w:r w:rsidRPr="00B37AF3">
                  <w:rPr>
                    <w:noProof/>
                    <w:webHidden/>
                  </w:rPr>
                  <w:tab/>
                </w:r>
                <w:r w:rsidRPr="00B37AF3">
                  <w:rPr>
                    <w:noProof/>
                    <w:webHidden/>
                  </w:rPr>
                  <w:fldChar w:fldCharType="begin"/>
                </w:r>
                <w:r w:rsidRPr="00B37AF3">
                  <w:rPr>
                    <w:noProof/>
                    <w:webHidden/>
                  </w:rPr>
                  <w:instrText xml:space="preserve"> PAGEREF _Toc227613580 \h </w:instrText>
                </w:r>
                <w:r w:rsidRPr="00B37AF3">
                  <w:rPr>
                    <w:noProof/>
                    <w:webHidden/>
                  </w:rPr>
                </w:r>
                <w:r w:rsidRPr="00B37AF3">
                  <w:rPr>
                    <w:noProof/>
                    <w:webHidden/>
                  </w:rPr>
                  <w:fldChar w:fldCharType="separate"/>
                </w:r>
                <w:r w:rsidRPr="00B37AF3">
                  <w:rPr>
                    <w:noProof/>
                    <w:webHidden/>
                  </w:rPr>
                  <w:t>22</w:t>
                </w:r>
                <w:r w:rsidRPr="00B37AF3">
                  <w:rPr>
                    <w:noProof/>
                    <w:webHidden/>
                  </w:rPr>
                  <w:fldChar w:fldCharType="end"/>
                </w:r>
              </w:hyperlink>
            </w:p>
            <w:p w14:paraId="74FCE67B" w14:textId="3664F480" w:rsidR="00B37AF3" w:rsidRPr="00B37AF3" w:rsidRDefault="00B37AF3">
              <w:pPr>
                <w:pStyle w:val="TOC2"/>
                <w:tabs>
                  <w:tab w:val="right" w:leader="dot" w:pos="9016"/>
                </w:tabs>
                <w:rPr>
                  <w:rFonts w:eastAsiaTheme="minorEastAsia"/>
                  <w:noProof/>
                  <w:kern w:val="2"/>
                  <w:sz w:val="24"/>
                  <w:szCs w:val="24"/>
                  <w14:ligatures w14:val="standardContextual"/>
                </w:rPr>
              </w:pPr>
              <w:hyperlink w:anchor="_Toc227613581" w:history="1">
                <w:r w:rsidRPr="00B37AF3">
                  <w:rPr>
                    <w:rStyle w:val="Hyperlink"/>
                    <w:rFonts w:ascii="Times New Roman" w:hAnsi="Times New Roman" w:cs="Times New Roman"/>
                    <w:noProof/>
                  </w:rPr>
                  <w:t>6.2 Appendix 2: Consolidated balance Sheet</w:t>
                </w:r>
                <w:r w:rsidRPr="00B37AF3">
                  <w:rPr>
                    <w:noProof/>
                    <w:webHidden/>
                  </w:rPr>
                  <w:tab/>
                </w:r>
                <w:r w:rsidRPr="00B37AF3">
                  <w:rPr>
                    <w:noProof/>
                    <w:webHidden/>
                  </w:rPr>
                  <w:fldChar w:fldCharType="begin"/>
                </w:r>
                <w:r w:rsidRPr="00B37AF3">
                  <w:rPr>
                    <w:noProof/>
                    <w:webHidden/>
                  </w:rPr>
                  <w:instrText xml:space="preserve"> PAGEREF _Toc227613581 \h </w:instrText>
                </w:r>
                <w:r w:rsidRPr="00B37AF3">
                  <w:rPr>
                    <w:noProof/>
                    <w:webHidden/>
                  </w:rPr>
                </w:r>
                <w:r w:rsidRPr="00B37AF3">
                  <w:rPr>
                    <w:noProof/>
                    <w:webHidden/>
                  </w:rPr>
                  <w:fldChar w:fldCharType="separate"/>
                </w:r>
                <w:r w:rsidRPr="00B37AF3">
                  <w:rPr>
                    <w:noProof/>
                    <w:webHidden/>
                  </w:rPr>
                  <w:t>23</w:t>
                </w:r>
                <w:r w:rsidRPr="00B37AF3">
                  <w:rPr>
                    <w:noProof/>
                    <w:webHidden/>
                  </w:rPr>
                  <w:fldChar w:fldCharType="end"/>
                </w:r>
              </w:hyperlink>
            </w:p>
            <w:p w14:paraId="2522F0E6" w14:textId="7E772CBE" w:rsidR="00B37AF3" w:rsidRPr="00B37AF3" w:rsidRDefault="00B37AF3">
              <w:pPr>
                <w:pStyle w:val="TOC2"/>
                <w:tabs>
                  <w:tab w:val="right" w:leader="dot" w:pos="9016"/>
                </w:tabs>
                <w:rPr>
                  <w:rFonts w:eastAsiaTheme="minorEastAsia"/>
                  <w:noProof/>
                  <w:kern w:val="2"/>
                  <w:sz w:val="24"/>
                  <w:szCs w:val="24"/>
                  <w14:ligatures w14:val="standardContextual"/>
                </w:rPr>
              </w:pPr>
              <w:hyperlink w:anchor="_Toc227613582" w:history="1">
                <w:r w:rsidRPr="00B37AF3">
                  <w:rPr>
                    <w:rStyle w:val="Hyperlink"/>
                    <w:rFonts w:ascii="Times New Roman" w:hAnsi="Times New Roman" w:cs="Times New Roman"/>
                    <w:noProof/>
                  </w:rPr>
                  <w:t>6.3 Appendix 3: Consolidated Cash Flow Statement</w:t>
                </w:r>
                <w:r w:rsidRPr="00B37AF3">
                  <w:rPr>
                    <w:noProof/>
                    <w:webHidden/>
                  </w:rPr>
                  <w:tab/>
                </w:r>
                <w:r w:rsidRPr="00B37AF3">
                  <w:rPr>
                    <w:noProof/>
                    <w:webHidden/>
                  </w:rPr>
                  <w:fldChar w:fldCharType="begin"/>
                </w:r>
                <w:r w:rsidRPr="00B37AF3">
                  <w:rPr>
                    <w:noProof/>
                    <w:webHidden/>
                  </w:rPr>
                  <w:instrText xml:space="preserve"> PAGEREF _Toc227613582 \h </w:instrText>
                </w:r>
                <w:r w:rsidRPr="00B37AF3">
                  <w:rPr>
                    <w:noProof/>
                    <w:webHidden/>
                  </w:rPr>
                </w:r>
                <w:r w:rsidRPr="00B37AF3">
                  <w:rPr>
                    <w:noProof/>
                    <w:webHidden/>
                  </w:rPr>
                  <w:fldChar w:fldCharType="separate"/>
                </w:r>
                <w:r w:rsidRPr="00B37AF3">
                  <w:rPr>
                    <w:noProof/>
                    <w:webHidden/>
                  </w:rPr>
                  <w:t>24</w:t>
                </w:r>
                <w:r w:rsidRPr="00B37AF3">
                  <w:rPr>
                    <w:noProof/>
                    <w:webHidden/>
                  </w:rPr>
                  <w:fldChar w:fldCharType="end"/>
                </w:r>
              </w:hyperlink>
            </w:p>
            <w:p w14:paraId="488076E7" w14:textId="3B218FB7" w:rsidR="00B37AF3" w:rsidRPr="00B37AF3" w:rsidRDefault="00B37AF3">
              <w:pPr>
                <w:pStyle w:val="TOC2"/>
                <w:tabs>
                  <w:tab w:val="right" w:leader="dot" w:pos="9016"/>
                </w:tabs>
                <w:rPr>
                  <w:rFonts w:eastAsiaTheme="minorEastAsia"/>
                  <w:noProof/>
                  <w:kern w:val="2"/>
                  <w:sz w:val="24"/>
                  <w:szCs w:val="24"/>
                  <w14:ligatures w14:val="standardContextual"/>
                </w:rPr>
              </w:pPr>
              <w:hyperlink w:anchor="_Toc227613583" w:history="1">
                <w:r w:rsidRPr="00B37AF3">
                  <w:rPr>
                    <w:rStyle w:val="Hyperlink"/>
                    <w:rFonts w:ascii="Times New Roman" w:hAnsi="Times New Roman" w:cs="Times New Roman"/>
                    <w:noProof/>
                  </w:rPr>
                  <w:t>6.4 Appendix 4: Option A</w:t>
                </w:r>
                <w:r w:rsidRPr="00B37AF3">
                  <w:rPr>
                    <w:noProof/>
                    <w:webHidden/>
                  </w:rPr>
                  <w:tab/>
                </w:r>
                <w:r w:rsidRPr="00B37AF3">
                  <w:rPr>
                    <w:noProof/>
                    <w:webHidden/>
                  </w:rPr>
                  <w:fldChar w:fldCharType="begin"/>
                </w:r>
                <w:r w:rsidRPr="00B37AF3">
                  <w:rPr>
                    <w:noProof/>
                    <w:webHidden/>
                  </w:rPr>
                  <w:instrText xml:space="preserve"> PAGEREF _Toc227613583 \h </w:instrText>
                </w:r>
                <w:r w:rsidRPr="00B37AF3">
                  <w:rPr>
                    <w:noProof/>
                    <w:webHidden/>
                  </w:rPr>
                </w:r>
                <w:r w:rsidRPr="00B37AF3">
                  <w:rPr>
                    <w:noProof/>
                    <w:webHidden/>
                  </w:rPr>
                  <w:fldChar w:fldCharType="separate"/>
                </w:r>
                <w:r w:rsidRPr="00B37AF3">
                  <w:rPr>
                    <w:noProof/>
                    <w:webHidden/>
                  </w:rPr>
                  <w:t>24</w:t>
                </w:r>
                <w:r w:rsidRPr="00B37AF3">
                  <w:rPr>
                    <w:noProof/>
                    <w:webHidden/>
                  </w:rPr>
                  <w:fldChar w:fldCharType="end"/>
                </w:r>
              </w:hyperlink>
            </w:p>
            <w:p w14:paraId="035E6379" w14:textId="58586CF8" w:rsidR="00B37AF3" w:rsidRPr="00B37AF3" w:rsidRDefault="00B37AF3">
              <w:pPr>
                <w:pStyle w:val="TOC2"/>
                <w:tabs>
                  <w:tab w:val="right" w:leader="dot" w:pos="9016"/>
                </w:tabs>
                <w:rPr>
                  <w:rFonts w:eastAsiaTheme="minorEastAsia"/>
                  <w:noProof/>
                  <w:kern w:val="2"/>
                  <w:sz w:val="24"/>
                  <w:szCs w:val="24"/>
                  <w14:ligatures w14:val="standardContextual"/>
                </w:rPr>
              </w:pPr>
              <w:hyperlink w:anchor="_Toc227613584" w:history="1">
                <w:r w:rsidRPr="00B37AF3">
                  <w:rPr>
                    <w:rStyle w:val="Hyperlink"/>
                    <w:rFonts w:ascii="Times New Roman" w:hAnsi="Times New Roman" w:cs="Times New Roman"/>
                    <w:noProof/>
                  </w:rPr>
                  <w:t>6.5 Appendix 5:  Option B</w:t>
                </w:r>
                <w:r w:rsidRPr="00B37AF3">
                  <w:rPr>
                    <w:noProof/>
                    <w:webHidden/>
                  </w:rPr>
                  <w:tab/>
                </w:r>
                <w:r w:rsidRPr="00B37AF3">
                  <w:rPr>
                    <w:noProof/>
                    <w:webHidden/>
                  </w:rPr>
                  <w:fldChar w:fldCharType="begin"/>
                </w:r>
                <w:r w:rsidRPr="00B37AF3">
                  <w:rPr>
                    <w:noProof/>
                    <w:webHidden/>
                  </w:rPr>
                  <w:instrText xml:space="preserve"> PAGEREF _Toc227613584 \h </w:instrText>
                </w:r>
                <w:r w:rsidRPr="00B37AF3">
                  <w:rPr>
                    <w:noProof/>
                    <w:webHidden/>
                  </w:rPr>
                </w:r>
                <w:r w:rsidRPr="00B37AF3">
                  <w:rPr>
                    <w:noProof/>
                    <w:webHidden/>
                  </w:rPr>
                  <w:fldChar w:fldCharType="separate"/>
                </w:r>
                <w:r w:rsidRPr="00B37AF3">
                  <w:rPr>
                    <w:noProof/>
                    <w:webHidden/>
                  </w:rPr>
                  <w:t>24</w:t>
                </w:r>
                <w:r w:rsidRPr="00B37AF3">
                  <w:rPr>
                    <w:noProof/>
                    <w:webHidden/>
                  </w:rPr>
                  <w:fldChar w:fldCharType="end"/>
                </w:r>
              </w:hyperlink>
            </w:p>
            <w:p w14:paraId="571ACD7B" w14:textId="2277DFAE" w:rsidR="00B37AF3" w:rsidRPr="00B37AF3" w:rsidRDefault="00B37AF3">
              <w:pPr>
                <w:pStyle w:val="TOC2"/>
                <w:tabs>
                  <w:tab w:val="right" w:leader="dot" w:pos="9016"/>
                </w:tabs>
                <w:rPr>
                  <w:rFonts w:eastAsiaTheme="minorEastAsia"/>
                  <w:noProof/>
                  <w:kern w:val="2"/>
                  <w:sz w:val="24"/>
                  <w:szCs w:val="24"/>
                  <w14:ligatures w14:val="standardContextual"/>
                </w:rPr>
              </w:pPr>
              <w:hyperlink w:anchor="_Toc227613585" w:history="1">
                <w:r w:rsidRPr="00B37AF3">
                  <w:rPr>
                    <w:rStyle w:val="Hyperlink"/>
                    <w:rFonts w:ascii="Times New Roman" w:hAnsi="Times New Roman" w:cs="Times New Roman"/>
                    <w:noProof/>
                  </w:rPr>
                  <w:t>6.6 Appendix 6: Option C</w:t>
                </w:r>
                <w:r w:rsidRPr="00B37AF3">
                  <w:rPr>
                    <w:noProof/>
                    <w:webHidden/>
                  </w:rPr>
                  <w:tab/>
                </w:r>
                <w:r w:rsidRPr="00B37AF3">
                  <w:rPr>
                    <w:noProof/>
                    <w:webHidden/>
                  </w:rPr>
                  <w:fldChar w:fldCharType="begin"/>
                </w:r>
                <w:r w:rsidRPr="00B37AF3">
                  <w:rPr>
                    <w:noProof/>
                    <w:webHidden/>
                  </w:rPr>
                  <w:instrText xml:space="preserve"> PAGEREF _Toc227613585 \h </w:instrText>
                </w:r>
                <w:r w:rsidRPr="00B37AF3">
                  <w:rPr>
                    <w:noProof/>
                    <w:webHidden/>
                  </w:rPr>
                </w:r>
                <w:r w:rsidRPr="00B37AF3">
                  <w:rPr>
                    <w:noProof/>
                    <w:webHidden/>
                  </w:rPr>
                  <w:fldChar w:fldCharType="separate"/>
                </w:r>
                <w:r w:rsidRPr="00B37AF3">
                  <w:rPr>
                    <w:noProof/>
                    <w:webHidden/>
                  </w:rPr>
                  <w:t>25</w:t>
                </w:r>
                <w:r w:rsidRPr="00B37AF3">
                  <w:rPr>
                    <w:noProof/>
                    <w:webHidden/>
                  </w:rPr>
                  <w:fldChar w:fldCharType="end"/>
                </w:r>
              </w:hyperlink>
            </w:p>
            <w:p w14:paraId="3A49CE30" w14:textId="2B454C65" w:rsidR="00B37AF3" w:rsidRPr="00B37AF3" w:rsidRDefault="00B37AF3">
              <w:pPr>
                <w:pStyle w:val="TOC2"/>
                <w:tabs>
                  <w:tab w:val="right" w:leader="dot" w:pos="9016"/>
                </w:tabs>
                <w:rPr>
                  <w:rFonts w:eastAsiaTheme="minorEastAsia"/>
                  <w:noProof/>
                  <w:kern w:val="2"/>
                  <w:sz w:val="24"/>
                  <w:szCs w:val="24"/>
                  <w14:ligatures w14:val="standardContextual"/>
                </w:rPr>
              </w:pPr>
              <w:hyperlink w:anchor="_Toc227613586" w:history="1">
                <w:r w:rsidRPr="00B37AF3">
                  <w:rPr>
                    <w:rStyle w:val="Hyperlink"/>
                    <w:rFonts w:ascii="Times New Roman" w:hAnsi="Times New Roman" w:cs="Times New Roman"/>
                    <w:noProof/>
                  </w:rPr>
                  <w:t>6.7 Appendix 7: Capital Rationing</w:t>
                </w:r>
                <w:r w:rsidRPr="00B37AF3">
                  <w:rPr>
                    <w:noProof/>
                    <w:webHidden/>
                  </w:rPr>
                  <w:tab/>
                </w:r>
                <w:r w:rsidRPr="00B37AF3">
                  <w:rPr>
                    <w:noProof/>
                    <w:webHidden/>
                  </w:rPr>
                  <w:fldChar w:fldCharType="begin"/>
                </w:r>
                <w:r w:rsidRPr="00B37AF3">
                  <w:rPr>
                    <w:noProof/>
                    <w:webHidden/>
                  </w:rPr>
                  <w:instrText xml:space="preserve"> PAGEREF _Toc227613586 \h </w:instrText>
                </w:r>
                <w:r w:rsidRPr="00B37AF3">
                  <w:rPr>
                    <w:noProof/>
                    <w:webHidden/>
                  </w:rPr>
                </w:r>
                <w:r w:rsidRPr="00B37AF3">
                  <w:rPr>
                    <w:noProof/>
                    <w:webHidden/>
                  </w:rPr>
                  <w:fldChar w:fldCharType="separate"/>
                </w:r>
                <w:r w:rsidRPr="00B37AF3">
                  <w:rPr>
                    <w:noProof/>
                    <w:webHidden/>
                  </w:rPr>
                  <w:t>25</w:t>
                </w:r>
                <w:r w:rsidRPr="00B37AF3">
                  <w:rPr>
                    <w:noProof/>
                    <w:webHidden/>
                  </w:rPr>
                  <w:fldChar w:fldCharType="end"/>
                </w:r>
              </w:hyperlink>
            </w:p>
            <w:p w14:paraId="3C77CD7F" w14:textId="6F5E4BED" w:rsidR="00B37AF3" w:rsidRPr="00B37AF3" w:rsidRDefault="00B37AF3">
              <w:pPr>
                <w:pStyle w:val="TOC2"/>
                <w:tabs>
                  <w:tab w:val="right" w:leader="dot" w:pos="9016"/>
                </w:tabs>
                <w:rPr>
                  <w:rFonts w:eastAsiaTheme="minorEastAsia"/>
                  <w:noProof/>
                  <w:kern w:val="2"/>
                  <w:sz w:val="24"/>
                  <w:szCs w:val="24"/>
                  <w14:ligatures w14:val="standardContextual"/>
                </w:rPr>
              </w:pPr>
              <w:hyperlink w:anchor="_Toc227613587" w:history="1">
                <w:r w:rsidRPr="00B37AF3">
                  <w:rPr>
                    <w:rStyle w:val="Hyperlink"/>
                    <w:rFonts w:ascii="Times New Roman" w:hAnsi="Times New Roman" w:cs="Times New Roman"/>
                    <w:noProof/>
                  </w:rPr>
                  <w:t>6.8 Appendix 8: Ratio Calculations</w:t>
                </w:r>
                <w:r w:rsidRPr="00B37AF3">
                  <w:rPr>
                    <w:noProof/>
                    <w:webHidden/>
                  </w:rPr>
                  <w:tab/>
                </w:r>
                <w:r w:rsidRPr="00B37AF3">
                  <w:rPr>
                    <w:noProof/>
                    <w:webHidden/>
                  </w:rPr>
                  <w:fldChar w:fldCharType="begin"/>
                </w:r>
                <w:r w:rsidRPr="00B37AF3">
                  <w:rPr>
                    <w:noProof/>
                    <w:webHidden/>
                  </w:rPr>
                  <w:instrText xml:space="preserve"> PAGEREF _Toc227613587 \h </w:instrText>
                </w:r>
                <w:r w:rsidRPr="00B37AF3">
                  <w:rPr>
                    <w:noProof/>
                    <w:webHidden/>
                  </w:rPr>
                </w:r>
                <w:r w:rsidRPr="00B37AF3">
                  <w:rPr>
                    <w:noProof/>
                    <w:webHidden/>
                  </w:rPr>
                  <w:fldChar w:fldCharType="separate"/>
                </w:r>
                <w:r w:rsidRPr="00B37AF3">
                  <w:rPr>
                    <w:noProof/>
                    <w:webHidden/>
                  </w:rPr>
                  <w:t>25</w:t>
                </w:r>
                <w:r w:rsidRPr="00B37AF3">
                  <w:rPr>
                    <w:noProof/>
                    <w:webHidden/>
                  </w:rPr>
                  <w:fldChar w:fldCharType="end"/>
                </w:r>
              </w:hyperlink>
            </w:p>
            <w:p w14:paraId="5B13549B" w14:textId="2E8AE2D4" w:rsidR="00B37AF3" w:rsidRDefault="00B37AF3">
              <w:pPr>
                <w:pStyle w:val="TOC3"/>
                <w:tabs>
                  <w:tab w:val="right" w:leader="dot" w:pos="9016"/>
                </w:tabs>
                <w:rPr>
                  <w:rFonts w:eastAsiaTheme="minorEastAsia"/>
                  <w:noProof/>
                  <w:kern w:val="2"/>
                  <w:sz w:val="24"/>
                  <w:szCs w:val="24"/>
                  <w14:ligatures w14:val="standardContextual"/>
                </w:rPr>
              </w:pPr>
              <w:hyperlink w:anchor="_Toc227613588" w:history="1">
                <w:r w:rsidRPr="008131D2">
                  <w:rPr>
                    <w:rStyle w:val="Hyperlink"/>
                    <w:rFonts w:ascii="Times New Roman" w:hAnsi="Times New Roman" w:cs="Times New Roman"/>
                    <w:i/>
                    <w:iCs/>
                    <w:noProof/>
                  </w:rPr>
                  <w:t>6.8.1 Profitability Ratios</w:t>
                </w:r>
                <w:r>
                  <w:rPr>
                    <w:noProof/>
                    <w:webHidden/>
                  </w:rPr>
                  <w:tab/>
                </w:r>
                <w:r>
                  <w:rPr>
                    <w:noProof/>
                    <w:webHidden/>
                  </w:rPr>
                  <w:fldChar w:fldCharType="begin"/>
                </w:r>
                <w:r>
                  <w:rPr>
                    <w:noProof/>
                    <w:webHidden/>
                  </w:rPr>
                  <w:instrText xml:space="preserve"> PAGEREF _Toc227613588 \h </w:instrText>
                </w:r>
                <w:r>
                  <w:rPr>
                    <w:noProof/>
                    <w:webHidden/>
                  </w:rPr>
                </w:r>
                <w:r>
                  <w:rPr>
                    <w:noProof/>
                    <w:webHidden/>
                  </w:rPr>
                  <w:fldChar w:fldCharType="separate"/>
                </w:r>
                <w:r>
                  <w:rPr>
                    <w:noProof/>
                    <w:webHidden/>
                  </w:rPr>
                  <w:t>25</w:t>
                </w:r>
                <w:r>
                  <w:rPr>
                    <w:noProof/>
                    <w:webHidden/>
                  </w:rPr>
                  <w:fldChar w:fldCharType="end"/>
                </w:r>
              </w:hyperlink>
            </w:p>
            <w:p w14:paraId="0FA1A57D" w14:textId="4C7D1291" w:rsidR="00B37AF3" w:rsidRDefault="00B37AF3">
              <w:pPr>
                <w:pStyle w:val="TOC3"/>
                <w:tabs>
                  <w:tab w:val="right" w:leader="dot" w:pos="9016"/>
                </w:tabs>
                <w:rPr>
                  <w:rFonts w:eastAsiaTheme="minorEastAsia"/>
                  <w:noProof/>
                  <w:kern w:val="2"/>
                  <w:sz w:val="24"/>
                  <w:szCs w:val="24"/>
                  <w14:ligatures w14:val="standardContextual"/>
                </w:rPr>
              </w:pPr>
              <w:hyperlink w:anchor="_Toc227613589" w:history="1">
                <w:r w:rsidRPr="008131D2">
                  <w:rPr>
                    <w:rStyle w:val="Hyperlink"/>
                    <w:rFonts w:ascii="Times New Roman" w:hAnsi="Times New Roman" w:cs="Times New Roman"/>
                    <w:i/>
                    <w:iCs/>
                    <w:noProof/>
                  </w:rPr>
                  <w:t>6.8.2 Liquidity Ratios</w:t>
                </w:r>
                <w:r>
                  <w:rPr>
                    <w:noProof/>
                    <w:webHidden/>
                  </w:rPr>
                  <w:tab/>
                </w:r>
                <w:r>
                  <w:rPr>
                    <w:noProof/>
                    <w:webHidden/>
                  </w:rPr>
                  <w:fldChar w:fldCharType="begin"/>
                </w:r>
                <w:r>
                  <w:rPr>
                    <w:noProof/>
                    <w:webHidden/>
                  </w:rPr>
                  <w:instrText xml:space="preserve"> PAGEREF _Toc227613589 \h </w:instrText>
                </w:r>
                <w:r>
                  <w:rPr>
                    <w:noProof/>
                    <w:webHidden/>
                  </w:rPr>
                </w:r>
                <w:r>
                  <w:rPr>
                    <w:noProof/>
                    <w:webHidden/>
                  </w:rPr>
                  <w:fldChar w:fldCharType="separate"/>
                </w:r>
                <w:r>
                  <w:rPr>
                    <w:noProof/>
                    <w:webHidden/>
                  </w:rPr>
                  <w:t>25</w:t>
                </w:r>
                <w:r>
                  <w:rPr>
                    <w:noProof/>
                    <w:webHidden/>
                  </w:rPr>
                  <w:fldChar w:fldCharType="end"/>
                </w:r>
              </w:hyperlink>
            </w:p>
            <w:p w14:paraId="47566475" w14:textId="69F1ED76" w:rsidR="00B37AF3" w:rsidRDefault="00B37AF3">
              <w:pPr>
                <w:pStyle w:val="TOC3"/>
                <w:tabs>
                  <w:tab w:val="right" w:leader="dot" w:pos="9016"/>
                </w:tabs>
                <w:rPr>
                  <w:rFonts w:eastAsiaTheme="minorEastAsia"/>
                  <w:noProof/>
                  <w:kern w:val="2"/>
                  <w:sz w:val="24"/>
                  <w:szCs w:val="24"/>
                  <w14:ligatures w14:val="standardContextual"/>
                </w:rPr>
              </w:pPr>
              <w:hyperlink w:anchor="_Toc227613590" w:history="1">
                <w:r w:rsidRPr="008131D2">
                  <w:rPr>
                    <w:rStyle w:val="Hyperlink"/>
                    <w:rFonts w:ascii="Times New Roman" w:hAnsi="Times New Roman" w:cs="Times New Roman"/>
                    <w:i/>
                    <w:iCs/>
                    <w:noProof/>
                  </w:rPr>
                  <w:t>6.8.3 Gearing and Capital Structure Ratios.</w:t>
                </w:r>
                <w:r>
                  <w:rPr>
                    <w:noProof/>
                    <w:webHidden/>
                  </w:rPr>
                  <w:tab/>
                </w:r>
                <w:r>
                  <w:rPr>
                    <w:noProof/>
                    <w:webHidden/>
                  </w:rPr>
                  <w:fldChar w:fldCharType="begin"/>
                </w:r>
                <w:r>
                  <w:rPr>
                    <w:noProof/>
                    <w:webHidden/>
                  </w:rPr>
                  <w:instrText xml:space="preserve"> PAGEREF _Toc227613590 \h </w:instrText>
                </w:r>
                <w:r>
                  <w:rPr>
                    <w:noProof/>
                    <w:webHidden/>
                  </w:rPr>
                </w:r>
                <w:r>
                  <w:rPr>
                    <w:noProof/>
                    <w:webHidden/>
                  </w:rPr>
                  <w:fldChar w:fldCharType="separate"/>
                </w:r>
                <w:r>
                  <w:rPr>
                    <w:noProof/>
                    <w:webHidden/>
                  </w:rPr>
                  <w:t>26</w:t>
                </w:r>
                <w:r>
                  <w:rPr>
                    <w:noProof/>
                    <w:webHidden/>
                  </w:rPr>
                  <w:fldChar w:fldCharType="end"/>
                </w:r>
              </w:hyperlink>
            </w:p>
            <w:p w14:paraId="5858B13F" w14:textId="1E244E5B" w:rsidR="00B37AF3" w:rsidRDefault="00B37AF3">
              <w:pPr>
                <w:pStyle w:val="TOC3"/>
                <w:tabs>
                  <w:tab w:val="right" w:leader="dot" w:pos="9016"/>
                </w:tabs>
                <w:rPr>
                  <w:rFonts w:eastAsiaTheme="minorEastAsia"/>
                  <w:noProof/>
                  <w:kern w:val="2"/>
                  <w:sz w:val="24"/>
                  <w:szCs w:val="24"/>
                  <w14:ligatures w14:val="standardContextual"/>
                </w:rPr>
              </w:pPr>
              <w:hyperlink w:anchor="_Toc227613591" w:history="1">
                <w:r w:rsidRPr="008131D2">
                  <w:rPr>
                    <w:rStyle w:val="Hyperlink"/>
                    <w:rFonts w:ascii="Times New Roman" w:hAnsi="Times New Roman" w:cs="Times New Roman"/>
                    <w:i/>
                    <w:iCs/>
                    <w:noProof/>
                  </w:rPr>
                  <w:t>6.8.4 Efficiency Ratios</w:t>
                </w:r>
                <w:r>
                  <w:rPr>
                    <w:noProof/>
                    <w:webHidden/>
                  </w:rPr>
                  <w:tab/>
                </w:r>
                <w:r>
                  <w:rPr>
                    <w:noProof/>
                    <w:webHidden/>
                  </w:rPr>
                  <w:fldChar w:fldCharType="begin"/>
                </w:r>
                <w:r>
                  <w:rPr>
                    <w:noProof/>
                    <w:webHidden/>
                  </w:rPr>
                  <w:instrText xml:space="preserve"> PAGEREF _Toc227613591 \h </w:instrText>
                </w:r>
                <w:r>
                  <w:rPr>
                    <w:noProof/>
                    <w:webHidden/>
                  </w:rPr>
                </w:r>
                <w:r>
                  <w:rPr>
                    <w:noProof/>
                    <w:webHidden/>
                  </w:rPr>
                  <w:fldChar w:fldCharType="separate"/>
                </w:r>
                <w:r>
                  <w:rPr>
                    <w:noProof/>
                    <w:webHidden/>
                  </w:rPr>
                  <w:t>26</w:t>
                </w:r>
                <w:r>
                  <w:rPr>
                    <w:noProof/>
                    <w:webHidden/>
                  </w:rPr>
                  <w:fldChar w:fldCharType="end"/>
                </w:r>
              </w:hyperlink>
            </w:p>
            <w:p w14:paraId="5D94A86F" w14:textId="088D89ED" w:rsidR="00B37AF3" w:rsidRDefault="00B37AF3">
              <w:pPr>
                <w:pStyle w:val="TOC3"/>
                <w:tabs>
                  <w:tab w:val="right" w:leader="dot" w:pos="9016"/>
                </w:tabs>
                <w:rPr>
                  <w:rFonts w:eastAsiaTheme="minorEastAsia"/>
                  <w:noProof/>
                  <w:kern w:val="2"/>
                  <w:sz w:val="24"/>
                  <w:szCs w:val="24"/>
                  <w14:ligatures w14:val="standardContextual"/>
                </w:rPr>
              </w:pPr>
              <w:hyperlink w:anchor="_Toc227613592" w:history="1">
                <w:r w:rsidRPr="008131D2">
                  <w:rPr>
                    <w:rStyle w:val="Hyperlink"/>
                    <w:rFonts w:ascii="Times New Roman" w:hAnsi="Times New Roman" w:cs="Times New Roman"/>
                    <w:i/>
                    <w:iCs/>
                    <w:noProof/>
                  </w:rPr>
                  <w:t>6.8.5 Investor Ratios</w:t>
                </w:r>
                <w:r>
                  <w:rPr>
                    <w:noProof/>
                    <w:webHidden/>
                  </w:rPr>
                  <w:tab/>
                </w:r>
                <w:r>
                  <w:rPr>
                    <w:noProof/>
                    <w:webHidden/>
                  </w:rPr>
                  <w:fldChar w:fldCharType="begin"/>
                </w:r>
                <w:r>
                  <w:rPr>
                    <w:noProof/>
                    <w:webHidden/>
                  </w:rPr>
                  <w:instrText xml:space="preserve"> PAGEREF _Toc227613592 \h </w:instrText>
                </w:r>
                <w:r>
                  <w:rPr>
                    <w:noProof/>
                    <w:webHidden/>
                  </w:rPr>
                </w:r>
                <w:r>
                  <w:rPr>
                    <w:noProof/>
                    <w:webHidden/>
                  </w:rPr>
                  <w:fldChar w:fldCharType="separate"/>
                </w:r>
                <w:r>
                  <w:rPr>
                    <w:noProof/>
                    <w:webHidden/>
                  </w:rPr>
                  <w:t>26</w:t>
                </w:r>
                <w:r>
                  <w:rPr>
                    <w:noProof/>
                    <w:webHidden/>
                  </w:rPr>
                  <w:fldChar w:fldCharType="end"/>
                </w:r>
              </w:hyperlink>
            </w:p>
            <w:p w14:paraId="05194699" w14:textId="2B0E8F67" w:rsidR="007D1947" w:rsidRDefault="007D1947">
              <w:r>
                <w:rPr>
                  <w:b/>
                  <w:bCs/>
                  <w:noProof/>
                </w:rPr>
                <w:fldChar w:fldCharType="end"/>
              </w:r>
            </w:p>
          </w:sdtContent>
        </w:sdt>
        <w:p w14:paraId="35B6052B" w14:textId="77777777" w:rsidR="007D1947" w:rsidRDefault="007D1947"/>
        <w:p w14:paraId="22F11532" w14:textId="77777777" w:rsidR="007D1947" w:rsidRDefault="007D1947"/>
        <w:p w14:paraId="15C6D916" w14:textId="3F12082F" w:rsidR="00751460" w:rsidRDefault="00751460">
          <w:r>
            <w:br w:type="page"/>
          </w:r>
        </w:p>
        <w:p w14:paraId="663F0E8D" w14:textId="34C19895" w:rsidR="00751460" w:rsidRPr="00980627" w:rsidRDefault="00751460" w:rsidP="00751460">
          <w:pPr>
            <w:pStyle w:val="Heading1"/>
            <w:rPr>
              <w:rFonts w:ascii="Times New Roman" w:hAnsi="Times New Roman" w:cs="Times New Roman"/>
              <w:b/>
              <w:bCs/>
              <w:color w:val="auto"/>
              <w:sz w:val="24"/>
              <w:szCs w:val="24"/>
            </w:rPr>
          </w:pPr>
          <w:bookmarkStart w:id="1" w:name="_Toc227613565"/>
          <w:r w:rsidRPr="00980627">
            <w:rPr>
              <w:rFonts w:ascii="Times New Roman" w:hAnsi="Times New Roman" w:cs="Times New Roman"/>
              <w:b/>
              <w:bCs/>
              <w:color w:val="auto"/>
              <w:sz w:val="24"/>
              <w:szCs w:val="24"/>
            </w:rPr>
            <w:lastRenderedPageBreak/>
            <w:t>1.0 Introduction</w:t>
          </w:r>
          <w:bookmarkEnd w:id="1"/>
        </w:p>
        <w:p w14:paraId="1C1E1EB3" w14:textId="77777777" w:rsidR="00751460" w:rsidRPr="00980627" w:rsidRDefault="00751460" w:rsidP="00751460">
          <w:pPr>
            <w:spacing w:after="0" w:line="360" w:lineRule="auto"/>
            <w:ind w:firstLine="720"/>
            <w:rPr>
              <w:rFonts w:ascii="Times New Roman" w:hAnsi="Times New Roman" w:cs="Times New Roman"/>
              <w:sz w:val="24"/>
              <w:szCs w:val="24"/>
            </w:rPr>
          </w:pPr>
          <w:r w:rsidRPr="00980627">
            <w:rPr>
              <w:rFonts w:ascii="Times New Roman" w:hAnsi="Times New Roman" w:cs="Times New Roman"/>
              <w:sz w:val="24"/>
              <w:szCs w:val="24"/>
            </w:rPr>
            <w:t>Barclays PLC is one of the most powerful financial institutions in Europe and is a constituent of the FTSE 100 Index, a leading multinational bank with its headquarters in London. Barclays is a key participant in the financial markets around the world with operations in retail banking, corporate banking, investment banking and wealth management (Barclays, 2025). The macroeconomic factors that indirectly affect its performance are interest rate cycles, inflationary pressures, and regulatory reforms which directly affect profitability, liquidity, and capital adequacy (Saunders, 2024). Barclays, as a systemically important bank, is more than just critical as a shareholder; its financial health is also critical to the stability of the wider financial system (</w:t>
          </w:r>
          <w:proofErr w:type="spellStart"/>
          <w:r w:rsidRPr="00980627">
            <w:rPr>
              <w:rFonts w:ascii="Times New Roman" w:hAnsi="Times New Roman" w:cs="Times New Roman"/>
              <w:sz w:val="24"/>
              <w:szCs w:val="24"/>
            </w:rPr>
            <w:t>Vousinas</w:t>
          </w:r>
          <w:proofErr w:type="spellEnd"/>
          <w:r w:rsidRPr="00980627">
            <w:rPr>
              <w:rFonts w:ascii="Times New Roman" w:hAnsi="Times New Roman" w:cs="Times New Roman"/>
              <w:sz w:val="24"/>
              <w:szCs w:val="24"/>
            </w:rPr>
            <w:t>, 2015).</w:t>
          </w:r>
        </w:p>
        <w:p w14:paraId="4A8C8CF2" w14:textId="77777777" w:rsidR="00751460" w:rsidRPr="00980627" w:rsidRDefault="00751460" w:rsidP="00751460">
          <w:pPr>
            <w:spacing w:after="0" w:line="360" w:lineRule="auto"/>
            <w:ind w:firstLine="720"/>
            <w:rPr>
              <w:rFonts w:ascii="Times New Roman" w:hAnsi="Times New Roman" w:cs="Times New Roman"/>
              <w:sz w:val="24"/>
              <w:szCs w:val="24"/>
            </w:rPr>
          </w:pPr>
          <w:r w:rsidRPr="00980627">
            <w:rPr>
              <w:rFonts w:ascii="Times New Roman" w:hAnsi="Times New Roman" w:cs="Times New Roman"/>
              <w:sz w:val="24"/>
              <w:szCs w:val="24"/>
            </w:rPr>
            <w:t>This report aims to review the performance of Barclays, in terms of its financial performance in the last two years, through ratio analysis in terms of profitability, liquidity, gearing, efficiency and measures of investor. Ratio analysis offers an organised perspective by which complicated financial statements may be viewed, which permits directors to discover their strengths, weaknesses, and arising risks (</w:t>
          </w:r>
          <w:proofErr w:type="spellStart"/>
          <w:r w:rsidRPr="00980627">
            <w:rPr>
              <w:rFonts w:ascii="Times New Roman" w:hAnsi="Times New Roman" w:cs="Times New Roman"/>
              <w:sz w:val="24"/>
              <w:szCs w:val="24"/>
            </w:rPr>
            <w:t>Atrill</w:t>
          </w:r>
          <w:proofErr w:type="spellEnd"/>
          <w:r w:rsidRPr="00980627">
            <w:rPr>
              <w:rFonts w:ascii="Times New Roman" w:hAnsi="Times New Roman" w:cs="Times New Roman"/>
              <w:sz w:val="24"/>
              <w:szCs w:val="24"/>
            </w:rPr>
            <w:t>, 2019). Nevertheless, the report will not only explain the figures but will also be a critical evaluation of the forces that have driven changes in the ratios, such as strategic restructuring, digital transformation, and external market volatility. The shortcomings of the ratio analysis, like its retroactive character and vulnerability to accounting policies, will also be mentioned to make sure that the interpretation will be balanced (Drury, 2020). Suggestions will be provided to improve the capital structure of Barclays, its operational efficiency and communication with its investors.</w:t>
          </w:r>
        </w:p>
        <w:p w14:paraId="0D080A8A" w14:textId="77777777" w:rsidR="00751460" w:rsidRPr="00980627" w:rsidRDefault="00751460" w:rsidP="00751460">
          <w:pPr>
            <w:spacing w:after="0" w:line="360" w:lineRule="auto"/>
            <w:ind w:firstLine="720"/>
            <w:rPr>
              <w:rFonts w:ascii="Times New Roman" w:hAnsi="Times New Roman" w:cs="Times New Roman"/>
              <w:sz w:val="24"/>
              <w:szCs w:val="24"/>
            </w:rPr>
          </w:pPr>
          <w:r w:rsidRPr="00980627">
            <w:rPr>
              <w:rFonts w:ascii="Times New Roman" w:hAnsi="Times New Roman" w:cs="Times New Roman"/>
              <w:sz w:val="24"/>
              <w:szCs w:val="24"/>
            </w:rPr>
            <w:t>Besides the assessment done by Barclays, the report will involve an investment appraisal of Beard Plc, a company that is looking to expand either by launching its retail outlets, internet sales, or new products. The most financially viable alternative and evaluation of financing strategies will be established using Net Present Value (NPV), Internal Rate of Return (IRR), capital rationing methods, etc. (Allen, Brealey and Myers, 2011). This two-fold coverage will guarantee that the report covers both the short-term financial performance and long-term strategic investment decision-making at Level 7 critical analysis and practical application.</w:t>
          </w:r>
        </w:p>
        <w:p w14:paraId="23CC0522" w14:textId="77777777" w:rsidR="00751460" w:rsidRDefault="00751460" w:rsidP="00751460">
          <w:pPr>
            <w:pStyle w:val="Heading1"/>
            <w:rPr>
              <w:rFonts w:ascii="Times New Roman" w:hAnsi="Times New Roman" w:cs="Times New Roman"/>
              <w:b/>
              <w:bCs/>
              <w:color w:val="auto"/>
              <w:sz w:val="24"/>
              <w:szCs w:val="24"/>
            </w:rPr>
          </w:pPr>
          <w:r>
            <w:rPr>
              <w:rFonts w:ascii="Times New Roman" w:hAnsi="Times New Roman" w:cs="Times New Roman"/>
              <w:b/>
              <w:bCs/>
              <w:color w:val="auto"/>
              <w:sz w:val="24"/>
              <w:szCs w:val="24"/>
            </w:rPr>
            <w:br w:type="page"/>
          </w:r>
        </w:p>
        <w:p w14:paraId="088915D2" w14:textId="4001E571" w:rsidR="00751460" w:rsidRPr="00980627" w:rsidRDefault="00751460" w:rsidP="00751460">
          <w:pPr>
            <w:pStyle w:val="Heading1"/>
            <w:rPr>
              <w:rFonts w:ascii="Times New Roman" w:hAnsi="Times New Roman" w:cs="Times New Roman"/>
              <w:b/>
              <w:bCs/>
              <w:color w:val="auto"/>
              <w:sz w:val="24"/>
              <w:szCs w:val="24"/>
            </w:rPr>
          </w:pPr>
          <w:bookmarkStart w:id="2" w:name="_Toc227613566"/>
          <w:r w:rsidRPr="00980627">
            <w:rPr>
              <w:rFonts w:ascii="Times New Roman" w:hAnsi="Times New Roman" w:cs="Times New Roman"/>
              <w:b/>
              <w:bCs/>
              <w:color w:val="auto"/>
              <w:sz w:val="24"/>
              <w:szCs w:val="24"/>
            </w:rPr>
            <w:lastRenderedPageBreak/>
            <w:t>2.0 Main Findings</w:t>
          </w:r>
          <w:bookmarkEnd w:id="2"/>
        </w:p>
        <w:p w14:paraId="0E16C9EC" w14:textId="77777777" w:rsidR="00751460" w:rsidRPr="00980627" w:rsidRDefault="00751460" w:rsidP="00751460">
          <w:pPr>
            <w:pStyle w:val="Heading2"/>
            <w:rPr>
              <w:rFonts w:ascii="Times New Roman" w:hAnsi="Times New Roman" w:cs="Times New Roman"/>
              <w:b/>
              <w:bCs/>
              <w:color w:val="auto"/>
              <w:sz w:val="24"/>
              <w:szCs w:val="24"/>
            </w:rPr>
          </w:pPr>
          <w:bookmarkStart w:id="3" w:name="_Toc227613567"/>
          <w:r w:rsidRPr="00980627">
            <w:rPr>
              <w:rFonts w:ascii="Times New Roman" w:hAnsi="Times New Roman" w:cs="Times New Roman"/>
              <w:b/>
              <w:bCs/>
              <w:color w:val="auto"/>
              <w:sz w:val="24"/>
              <w:szCs w:val="24"/>
            </w:rPr>
            <w:t>2.1 Part 1: Barclays PLC Financial Analysis</w:t>
          </w:r>
          <w:bookmarkEnd w:id="3"/>
        </w:p>
        <w:p w14:paraId="1B4D11CB" w14:textId="77777777" w:rsidR="00751460" w:rsidRPr="00980627" w:rsidRDefault="00751460" w:rsidP="00751460">
          <w:pPr>
            <w:pStyle w:val="Heading3"/>
            <w:rPr>
              <w:rFonts w:ascii="Times New Roman" w:hAnsi="Times New Roman" w:cs="Times New Roman"/>
              <w:b/>
              <w:bCs/>
              <w:color w:val="auto"/>
            </w:rPr>
          </w:pPr>
          <w:bookmarkStart w:id="4" w:name="_Toc227613568"/>
          <w:r w:rsidRPr="00980627">
            <w:rPr>
              <w:rFonts w:ascii="Times New Roman" w:hAnsi="Times New Roman" w:cs="Times New Roman"/>
              <w:b/>
              <w:bCs/>
              <w:color w:val="auto"/>
            </w:rPr>
            <w:t>2.1.1 Financial Statements Overview</w:t>
          </w:r>
          <w:bookmarkEnd w:id="4"/>
        </w:p>
        <w:p w14:paraId="76B04EEB" w14:textId="77777777" w:rsidR="00751460" w:rsidRPr="00980627" w:rsidRDefault="00751460" w:rsidP="00751460">
          <w:pPr>
            <w:spacing w:after="0" w:line="360" w:lineRule="auto"/>
            <w:ind w:firstLine="720"/>
            <w:rPr>
              <w:rFonts w:ascii="Times New Roman" w:hAnsi="Times New Roman" w:cs="Times New Roman"/>
              <w:sz w:val="24"/>
              <w:szCs w:val="24"/>
            </w:rPr>
          </w:pPr>
          <w:r w:rsidRPr="00980627">
            <w:rPr>
              <w:rFonts w:ascii="Times New Roman" w:hAnsi="Times New Roman" w:cs="Times New Roman"/>
              <w:sz w:val="24"/>
              <w:szCs w:val="24"/>
            </w:rPr>
            <w:t>The consolidated income statement of Barclays PLC in 2024 and 2025 shows that the company has the strength to endure in the adverse macroeconomic conditions. In 2025, net interest income increased by 0.6 per cent (from £6.7bn in 2024) and was boosted by increased interest margins due to the global rates staying high (Barclays PLC, 2025). Diversified banking services are also very strong, as fee and commission income also increased steadily, reaching a high of £9.9bn in 2025 (Heffernan, 2020). The total income boosted to 20.9bn in 2025, but operating expenses rose to 13.1bn as litigation costs and regulatory charges rose. Profit before tax increased to 5.9bn in 2025 compared to 4.7bn in 2024, and profit attributable to equity holders was 3.9bn in 2025, reflecting better profitability amid cost pressures (Barclays PLC, 2025). This performance is consistent with the literature which states that the earnings of banks are extremely vulnerable to interest rate cycles and costs of regulatory compliance (</w:t>
          </w:r>
          <w:proofErr w:type="spellStart"/>
          <w:r w:rsidRPr="00980627">
            <w:rPr>
              <w:rFonts w:ascii="Times New Roman" w:hAnsi="Times New Roman" w:cs="Times New Roman"/>
              <w:sz w:val="24"/>
              <w:szCs w:val="24"/>
            </w:rPr>
            <w:t>Challoumis</w:t>
          </w:r>
          <w:proofErr w:type="spellEnd"/>
          <w:r w:rsidRPr="00980627">
            <w:rPr>
              <w:rFonts w:ascii="Times New Roman" w:hAnsi="Times New Roman" w:cs="Times New Roman"/>
              <w:sz w:val="24"/>
              <w:szCs w:val="24"/>
            </w:rPr>
            <w:t>, 2025).</w:t>
          </w:r>
        </w:p>
        <w:p w14:paraId="64D073B9" w14:textId="77777777" w:rsidR="00751460" w:rsidRPr="00980627" w:rsidRDefault="00751460" w:rsidP="00751460">
          <w:pPr>
            <w:spacing w:after="0" w:line="360" w:lineRule="auto"/>
            <w:ind w:firstLine="720"/>
            <w:rPr>
              <w:rFonts w:ascii="Times New Roman" w:hAnsi="Times New Roman" w:cs="Times New Roman"/>
              <w:sz w:val="24"/>
              <w:szCs w:val="24"/>
            </w:rPr>
          </w:pPr>
          <w:r w:rsidRPr="00980627">
            <w:rPr>
              <w:rFonts w:ascii="Times New Roman" w:hAnsi="Times New Roman" w:cs="Times New Roman"/>
              <w:sz w:val="24"/>
              <w:szCs w:val="24"/>
            </w:rPr>
            <w:t>The consolidated balance sheet also reflects growth in the total assets, whereby the balance sheet indicates that the trading portfolio assets and customer loans have grown in 2025 as compared to 2024 as indicated by the consolidated balance sheet (including an increase in the total assets). The number of liabilities increased to 1.18tn, as the deposits of customers grew to 324bn, strengthening the financial base of Barclays (Saunders, 2024). There was strong capitalisation, with equity increased to £62.3bn and retained earnings of £49.7bn. The tier 1 capital ratio was still higher than the regulatory requirements, as per Basel III requirements (</w:t>
          </w:r>
          <w:proofErr w:type="spellStart"/>
          <w:r w:rsidRPr="00980627">
            <w:rPr>
              <w:rFonts w:ascii="Times New Roman" w:hAnsi="Times New Roman" w:cs="Times New Roman"/>
              <w:sz w:val="24"/>
              <w:szCs w:val="24"/>
            </w:rPr>
            <w:t>Obadire</w:t>
          </w:r>
          <w:proofErr w:type="spellEnd"/>
          <w:r w:rsidRPr="00980627">
            <w:rPr>
              <w:rFonts w:ascii="Times New Roman" w:hAnsi="Times New Roman" w:cs="Times New Roman"/>
              <w:sz w:val="24"/>
              <w:szCs w:val="24"/>
            </w:rPr>
            <w:t xml:space="preserve">, Moyo and </w:t>
          </w:r>
          <w:proofErr w:type="spellStart"/>
          <w:r w:rsidRPr="00980627">
            <w:rPr>
              <w:rFonts w:ascii="Times New Roman" w:hAnsi="Times New Roman" w:cs="Times New Roman"/>
              <w:sz w:val="24"/>
              <w:szCs w:val="24"/>
            </w:rPr>
            <w:t>Munzhelele</w:t>
          </w:r>
          <w:proofErr w:type="spellEnd"/>
          <w:r w:rsidRPr="00980627">
            <w:rPr>
              <w:rFonts w:ascii="Times New Roman" w:hAnsi="Times New Roman" w:cs="Times New Roman"/>
              <w:sz w:val="24"/>
              <w:szCs w:val="24"/>
            </w:rPr>
            <w:t>, 2022). Nevertheless, the balance sheet shows that subordinated liabilities are also on the increase (£45.2bn), and this could pose a higher gearing risk unless it is handled in a prudent manner. Researchers underline that a capital buffer and liquidity adequacy are essential in maintaining confidence in turbulent markets (</w:t>
          </w:r>
          <w:proofErr w:type="spellStart"/>
          <w:r w:rsidRPr="00980627">
            <w:rPr>
              <w:rFonts w:ascii="Times New Roman" w:hAnsi="Times New Roman" w:cs="Times New Roman"/>
              <w:sz w:val="24"/>
              <w:szCs w:val="24"/>
            </w:rPr>
            <w:t>Sonuga</w:t>
          </w:r>
          <w:proofErr w:type="spellEnd"/>
          <w:r w:rsidRPr="00980627">
            <w:rPr>
              <w:rFonts w:ascii="Times New Roman" w:hAnsi="Times New Roman" w:cs="Times New Roman"/>
              <w:sz w:val="24"/>
              <w:szCs w:val="24"/>
            </w:rPr>
            <w:t>, 2026).</w:t>
          </w:r>
        </w:p>
        <w:p w14:paraId="2BF45ED8" w14:textId="77777777" w:rsidR="00751460" w:rsidRPr="00980627" w:rsidRDefault="00751460" w:rsidP="00751460">
          <w:pPr>
            <w:spacing w:after="0" w:line="360" w:lineRule="auto"/>
            <w:ind w:firstLine="720"/>
            <w:rPr>
              <w:rFonts w:ascii="Times New Roman" w:hAnsi="Times New Roman" w:cs="Times New Roman"/>
              <w:sz w:val="24"/>
              <w:szCs w:val="24"/>
            </w:rPr>
          </w:pPr>
          <w:r w:rsidRPr="00980627">
            <w:rPr>
              <w:rFonts w:ascii="Times New Roman" w:hAnsi="Times New Roman" w:cs="Times New Roman"/>
              <w:sz w:val="24"/>
              <w:szCs w:val="24"/>
            </w:rPr>
            <w:t xml:space="preserve">The cash flow statements indicate that there is a high operating cash generation, and net cash of operating activities is projected to increase to £28.1bn in 2025, as compared to £14.2bn in 2024. Cash flow investment also became better due to the proceeds of debt securities and fair value assets, and financing cash flows were due to the dividend payments and redemption of subordinated debt (Mohale, 2025). This liquidity capability was flexible to absorb the regulatory expenses and facilitate shareholder distribution. These results were influenced by the macroeconomic environment of unremitting inflation, high interest rates, </w:t>
          </w:r>
          <w:r w:rsidRPr="00980627">
            <w:rPr>
              <w:rFonts w:ascii="Times New Roman" w:hAnsi="Times New Roman" w:cs="Times New Roman"/>
              <w:sz w:val="24"/>
              <w:szCs w:val="24"/>
            </w:rPr>
            <w:lastRenderedPageBreak/>
            <w:t>and regulatory stress, in line with the evidence that the cash flow resilience of banks is crucial to survive systemic shocks (</w:t>
          </w:r>
          <w:proofErr w:type="spellStart"/>
          <w:r w:rsidRPr="00980627">
            <w:rPr>
              <w:rFonts w:ascii="Times New Roman" w:hAnsi="Times New Roman" w:cs="Times New Roman"/>
              <w:sz w:val="24"/>
              <w:szCs w:val="24"/>
            </w:rPr>
            <w:t>Ivașcenco</w:t>
          </w:r>
          <w:proofErr w:type="spellEnd"/>
          <w:r w:rsidRPr="00980627">
            <w:rPr>
              <w:rFonts w:ascii="Times New Roman" w:hAnsi="Times New Roman" w:cs="Times New Roman"/>
              <w:sz w:val="24"/>
              <w:szCs w:val="24"/>
            </w:rPr>
            <w:t>, 2025). In general, the financial statements of Barclays are stable and flexible, but the increasing costs and gearing should be critically followed.</w:t>
          </w:r>
        </w:p>
        <w:p w14:paraId="58E747C1" w14:textId="77777777" w:rsidR="00751460" w:rsidRPr="00980627" w:rsidRDefault="00751460" w:rsidP="00751460">
          <w:pPr>
            <w:pStyle w:val="Heading3"/>
            <w:rPr>
              <w:rFonts w:ascii="Times New Roman" w:hAnsi="Times New Roman" w:cs="Times New Roman"/>
              <w:b/>
              <w:bCs/>
              <w:color w:val="auto"/>
            </w:rPr>
          </w:pPr>
          <w:bookmarkStart w:id="5" w:name="_Toc227613569"/>
          <w:r w:rsidRPr="00980627">
            <w:rPr>
              <w:rFonts w:ascii="Times New Roman" w:hAnsi="Times New Roman" w:cs="Times New Roman"/>
              <w:b/>
              <w:bCs/>
              <w:color w:val="auto"/>
            </w:rPr>
            <w:t>2.1.2 Ratio Results &amp; Analysis</w:t>
          </w:r>
          <w:bookmarkEnd w:id="5"/>
        </w:p>
        <w:p w14:paraId="3BB8954C" w14:textId="77777777" w:rsidR="00751460" w:rsidRPr="00980627" w:rsidRDefault="00751460" w:rsidP="00751460">
          <w:pPr>
            <w:spacing w:after="0" w:line="360" w:lineRule="auto"/>
            <w:rPr>
              <w:rFonts w:ascii="Times New Roman" w:hAnsi="Times New Roman" w:cs="Times New Roman"/>
              <w:i/>
              <w:iCs/>
              <w:sz w:val="24"/>
              <w:szCs w:val="24"/>
            </w:rPr>
          </w:pPr>
          <w:r w:rsidRPr="00980627">
            <w:rPr>
              <w:rFonts w:ascii="Times New Roman" w:hAnsi="Times New Roman" w:cs="Times New Roman"/>
              <w:b/>
              <w:bCs/>
              <w:i/>
              <w:iCs/>
              <w:sz w:val="24"/>
              <w:szCs w:val="24"/>
            </w:rPr>
            <w:t>Profitability Ratios</w:t>
          </w:r>
        </w:p>
        <w:p w14:paraId="33446AD0" w14:textId="77777777" w:rsidR="00751460" w:rsidRPr="00980627" w:rsidRDefault="00751460" w:rsidP="00751460">
          <w:pPr>
            <w:spacing w:after="0" w:line="360" w:lineRule="auto"/>
            <w:rPr>
              <w:rFonts w:ascii="Times New Roman" w:hAnsi="Times New Roman" w:cs="Times New Roman"/>
              <w:sz w:val="24"/>
              <w:szCs w:val="24"/>
            </w:rPr>
          </w:pPr>
          <w:r w:rsidRPr="00980627">
            <w:rPr>
              <w:rFonts w:ascii="Times New Roman" w:hAnsi="Times New Roman" w:cs="Times New Roman"/>
              <w:sz w:val="24"/>
              <w:szCs w:val="24"/>
            </w:rPr>
            <w:t>The profitability ratios of Barclays in 2024 and 2025 show a slight increase but are majorly influenced by the interest rate environment.</w:t>
          </w:r>
        </w:p>
        <w:p w14:paraId="62C27E1C" w14:textId="77777777" w:rsidR="00751460" w:rsidRPr="00980627" w:rsidRDefault="00751460" w:rsidP="00751460">
          <w:pPr>
            <w:pStyle w:val="ListParagraph"/>
            <w:numPr>
              <w:ilvl w:val="0"/>
              <w:numId w:val="1"/>
            </w:numPr>
            <w:spacing w:after="0" w:line="360" w:lineRule="auto"/>
            <w:rPr>
              <w:rFonts w:ascii="Times New Roman" w:hAnsi="Times New Roman" w:cs="Times New Roman"/>
              <w:sz w:val="24"/>
              <w:szCs w:val="24"/>
            </w:rPr>
          </w:pPr>
          <w:r w:rsidRPr="00980627">
            <w:rPr>
              <w:rFonts w:ascii="Times New Roman" w:hAnsi="Times New Roman" w:cs="Times New Roman"/>
              <w:sz w:val="24"/>
              <w:szCs w:val="24"/>
            </w:rPr>
            <w:t>Net interest income increased to 7.3 billion by the end of 2025, up by 6.7 billion at the end of 2024, as a result of better margins as the global interest rates stood at higher rates. This was translated into a higher net interest margin that agrees with results that earnings of banks are very sensitive to cycle rates (Segev et al., 2022).</w:t>
          </w:r>
        </w:p>
        <w:p w14:paraId="5A6CDC20" w14:textId="77777777" w:rsidR="00751460" w:rsidRPr="00980627" w:rsidRDefault="00751460" w:rsidP="00751460">
          <w:pPr>
            <w:pStyle w:val="ListParagraph"/>
            <w:numPr>
              <w:ilvl w:val="0"/>
              <w:numId w:val="1"/>
            </w:numPr>
            <w:spacing w:after="0" w:line="360" w:lineRule="auto"/>
            <w:rPr>
              <w:rFonts w:ascii="Times New Roman" w:hAnsi="Times New Roman" w:cs="Times New Roman"/>
              <w:sz w:val="24"/>
              <w:szCs w:val="24"/>
            </w:rPr>
          </w:pPr>
          <w:r w:rsidRPr="00980627">
            <w:rPr>
              <w:rFonts w:ascii="Times New Roman" w:hAnsi="Times New Roman" w:cs="Times New Roman"/>
              <w:sz w:val="24"/>
              <w:szCs w:val="24"/>
            </w:rPr>
            <w:t xml:space="preserve">The </w:t>
          </w:r>
          <w:r w:rsidRPr="00980627">
            <w:rPr>
              <w:rFonts w:ascii="Times New Roman" w:hAnsi="Times New Roman" w:cs="Times New Roman"/>
              <w:b/>
              <w:bCs/>
              <w:sz w:val="24"/>
              <w:szCs w:val="24"/>
            </w:rPr>
            <w:t>returns on equity (ROE)</w:t>
          </w:r>
          <w:r w:rsidRPr="00980627">
            <w:rPr>
              <w:rFonts w:ascii="Times New Roman" w:hAnsi="Times New Roman" w:cs="Times New Roman"/>
              <w:sz w:val="24"/>
              <w:szCs w:val="24"/>
            </w:rPr>
            <w:t xml:space="preserve"> also increased from 5.0 to 6.2, which is an indicator of better returns to the shareholders, albeit below the double-digit markers of more profitable companies like the HSBC (Maina, 2023).</w:t>
          </w:r>
        </w:p>
        <w:p w14:paraId="1D459D4E" w14:textId="77777777" w:rsidR="00751460" w:rsidRPr="00980627" w:rsidRDefault="00751460" w:rsidP="00751460">
          <w:pPr>
            <w:pStyle w:val="ListParagraph"/>
            <w:numPr>
              <w:ilvl w:val="0"/>
              <w:numId w:val="1"/>
            </w:numPr>
            <w:spacing w:after="0" w:line="360" w:lineRule="auto"/>
            <w:rPr>
              <w:rFonts w:ascii="Times New Roman" w:hAnsi="Times New Roman" w:cs="Times New Roman"/>
              <w:sz w:val="24"/>
              <w:szCs w:val="24"/>
            </w:rPr>
          </w:pPr>
          <w:r w:rsidRPr="00980627">
            <w:rPr>
              <w:rFonts w:ascii="Times New Roman" w:hAnsi="Times New Roman" w:cs="Times New Roman"/>
              <w:sz w:val="24"/>
              <w:szCs w:val="24"/>
            </w:rPr>
            <w:t xml:space="preserve">The </w:t>
          </w:r>
          <w:r w:rsidRPr="00980627">
            <w:rPr>
              <w:rFonts w:ascii="Times New Roman" w:hAnsi="Times New Roman" w:cs="Times New Roman"/>
              <w:b/>
              <w:bCs/>
              <w:sz w:val="24"/>
              <w:szCs w:val="24"/>
            </w:rPr>
            <w:t>ROC</w:t>
          </w:r>
          <w:r w:rsidRPr="00980627">
            <w:rPr>
              <w:rFonts w:ascii="Times New Roman" w:hAnsi="Times New Roman" w:cs="Times New Roman"/>
              <w:sz w:val="24"/>
              <w:szCs w:val="24"/>
            </w:rPr>
            <w:t xml:space="preserve"> employed turned a little higher to 5.5%, and this indicates that there was some incremental efficiency improvement.</w:t>
          </w:r>
        </w:p>
        <w:p w14:paraId="7ECD5A4C" w14:textId="77777777" w:rsidR="009F6C63" w:rsidRDefault="009F6C63" w:rsidP="009F6C63">
          <w:pPr>
            <w:pStyle w:val="NormalWeb"/>
            <w:spacing w:before="0" w:beforeAutospacing="0" w:after="0" w:afterAutospacing="0" w:line="360" w:lineRule="auto"/>
            <w:ind w:left="357" w:firstLine="720"/>
          </w:pPr>
          <w:r>
            <w:t>The capital requirement under regulations makes profitability restrained, decreasing leverage and declining returns (Gaur and Jain, 2026). In addition, ratios are retroactive and do not make qualitative drivers like digital transformation or ESG commitments, which are becoming more and more key to long-term profitability (Jahanbakhsh, 2025). Tran and Nguyen (2023) argue that the profitability ratios are not applicable to elucidate the sustainability of earnings alone since they do not consider reputational risks and strategic repositioning. The profitability of Barclays got better, but it is not high and can be easily impacted by external shocks (Appendix 8).</w:t>
          </w:r>
        </w:p>
        <w:p w14:paraId="270E08DA" w14:textId="77777777" w:rsidR="009F6C63" w:rsidRPr="009F6C63" w:rsidRDefault="009F6C63" w:rsidP="009F6C63">
          <w:pPr>
            <w:pStyle w:val="NormalWeb"/>
            <w:ind w:left="360"/>
            <w:rPr>
              <w:b/>
              <w:bCs/>
              <w:i/>
              <w:iCs/>
            </w:rPr>
          </w:pPr>
          <w:r w:rsidRPr="009F6C63">
            <w:rPr>
              <w:b/>
              <w:bCs/>
              <w:i/>
              <w:iCs/>
            </w:rPr>
            <w:t>Liquidity Ratios</w:t>
          </w:r>
        </w:p>
        <w:p w14:paraId="607654C2" w14:textId="77777777" w:rsidR="009F6C63" w:rsidRDefault="009F6C63" w:rsidP="009F6C63">
          <w:pPr>
            <w:pStyle w:val="NormalWeb"/>
            <w:spacing w:before="0" w:beforeAutospacing="0" w:after="0" w:afterAutospacing="0" w:line="360" w:lineRule="auto"/>
            <w:ind w:firstLine="720"/>
          </w:pPr>
          <w:r>
            <w:t>Liquidity ratios indicate that Barclays is very conservative in the way it funds. The loan-to-deposit ratio declined a bit to 43.7% in 2025 compared to 44.4% in 2024, depicting subdued lending in comparison to deposits. This is a conservative position in line with the literature that highlights liquidity buffers as the most important in the stability of the systems (Izumi and Li, 2025). The current ratio, a ratio of balances of cash to short-term liabilities, was extremely high, as were the good liquidity reserves. Barclays also made sure that its liquidity coverage ratio was beyond 100, which was within the stipulations of the Basel III (Obadire, Moyo and Munzhelele, 2022).</w:t>
          </w:r>
        </w:p>
        <w:p w14:paraId="369E6DD8" w14:textId="1715B51F" w:rsidR="009F6C63" w:rsidRDefault="009F6C63" w:rsidP="009F6C63">
          <w:pPr>
            <w:pStyle w:val="NormalWeb"/>
            <w:spacing w:before="0" w:beforeAutospacing="0" w:after="0" w:afterAutospacing="0" w:line="360" w:lineRule="auto"/>
            <w:ind w:firstLine="720"/>
          </w:pPr>
          <w:r>
            <w:lastRenderedPageBreak/>
            <w:t>High liquidity causes an entity to be more stable but less profitable. Excess reserves have a low yield, resulting in a safety-efficiency trade-off (Hu et al., 2024). Additionally, liquidity ratios cover up qualitative risks such as reliance on the wholesale funding market that is bound to dry during a crisis (Mohamed Buallay et al., 2021). The liquidity position of Barclays is thus good but may restrict the possibility of making profits since there is prudent tension and profitability tension.</w:t>
          </w:r>
        </w:p>
        <w:p w14:paraId="76E8C95D" w14:textId="77777777" w:rsidR="009F6C63" w:rsidRPr="009F6C63" w:rsidRDefault="009F6C63" w:rsidP="009F6C63">
          <w:pPr>
            <w:pStyle w:val="NormalWeb"/>
            <w:rPr>
              <w:b/>
              <w:bCs/>
              <w:i/>
              <w:iCs/>
            </w:rPr>
          </w:pPr>
          <w:r w:rsidRPr="009F6C63">
            <w:rPr>
              <w:b/>
              <w:bCs/>
              <w:i/>
              <w:iCs/>
            </w:rPr>
            <w:t>Gearing and Capital Structure Ratios.</w:t>
          </w:r>
        </w:p>
        <w:p w14:paraId="4A662725" w14:textId="77777777" w:rsidR="009F6C63" w:rsidRDefault="009F6C63" w:rsidP="009F6C63">
          <w:pPr>
            <w:pStyle w:val="NormalWeb"/>
            <w:spacing w:line="360" w:lineRule="auto"/>
            <w:ind w:firstLine="720"/>
          </w:pPr>
          <w:r>
            <w:t>Gearing ratios of Barclays indicate that it has high leverage, as it is a global bank. It showed a minimal deleveraging with a decrease in the debt-to-equity ratio between 19.6 in 2024 and 19.0 in 2025 (Appendix 8). Compliance with regulations was noted, as the Tier 1 capital ratio rose by 13.8 to 14.2, which is much higher than the minimum requirements of Basel III. But there was a weak interest coverage, which increased only a bit (from 0.33 to 0.48), which means that operating profits are just enough to finance costs.</w:t>
          </w:r>
        </w:p>
        <w:p w14:paraId="044450D2" w14:textId="06321542" w:rsidR="00751460" w:rsidRDefault="00751460" w:rsidP="009F6C63">
          <w:pPr>
            <w:pStyle w:val="NormalWeb"/>
            <w:spacing w:line="360" w:lineRule="auto"/>
            <w:ind w:firstLine="720"/>
          </w:pPr>
          <w:r w:rsidRPr="00346EF5">
            <w:t>Barclays would be exposed to volatility due to high leverage, although its regulatory capital ratios might be good. The academics warn that the regulation could be used to hide the underlying risk appetite because the banks could fulfil capital requirements and still do risky business (Allen et al., 2011). Poor interest coverage reflects fragility to increasing debt levels in an atmosphere of ongoing inflation. Additionally, ratios do not reflect the contingent liabilities like litigation risks, which may have a significant impact on solvency (Hu et al., 2024). Therefore, on the one hand, the capital structure of Barclays is in line with the regulatory requirements; on the other hand, it depends on debt as a structural weakness.</w:t>
          </w:r>
        </w:p>
        <w:p w14:paraId="032CC783" w14:textId="77777777" w:rsidR="00751460" w:rsidRDefault="00751460" w:rsidP="00751460"/>
        <w:p w14:paraId="67EEA289" w14:textId="77777777" w:rsidR="00751460" w:rsidRPr="00414B46" w:rsidRDefault="00751460" w:rsidP="00751460">
          <w:pPr>
            <w:rPr>
              <w:rFonts w:ascii="Times New Roman" w:hAnsi="Times New Roman" w:cs="Times New Roman"/>
              <w:b/>
              <w:bCs/>
              <w:i/>
              <w:iCs/>
              <w:sz w:val="24"/>
              <w:szCs w:val="24"/>
            </w:rPr>
          </w:pPr>
          <w:r w:rsidRPr="00414B46">
            <w:rPr>
              <w:rFonts w:ascii="Times New Roman" w:hAnsi="Times New Roman" w:cs="Times New Roman"/>
              <w:b/>
              <w:bCs/>
              <w:i/>
              <w:iCs/>
              <w:sz w:val="24"/>
              <w:szCs w:val="24"/>
            </w:rPr>
            <w:t>Efficiency Ratios</w:t>
          </w:r>
        </w:p>
        <w:p w14:paraId="48DE5995" w14:textId="47DC98E0" w:rsidR="00751460" w:rsidRPr="002C60F9" w:rsidRDefault="00751460" w:rsidP="00751460">
          <w:pPr>
            <w:spacing w:after="0" w:line="360" w:lineRule="auto"/>
            <w:ind w:firstLine="720"/>
            <w:rPr>
              <w:rFonts w:ascii="Times New Roman" w:hAnsi="Times New Roman" w:cs="Times New Roman"/>
              <w:sz w:val="24"/>
              <w:szCs w:val="24"/>
            </w:rPr>
          </w:pPr>
          <w:r w:rsidRPr="002C60F9">
            <w:rPr>
              <w:rFonts w:ascii="Times New Roman" w:hAnsi="Times New Roman" w:cs="Times New Roman"/>
              <w:sz w:val="24"/>
              <w:szCs w:val="24"/>
            </w:rPr>
            <w:t>There is a slight improvement in efficiency ratios. In 2025, the cost-to-income ratio was at 62.6 per cent compared to 66.6 per cent in 2024, which is a sign of improved cost control compared to income. This is an indicator of restructuring and digitalisation, which is in line with the fact that adoption of technology can boost the efficiency of banking (Bueno et al., 2024). The asset turnover increased by a little bit, as it was 1.6 per cent to 1.7 per cent, indicating more revenue generation from assets. The personnel expenses were kept within check as staff costs were kept at an average of 43 per cent of the operating expenses</w:t>
          </w:r>
          <w:r w:rsidR="00B37AF3">
            <w:rPr>
              <w:rFonts w:ascii="Times New Roman" w:hAnsi="Times New Roman" w:cs="Times New Roman"/>
              <w:sz w:val="24"/>
              <w:szCs w:val="24"/>
            </w:rPr>
            <w:t xml:space="preserve"> (Appendix 8)</w:t>
          </w:r>
          <w:r w:rsidRPr="002C60F9">
            <w:rPr>
              <w:rFonts w:ascii="Times New Roman" w:hAnsi="Times New Roman" w:cs="Times New Roman"/>
              <w:sz w:val="24"/>
              <w:szCs w:val="24"/>
            </w:rPr>
            <w:t>.</w:t>
          </w:r>
        </w:p>
        <w:p w14:paraId="151F849F" w14:textId="77777777" w:rsidR="00751460" w:rsidRDefault="00751460" w:rsidP="00751460">
          <w:pPr>
            <w:spacing w:after="0" w:line="360" w:lineRule="auto"/>
            <w:ind w:firstLine="720"/>
            <w:rPr>
              <w:rFonts w:ascii="Times New Roman" w:hAnsi="Times New Roman" w:cs="Times New Roman"/>
              <w:sz w:val="24"/>
              <w:szCs w:val="24"/>
            </w:rPr>
          </w:pPr>
          <w:r w:rsidRPr="002C60F9">
            <w:rPr>
              <w:rFonts w:ascii="Times New Roman" w:hAnsi="Times New Roman" w:cs="Times New Roman"/>
              <w:sz w:val="24"/>
              <w:szCs w:val="24"/>
            </w:rPr>
            <w:lastRenderedPageBreak/>
            <w:t>Barclays has low asset turnover as it has been unable to generate revenue through its huge asset base. Researchers say that the efficiency ratios do not usually reflect qualitative factors like customer satisfaction or digital adoption rates, which are essential to long-term competitiveness (Sakyi et al., 2022). In addition, the cost savings made as a result of restructuring might not be sustainable when they compromise the quality of services. So, the efficiency increased, but further structural changes are necessary to gain productivity.</w:t>
          </w:r>
        </w:p>
        <w:p w14:paraId="46EFC513" w14:textId="77777777" w:rsidR="00751460" w:rsidRPr="00414B46" w:rsidRDefault="00751460" w:rsidP="00751460">
          <w:pPr>
            <w:rPr>
              <w:rFonts w:ascii="Times New Roman" w:hAnsi="Times New Roman" w:cs="Times New Roman"/>
              <w:b/>
              <w:bCs/>
              <w:i/>
              <w:iCs/>
              <w:sz w:val="24"/>
              <w:szCs w:val="24"/>
            </w:rPr>
          </w:pPr>
          <w:r w:rsidRPr="00414B46">
            <w:rPr>
              <w:rFonts w:ascii="Times New Roman" w:hAnsi="Times New Roman" w:cs="Times New Roman"/>
              <w:b/>
              <w:bCs/>
              <w:i/>
              <w:iCs/>
              <w:sz w:val="24"/>
              <w:szCs w:val="24"/>
            </w:rPr>
            <w:t>Investor Ratios</w:t>
          </w:r>
        </w:p>
        <w:p w14:paraId="7768379A" w14:textId="0331E848" w:rsidR="00751460" w:rsidRPr="002C60F9" w:rsidRDefault="00751460" w:rsidP="00751460">
          <w:pPr>
            <w:spacing w:after="0" w:line="360" w:lineRule="auto"/>
            <w:ind w:firstLine="720"/>
            <w:rPr>
              <w:rFonts w:ascii="Times New Roman" w:hAnsi="Times New Roman" w:cs="Times New Roman"/>
              <w:sz w:val="24"/>
              <w:szCs w:val="24"/>
            </w:rPr>
          </w:pPr>
          <w:r w:rsidRPr="002C60F9">
            <w:rPr>
              <w:rFonts w:ascii="Times New Roman" w:hAnsi="Times New Roman" w:cs="Times New Roman"/>
              <w:sz w:val="24"/>
              <w:szCs w:val="24"/>
            </w:rPr>
            <w:t>The investor ratios reflect a wary market attitude. Profits increased with higher earnings per share of £0.48 in 2025 as compared to 2024 when it was 0.37. The dividend payout was relatively low at 1.4 per cent, and it was not appealing to income-orientated investors. The price-to-earnings ratio dropped to 13.5x as opposed to 16.2x, and this is an indication that the market is not convinced of the growth potential of Barclays, although its earnings have improved</w:t>
          </w:r>
          <w:r w:rsidR="008D6CAE">
            <w:rPr>
              <w:rFonts w:ascii="Times New Roman" w:hAnsi="Times New Roman" w:cs="Times New Roman"/>
              <w:sz w:val="24"/>
              <w:szCs w:val="24"/>
            </w:rPr>
            <w:t xml:space="preserve"> (Appendix 8)</w:t>
          </w:r>
          <w:r w:rsidRPr="002C60F9">
            <w:rPr>
              <w:rFonts w:ascii="Times New Roman" w:hAnsi="Times New Roman" w:cs="Times New Roman"/>
              <w:sz w:val="24"/>
              <w:szCs w:val="24"/>
            </w:rPr>
            <w:t>.</w:t>
          </w:r>
        </w:p>
        <w:p w14:paraId="7429F6A5" w14:textId="2CA8B12E" w:rsidR="00751460" w:rsidRDefault="00751460" w:rsidP="00751460">
          <w:pPr>
            <w:spacing w:after="0" w:line="360" w:lineRule="auto"/>
            <w:ind w:firstLine="720"/>
            <w:rPr>
              <w:rFonts w:ascii="Times New Roman" w:hAnsi="Times New Roman" w:cs="Times New Roman"/>
              <w:sz w:val="24"/>
              <w:szCs w:val="24"/>
            </w:rPr>
          </w:pPr>
          <w:r w:rsidRPr="002C60F9">
            <w:rPr>
              <w:rFonts w:ascii="Times New Roman" w:hAnsi="Times New Roman" w:cs="Times New Roman"/>
              <w:sz w:val="24"/>
              <w:szCs w:val="24"/>
            </w:rPr>
            <w:t xml:space="preserve">Investor ratios tend to be extremely sensitive to market perceptions and cannot be indicative of intrinsic value (Sari, </w:t>
          </w:r>
          <w:proofErr w:type="spellStart"/>
          <w:r w:rsidRPr="002C60F9">
            <w:rPr>
              <w:rFonts w:ascii="Times New Roman" w:hAnsi="Times New Roman" w:cs="Times New Roman"/>
              <w:sz w:val="24"/>
              <w:szCs w:val="24"/>
            </w:rPr>
            <w:t>Kusnanto</w:t>
          </w:r>
          <w:proofErr w:type="spellEnd"/>
          <w:r w:rsidRPr="002C60F9">
            <w:rPr>
              <w:rFonts w:ascii="Times New Roman" w:hAnsi="Times New Roman" w:cs="Times New Roman"/>
              <w:sz w:val="24"/>
              <w:szCs w:val="24"/>
            </w:rPr>
            <w:t xml:space="preserve"> and </w:t>
          </w:r>
          <w:proofErr w:type="spellStart"/>
          <w:r w:rsidRPr="002C60F9">
            <w:rPr>
              <w:rFonts w:ascii="Times New Roman" w:hAnsi="Times New Roman" w:cs="Times New Roman"/>
              <w:sz w:val="24"/>
              <w:szCs w:val="24"/>
            </w:rPr>
            <w:t>Aswindo</w:t>
          </w:r>
          <w:proofErr w:type="spellEnd"/>
          <w:r w:rsidRPr="002C60F9">
            <w:rPr>
              <w:rFonts w:ascii="Times New Roman" w:hAnsi="Times New Roman" w:cs="Times New Roman"/>
              <w:sz w:val="24"/>
              <w:szCs w:val="24"/>
            </w:rPr>
            <w:t>, 2022). The decreasing P/E ratio is a sign of a cautious attitude, which is in line with the literature on the valuation gaps in the banking stocks (Sam, 2025). In addition, investor ratios do not reflect qualitative issues like ESG performance, legal risks, or reputational risks (Meng et al., 2023). Therefore, although the growth of the EPS indicates better profitability, investor confidence is still low, which shows that there is still a necessity to communicate more and be more strategic.</w:t>
          </w:r>
        </w:p>
        <w:p w14:paraId="3791F83A" w14:textId="77777777" w:rsidR="00751460" w:rsidRPr="00414B46" w:rsidRDefault="00751460" w:rsidP="00751460">
          <w:pPr>
            <w:pStyle w:val="Heading3"/>
            <w:rPr>
              <w:rFonts w:ascii="Times New Roman" w:hAnsi="Times New Roman" w:cs="Times New Roman"/>
              <w:b/>
              <w:bCs/>
              <w:color w:val="auto"/>
            </w:rPr>
          </w:pPr>
          <w:bookmarkStart w:id="6" w:name="_Toc227613570"/>
          <w:r w:rsidRPr="00414B46">
            <w:rPr>
              <w:rFonts w:ascii="Times New Roman" w:hAnsi="Times New Roman" w:cs="Times New Roman"/>
              <w:b/>
              <w:bCs/>
              <w:color w:val="auto"/>
            </w:rPr>
            <w:t>2.1.3 Critical Evaluation</w:t>
          </w:r>
          <w:bookmarkEnd w:id="6"/>
        </w:p>
        <w:p w14:paraId="75EC993E" w14:textId="77777777" w:rsidR="00751460" w:rsidRPr="00997011" w:rsidRDefault="00751460" w:rsidP="00751460">
          <w:pPr>
            <w:spacing w:after="0" w:line="360" w:lineRule="auto"/>
            <w:ind w:firstLine="720"/>
            <w:rPr>
              <w:rFonts w:ascii="Times New Roman" w:hAnsi="Times New Roman" w:cs="Times New Roman"/>
              <w:sz w:val="24"/>
              <w:szCs w:val="24"/>
            </w:rPr>
          </w:pPr>
          <w:r w:rsidRPr="00997011">
            <w:rPr>
              <w:rFonts w:ascii="Times New Roman" w:hAnsi="Times New Roman" w:cs="Times New Roman"/>
              <w:sz w:val="24"/>
              <w:szCs w:val="24"/>
            </w:rPr>
            <w:t>The restructuring, effects of the interest rates, and digital investments influenced the changes in the ratios of Barclays between 2024 and 2025. The programme of non-core asset disposal and cost discipline enhanced efficiency ratios, as well as the increase in interest rates, increased net interest margins (Allen et al., 2011). The cost to income ratio decreased due to the digitalisation effort (such as automation and online banking systems), which is also aligned with the results that technology improves the efficiency of operations (Bueno et al., 2024). Profitability gains, however, are relatively small and limited due to regulatory requirements of capital and competition in the global banking markets (Berger and Bouwman, 2010).</w:t>
          </w:r>
        </w:p>
        <w:p w14:paraId="10BFC701" w14:textId="77777777" w:rsidR="00751460" w:rsidRPr="00997011" w:rsidRDefault="00751460" w:rsidP="00751460">
          <w:pPr>
            <w:spacing w:after="0" w:line="360" w:lineRule="auto"/>
            <w:ind w:firstLine="720"/>
            <w:rPr>
              <w:rFonts w:ascii="Times New Roman" w:hAnsi="Times New Roman" w:cs="Times New Roman"/>
              <w:sz w:val="24"/>
              <w:szCs w:val="24"/>
            </w:rPr>
          </w:pPr>
          <w:r w:rsidRPr="00997011">
            <w:rPr>
              <w:rFonts w:ascii="Times New Roman" w:hAnsi="Times New Roman" w:cs="Times New Roman"/>
              <w:sz w:val="24"/>
              <w:szCs w:val="24"/>
            </w:rPr>
            <w:t xml:space="preserve">Barclays was also affected by the outside forces. Basel III regulatory adjustments enhanced capital adequacy and constrained leverage, both of which had an impact on ROE and ROCE (Saunders, 2022). Market volatility in the world, such as inflationary and geopolitical risks, affected the ratios of investors, and the falling P/E showed cautiousness </w:t>
          </w:r>
          <w:r w:rsidRPr="00997011">
            <w:rPr>
              <w:rFonts w:ascii="Times New Roman" w:hAnsi="Times New Roman" w:cs="Times New Roman"/>
              <w:sz w:val="24"/>
              <w:szCs w:val="24"/>
            </w:rPr>
            <w:lastRenderedPageBreak/>
            <w:t xml:space="preserve">(Ali, Umrani and Jadoon, 2025). Ratio analysis is a more limited approach on its own: it is a retroactive approach, prone to accounting choices, and does not reflect qualitative information like ESG commitments or reputational risks (Drury, 2020). Researchers stress that to make balanced, forward-looking financial decisions, directors need to combine quantitative ratios with qualitative assessment (Mateev, </w:t>
          </w:r>
          <w:proofErr w:type="spellStart"/>
          <w:r w:rsidRPr="00997011">
            <w:rPr>
              <w:rFonts w:ascii="Times New Roman" w:hAnsi="Times New Roman" w:cs="Times New Roman"/>
              <w:sz w:val="24"/>
              <w:szCs w:val="24"/>
            </w:rPr>
            <w:t>Sahyouni</w:t>
          </w:r>
          <w:proofErr w:type="spellEnd"/>
          <w:r w:rsidRPr="00997011">
            <w:rPr>
              <w:rFonts w:ascii="Times New Roman" w:hAnsi="Times New Roman" w:cs="Times New Roman"/>
              <w:sz w:val="24"/>
              <w:szCs w:val="24"/>
            </w:rPr>
            <w:t xml:space="preserve"> and Tariq, 2022).</w:t>
          </w:r>
        </w:p>
        <w:p w14:paraId="28421EFF" w14:textId="77777777" w:rsidR="00751460" w:rsidRPr="00414B46" w:rsidRDefault="00751460" w:rsidP="00751460">
          <w:pPr>
            <w:pStyle w:val="Heading3"/>
            <w:rPr>
              <w:rFonts w:ascii="Times New Roman" w:hAnsi="Times New Roman" w:cs="Times New Roman"/>
              <w:b/>
              <w:bCs/>
              <w:color w:val="auto"/>
            </w:rPr>
          </w:pPr>
          <w:bookmarkStart w:id="7" w:name="_Toc227613571"/>
          <w:r w:rsidRPr="00414B46">
            <w:rPr>
              <w:rFonts w:ascii="Times New Roman" w:hAnsi="Times New Roman" w:cs="Times New Roman"/>
              <w:b/>
              <w:bCs/>
              <w:color w:val="auto"/>
            </w:rPr>
            <w:t>2.1.4 Recommendations</w:t>
          </w:r>
          <w:bookmarkEnd w:id="7"/>
        </w:p>
        <w:p w14:paraId="61684421" w14:textId="77777777" w:rsidR="009F6C63" w:rsidRPr="009F6C63" w:rsidRDefault="009F6C63" w:rsidP="009F6C63">
          <w:pPr>
            <w:spacing w:after="0" w:line="360" w:lineRule="auto"/>
            <w:ind w:firstLine="720"/>
            <w:rPr>
              <w:rFonts w:ascii="Times New Roman" w:hAnsi="Times New Roman" w:cs="Times New Roman"/>
              <w:sz w:val="24"/>
              <w:szCs w:val="24"/>
            </w:rPr>
          </w:pPr>
          <w:r w:rsidRPr="009F6C63">
            <w:rPr>
              <w:rFonts w:ascii="Times New Roman" w:hAnsi="Times New Roman" w:cs="Times New Roman"/>
              <w:sz w:val="24"/>
              <w:szCs w:val="24"/>
            </w:rPr>
            <w:t>Barclays should strengthen its capital base by ensuring that its Tier 1 capital ratio are within a target of 13-15%. Such a balance offers stability to react to regulatory shocks and flexibility to expand. Literature underlines that an optimal level of capital adequacy increases stability without unduly restricting profitability (Allen et al., 2011). Having a clear capital policy will enable Barclays to convince the regulators and investors that it is managing its risks prudently whilst still having the ability to make strategic acquisitions.</w:t>
          </w:r>
        </w:p>
        <w:p w14:paraId="780A93E8" w14:textId="77777777" w:rsidR="009F6C63" w:rsidRPr="009F6C63" w:rsidRDefault="009F6C63" w:rsidP="009F6C63">
          <w:pPr>
            <w:spacing w:after="0" w:line="360" w:lineRule="auto"/>
            <w:ind w:firstLine="720"/>
            <w:rPr>
              <w:rFonts w:ascii="Times New Roman" w:hAnsi="Times New Roman" w:cs="Times New Roman"/>
              <w:sz w:val="24"/>
              <w:szCs w:val="24"/>
            </w:rPr>
          </w:pPr>
          <w:r w:rsidRPr="009F6C63">
            <w:rPr>
              <w:rFonts w:ascii="Times New Roman" w:hAnsi="Times New Roman" w:cs="Times New Roman"/>
              <w:sz w:val="24"/>
              <w:szCs w:val="24"/>
            </w:rPr>
            <w:t xml:space="preserve">Digitalisation in order to make it cost effective is also crucial. Cost to income ratio could be reduced by diversifying automation, artificial intelligence and integrated digital platforms, which are consistent with the evidence that training on technology can enhance the efficiency of operations (Uche </w:t>
          </w:r>
          <w:proofErr w:type="spellStart"/>
          <w:r w:rsidRPr="009F6C63">
            <w:rPr>
              <w:rFonts w:ascii="Times New Roman" w:hAnsi="Times New Roman" w:cs="Times New Roman"/>
              <w:sz w:val="24"/>
              <w:szCs w:val="24"/>
            </w:rPr>
            <w:t>Ojika</w:t>
          </w:r>
          <w:proofErr w:type="spellEnd"/>
          <w:r w:rsidRPr="009F6C63">
            <w:rPr>
              <w:rFonts w:ascii="Times New Roman" w:hAnsi="Times New Roman" w:cs="Times New Roman"/>
              <w:sz w:val="24"/>
              <w:szCs w:val="24"/>
            </w:rPr>
            <w:t xml:space="preserve"> et al., 2024). Barclays should accelerate its move to cloud infrastructure and customer-based digital channels to achieve a sustainable productivity impact.</w:t>
          </w:r>
        </w:p>
        <w:p w14:paraId="48D91707" w14:textId="77777777" w:rsidR="009F6C63" w:rsidRPr="009F6C63" w:rsidRDefault="009F6C63" w:rsidP="009F6C63">
          <w:pPr>
            <w:spacing w:after="0" w:line="360" w:lineRule="auto"/>
            <w:ind w:firstLine="720"/>
            <w:rPr>
              <w:rFonts w:ascii="Times New Roman" w:hAnsi="Times New Roman" w:cs="Times New Roman"/>
              <w:sz w:val="24"/>
              <w:szCs w:val="24"/>
            </w:rPr>
          </w:pPr>
          <w:r w:rsidRPr="009F6C63">
            <w:rPr>
              <w:rFonts w:ascii="Times New Roman" w:hAnsi="Times New Roman" w:cs="Times New Roman"/>
              <w:sz w:val="24"/>
              <w:szCs w:val="24"/>
            </w:rPr>
            <w:t>The communication with investors should be improved as well. Transparency in reporting on ESG programmes, the results of digital transformation, and long-term growth strategies will contribute to bridging the gap in valuation and building trust (Sun et al., 2025). It is necessary to express better how strategic investments can be converted into shareholder value.</w:t>
          </w:r>
        </w:p>
        <w:p w14:paraId="479F9158" w14:textId="4B55492D" w:rsidR="00751460" w:rsidRDefault="009F6C63" w:rsidP="009F6C63">
          <w:pPr>
            <w:spacing w:after="0" w:line="360" w:lineRule="auto"/>
            <w:ind w:firstLine="720"/>
            <w:rPr>
              <w:b/>
              <w:bCs/>
            </w:rPr>
          </w:pPr>
          <w:r w:rsidRPr="009F6C63">
            <w:rPr>
              <w:rFonts w:ascii="Times New Roman" w:hAnsi="Times New Roman" w:cs="Times New Roman"/>
              <w:sz w:val="24"/>
              <w:szCs w:val="24"/>
            </w:rPr>
            <w:t xml:space="preserve">The lending growth and risk management should be balanced to optimise liquidity management. The conservative loan to deposit ratios </w:t>
          </w:r>
          <w:proofErr w:type="gramStart"/>
          <w:r w:rsidRPr="009F6C63">
            <w:rPr>
              <w:rFonts w:ascii="Times New Roman" w:hAnsi="Times New Roman" w:cs="Times New Roman"/>
              <w:sz w:val="24"/>
              <w:szCs w:val="24"/>
            </w:rPr>
            <w:t>provide</w:t>
          </w:r>
          <w:proofErr w:type="gramEnd"/>
          <w:r w:rsidRPr="009F6C63">
            <w:rPr>
              <w:rFonts w:ascii="Times New Roman" w:hAnsi="Times New Roman" w:cs="Times New Roman"/>
              <w:sz w:val="24"/>
              <w:szCs w:val="24"/>
            </w:rPr>
            <w:t xml:space="preserve"> stability, the returns in high growth areas can be improved with target lending. This two-fold strategy is in line with best practice in the balanced scorecard on resilience and profitability.</w:t>
          </w:r>
        </w:p>
        <w:p w14:paraId="4F97C532" w14:textId="77777777" w:rsidR="00751460" w:rsidRPr="00414B46" w:rsidRDefault="00751460" w:rsidP="00751460">
          <w:pPr>
            <w:pStyle w:val="Heading2"/>
            <w:rPr>
              <w:rFonts w:ascii="Times New Roman" w:hAnsi="Times New Roman" w:cs="Times New Roman"/>
              <w:b/>
              <w:bCs/>
              <w:color w:val="auto"/>
              <w:sz w:val="24"/>
              <w:szCs w:val="24"/>
            </w:rPr>
          </w:pPr>
          <w:bookmarkStart w:id="8" w:name="_Toc227613572"/>
          <w:r w:rsidRPr="00414B46">
            <w:rPr>
              <w:rFonts w:ascii="Times New Roman" w:hAnsi="Times New Roman" w:cs="Times New Roman"/>
              <w:b/>
              <w:bCs/>
              <w:color w:val="auto"/>
              <w:sz w:val="24"/>
              <w:szCs w:val="24"/>
            </w:rPr>
            <w:t>2.2 Part 2: Beard Plc Investment Appraisal</w:t>
          </w:r>
          <w:bookmarkEnd w:id="8"/>
        </w:p>
        <w:p w14:paraId="0C74DC0B" w14:textId="77777777" w:rsidR="00751460" w:rsidRPr="00414B46" w:rsidRDefault="00751460" w:rsidP="00751460">
          <w:pPr>
            <w:pStyle w:val="Heading3"/>
            <w:rPr>
              <w:rFonts w:ascii="Times New Roman" w:hAnsi="Times New Roman" w:cs="Times New Roman"/>
              <w:b/>
              <w:bCs/>
              <w:color w:val="auto"/>
            </w:rPr>
          </w:pPr>
          <w:bookmarkStart w:id="9" w:name="_Toc227613573"/>
          <w:r w:rsidRPr="00414B46">
            <w:rPr>
              <w:rFonts w:ascii="Times New Roman" w:hAnsi="Times New Roman" w:cs="Times New Roman"/>
              <w:b/>
              <w:bCs/>
              <w:color w:val="auto"/>
            </w:rPr>
            <w:t>2.2.1 NPV Evaluation</w:t>
          </w:r>
          <w:bookmarkEnd w:id="9"/>
        </w:p>
        <w:p w14:paraId="7A2A5368" w14:textId="77777777" w:rsidR="00751460" w:rsidRPr="00997011" w:rsidRDefault="00751460" w:rsidP="00751460">
          <w:pPr>
            <w:spacing w:after="0" w:line="360" w:lineRule="auto"/>
            <w:ind w:firstLine="720"/>
            <w:rPr>
              <w:rFonts w:ascii="Times New Roman" w:hAnsi="Times New Roman" w:cs="Times New Roman"/>
              <w:sz w:val="24"/>
              <w:szCs w:val="24"/>
            </w:rPr>
          </w:pPr>
          <w:r w:rsidRPr="00997011">
            <w:rPr>
              <w:rFonts w:ascii="Times New Roman" w:hAnsi="Times New Roman" w:cs="Times New Roman"/>
              <w:sz w:val="24"/>
              <w:szCs w:val="24"/>
            </w:rPr>
            <w:t xml:space="preserve">Net Present Value (NPV) is generally considered to be the most robust method of investment appraisal, as it takes into account the time value of money, risk, and cash flow magnitude (Chen, 2022). Discounted cash flow analysis was done using a 5% cost of capital, 25% corporation tax and 20% straight-line capital allowances on the three expansion options of Beard Plc. The calculations modify the pre-tax operating cash flows to be taxed and capital </w:t>
          </w:r>
          <w:r w:rsidRPr="00997011">
            <w:rPr>
              <w:rFonts w:ascii="Times New Roman" w:hAnsi="Times New Roman" w:cs="Times New Roman"/>
              <w:sz w:val="24"/>
              <w:szCs w:val="24"/>
            </w:rPr>
            <w:lastRenderedPageBreak/>
            <w:t>allowance to produce net cash flows, which are discounted to present values. This is a rigorous method that allows comparability across the projects and is consistent with the best practice in corporate finance (Liu, 2022).</w:t>
          </w:r>
        </w:p>
        <w:p w14:paraId="44CEAC93" w14:textId="77777777" w:rsidR="00751460" w:rsidRPr="00997011" w:rsidRDefault="00751460" w:rsidP="00751460">
          <w:pPr>
            <w:spacing w:after="0" w:line="360" w:lineRule="auto"/>
            <w:ind w:firstLine="720"/>
            <w:rPr>
              <w:rFonts w:ascii="Times New Roman" w:hAnsi="Times New Roman" w:cs="Times New Roman"/>
              <w:sz w:val="24"/>
              <w:szCs w:val="24"/>
            </w:rPr>
          </w:pPr>
          <w:r w:rsidRPr="00997011">
            <w:rPr>
              <w:rFonts w:ascii="Times New Roman" w:hAnsi="Times New Roman" w:cs="Times New Roman"/>
              <w:sz w:val="24"/>
              <w:szCs w:val="24"/>
            </w:rPr>
            <w:t>Retail outlet expansion (Option A) would have cost the company an initial capital of approximately 600,000 and yielded a cumulative NPV of around 103,116</w:t>
          </w:r>
          <w:r>
            <w:rPr>
              <w:rFonts w:ascii="Times New Roman" w:hAnsi="Times New Roman" w:cs="Times New Roman"/>
              <w:sz w:val="24"/>
              <w:szCs w:val="24"/>
            </w:rPr>
            <w:t xml:space="preserve"> (Appendix 4)</w:t>
          </w:r>
          <w:r w:rsidRPr="00997011">
            <w:rPr>
              <w:rFonts w:ascii="Times New Roman" w:hAnsi="Times New Roman" w:cs="Times New Roman"/>
              <w:sz w:val="24"/>
              <w:szCs w:val="24"/>
            </w:rPr>
            <w:t>. Although good, this performance indicates a low value creation to the amount of capital invested. Internet sales development (Option B) needed 900,000 and produced a greater NPV of 233,520</w:t>
          </w:r>
          <w:r>
            <w:rPr>
              <w:rFonts w:ascii="Times New Roman" w:hAnsi="Times New Roman" w:cs="Times New Roman"/>
              <w:sz w:val="24"/>
              <w:szCs w:val="24"/>
            </w:rPr>
            <w:t xml:space="preserve"> (Appendix 5)</w:t>
          </w:r>
          <w:r w:rsidRPr="00997011">
            <w:rPr>
              <w:rFonts w:ascii="Times New Roman" w:hAnsi="Times New Roman" w:cs="Times New Roman"/>
              <w:sz w:val="24"/>
              <w:szCs w:val="24"/>
            </w:rPr>
            <w:t>. This high performance indicates scalability and profitability of a digital channel, as it agrees with the industry data that the growth of e-commerce increases the margins and the reach of the customers (Gouveia and Mamede, 2022). Purse and wallet production (Option C) had a required cost of £1,000,000 and the best NPV of 268,524</w:t>
          </w:r>
          <w:r>
            <w:rPr>
              <w:rFonts w:ascii="Times New Roman" w:hAnsi="Times New Roman" w:cs="Times New Roman"/>
              <w:sz w:val="24"/>
              <w:szCs w:val="24"/>
            </w:rPr>
            <w:t xml:space="preserve"> (Appendix 6)</w:t>
          </w:r>
          <w:r w:rsidRPr="00997011">
            <w:rPr>
              <w:rFonts w:ascii="Times New Roman" w:hAnsi="Times New Roman" w:cs="Times New Roman"/>
              <w:sz w:val="24"/>
              <w:szCs w:val="24"/>
            </w:rPr>
            <w:t>. Capital-intensive but with the highest absolute shareholder value, the project demonstrated efficient returns scaling.</w:t>
          </w:r>
        </w:p>
        <w:p w14:paraId="47BF5D8A" w14:textId="77777777" w:rsidR="00751460" w:rsidRPr="00997011" w:rsidRDefault="00751460" w:rsidP="00751460">
          <w:pPr>
            <w:spacing w:after="0" w:line="360" w:lineRule="auto"/>
            <w:ind w:firstLine="720"/>
            <w:rPr>
              <w:rFonts w:ascii="Times New Roman" w:hAnsi="Times New Roman" w:cs="Times New Roman"/>
              <w:sz w:val="24"/>
              <w:szCs w:val="24"/>
            </w:rPr>
          </w:pPr>
          <w:r w:rsidRPr="00997011">
            <w:rPr>
              <w:rFonts w:ascii="Times New Roman" w:hAnsi="Times New Roman" w:cs="Times New Roman"/>
              <w:sz w:val="24"/>
              <w:szCs w:val="24"/>
            </w:rPr>
            <w:t>The project prioritisation based on the NPV would put Option C at the top, then B, and A third. Each of the three projects has a positive NPV, making them all financially viable; however, the principle of shareholder wealth maximisation says that the project with the best absolute NPV should be used (Martínez, 2025). Option C would then be the best option which has the best financial justification. Nevertheless, the profitability index of Option B is relatively high, which implies that it could still be interesting in the case of capital rationing, in which case scarce resources require prioritisation of projects that offer a high level of return per pound invested (Ridwan et al., 2025).</w:t>
          </w:r>
        </w:p>
        <w:p w14:paraId="137464AE" w14:textId="77777777" w:rsidR="00751460" w:rsidRPr="00997011" w:rsidRDefault="00751460" w:rsidP="00751460">
          <w:pPr>
            <w:spacing w:after="0" w:line="360" w:lineRule="auto"/>
            <w:ind w:firstLine="720"/>
            <w:rPr>
              <w:rFonts w:ascii="Times New Roman" w:hAnsi="Times New Roman" w:cs="Times New Roman"/>
              <w:sz w:val="24"/>
              <w:szCs w:val="24"/>
            </w:rPr>
          </w:pPr>
          <w:r w:rsidRPr="00997011">
            <w:rPr>
              <w:rFonts w:ascii="Times New Roman" w:hAnsi="Times New Roman" w:cs="Times New Roman"/>
              <w:sz w:val="24"/>
              <w:szCs w:val="24"/>
            </w:rPr>
            <w:t>As evidenced by the appraisal of Beard Plc, NPV is objective and can give clear guidance on investment decisions. Although each of the projects is able to add value, the shareholder wealth in the case of Option C is maximised, the efficiency in the case of Option B is high, and the returns in the case of Option A are modest. Directors are thus advised to focus on the C option but appreciate the strategic benefits of the B option as it advances the digital capabilities. This analysis emphasises the need to conduct stringent discounted cash flow analysis as part of optimising investment decisions in long-term value creation (Barnabas and Oloyede, 2025).</w:t>
          </w:r>
        </w:p>
        <w:p w14:paraId="7347301D" w14:textId="77777777" w:rsidR="00751460" w:rsidRPr="00414B46" w:rsidRDefault="00751460" w:rsidP="00751460">
          <w:pPr>
            <w:pStyle w:val="Heading3"/>
            <w:rPr>
              <w:rFonts w:ascii="Times New Roman" w:hAnsi="Times New Roman" w:cs="Times New Roman"/>
              <w:b/>
              <w:bCs/>
              <w:color w:val="auto"/>
            </w:rPr>
          </w:pPr>
          <w:bookmarkStart w:id="10" w:name="_Toc227613574"/>
          <w:r w:rsidRPr="00414B46">
            <w:rPr>
              <w:rFonts w:ascii="Times New Roman" w:hAnsi="Times New Roman" w:cs="Times New Roman"/>
              <w:b/>
              <w:bCs/>
              <w:color w:val="auto"/>
            </w:rPr>
            <w:t>2.2.2 IRR Calculation</w:t>
          </w:r>
          <w:bookmarkEnd w:id="10"/>
        </w:p>
        <w:p w14:paraId="0D0DBEA0" w14:textId="77777777" w:rsidR="00751460" w:rsidRPr="00997011" w:rsidRDefault="00751460" w:rsidP="00751460">
          <w:pPr>
            <w:spacing w:after="0" w:line="360" w:lineRule="auto"/>
            <w:ind w:firstLine="720"/>
            <w:rPr>
              <w:rFonts w:ascii="Times New Roman" w:hAnsi="Times New Roman" w:cs="Times New Roman"/>
              <w:sz w:val="24"/>
              <w:szCs w:val="24"/>
            </w:rPr>
          </w:pPr>
          <w:r w:rsidRPr="00997011">
            <w:rPr>
              <w:rFonts w:ascii="Times New Roman" w:hAnsi="Times New Roman" w:cs="Times New Roman"/>
              <w:sz w:val="24"/>
              <w:szCs w:val="24"/>
            </w:rPr>
            <w:t xml:space="preserve">The Internal Rate of Return (IRR) offers an additional view to Net Present Value by indicating the expected percentage return of the project. It is defined as the discount rate whereby the present value of the inflows of cash in the future should be equal to the initial investment, thus making NPV zero (Perna, 2024). In the case of Beard Plc, the post-tax cash </w:t>
          </w:r>
          <w:r w:rsidRPr="00997011">
            <w:rPr>
              <w:rFonts w:ascii="Times New Roman" w:hAnsi="Times New Roman" w:cs="Times New Roman"/>
              <w:sz w:val="24"/>
              <w:szCs w:val="24"/>
            </w:rPr>
            <w:lastRenderedPageBreak/>
            <w:t>flows adjusted to capital allowances were approximated by the use of iterative discounting of the IRR, as represented in the calculation tables. Option C involving the need to raise capital of £1,000,000 earned an IRR of about 15.3, which was compared to a cost of capital of the company at 5%.</w:t>
          </w:r>
        </w:p>
        <w:p w14:paraId="6356BDCA" w14:textId="77777777" w:rsidR="00751460" w:rsidRPr="00997011" w:rsidRDefault="00751460" w:rsidP="00751460">
          <w:pPr>
            <w:spacing w:after="0" w:line="360" w:lineRule="auto"/>
            <w:ind w:firstLine="720"/>
            <w:rPr>
              <w:rFonts w:ascii="Times New Roman" w:hAnsi="Times New Roman" w:cs="Times New Roman"/>
              <w:sz w:val="24"/>
              <w:szCs w:val="24"/>
            </w:rPr>
          </w:pPr>
          <w:r w:rsidRPr="00997011">
            <w:rPr>
              <w:rFonts w:ascii="Times New Roman" w:hAnsi="Times New Roman" w:cs="Times New Roman"/>
              <w:sz w:val="24"/>
              <w:szCs w:val="24"/>
            </w:rPr>
            <w:t xml:space="preserve">This is a high level of financial viability, as indicated by this margin of safety of more than 10 percentage points. The literature highlights that </w:t>
          </w:r>
          <w:proofErr w:type="gramStart"/>
          <w:r w:rsidRPr="00997011">
            <w:rPr>
              <w:rFonts w:ascii="Times New Roman" w:hAnsi="Times New Roman" w:cs="Times New Roman"/>
              <w:sz w:val="24"/>
              <w:szCs w:val="24"/>
            </w:rPr>
            <w:t>projects</w:t>
          </w:r>
          <w:proofErr w:type="gramEnd"/>
          <w:r w:rsidRPr="00997011">
            <w:rPr>
              <w:rFonts w:ascii="Times New Roman" w:hAnsi="Times New Roman" w:cs="Times New Roman"/>
              <w:sz w:val="24"/>
              <w:szCs w:val="24"/>
            </w:rPr>
            <w:t xml:space="preserve"> whose IRR is considerably higher than the hurdle rate do not only generate value but also resiliency against forecasting mistakes and an increase in cost of capital (Fan, 2025). The strength of the IRR of option C would imply that the project would still be profitable even in pessimistic situations like an increase in interest rates or an unforeseen cost inflation.</w:t>
          </w:r>
        </w:p>
        <w:p w14:paraId="11BBDB08" w14:textId="77777777" w:rsidR="00751460" w:rsidRPr="00997011" w:rsidRDefault="00751460" w:rsidP="00751460">
          <w:pPr>
            <w:spacing w:after="0" w:line="360" w:lineRule="auto"/>
            <w:ind w:firstLine="720"/>
            <w:rPr>
              <w:rFonts w:ascii="Times New Roman" w:hAnsi="Times New Roman" w:cs="Times New Roman"/>
              <w:sz w:val="24"/>
              <w:szCs w:val="24"/>
            </w:rPr>
          </w:pPr>
          <w:r w:rsidRPr="00997011">
            <w:rPr>
              <w:rFonts w:ascii="Times New Roman" w:hAnsi="Times New Roman" w:cs="Times New Roman"/>
              <w:sz w:val="24"/>
              <w:szCs w:val="24"/>
            </w:rPr>
            <w:t>Comparatively, options A and B also had positive IRRs, albeit with lower values compared to that of option C, indicating less scalability of cash flows. Although IRR is appealing because of its appealing percentage scale, researchers warn that it may be misleading when used to compare projects of varying sizes or cash flow patterns (Larsen, 2024). In the case of Beard Plc, though, the correspondence in the ranking of NPV and IRR supports the view that Option C is the best option.</w:t>
          </w:r>
        </w:p>
        <w:p w14:paraId="6ECE83EA" w14:textId="77777777" w:rsidR="00751460" w:rsidRPr="00997011" w:rsidRDefault="00751460" w:rsidP="00751460">
          <w:pPr>
            <w:spacing w:after="0" w:line="360" w:lineRule="auto"/>
            <w:ind w:firstLine="720"/>
            <w:rPr>
              <w:rFonts w:ascii="Times New Roman" w:hAnsi="Times New Roman" w:cs="Times New Roman"/>
              <w:sz w:val="24"/>
              <w:szCs w:val="24"/>
            </w:rPr>
          </w:pPr>
          <w:r w:rsidRPr="00997011">
            <w:rPr>
              <w:rFonts w:ascii="Times New Roman" w:hAnsi="Times New Roman" w:cs="Times New Roman"/>
              <w:sz w:val="24"/>
              <w:szCs w:val="24"/>
            </w:rPr>
            <w:t>The IRR analysis also establishes that the projected return of option C is significantly higher than the 5% cost of capital, providing an acceptable level of protection and great reason to invest. This observation is a supplement to the NPV analysis, highlighting the capacity of the project in maximising shareholder wealth without needing to become fragile in different financial environments.</w:t>
          </w:r>
        </w:p>
        <w:p w14:paraId="03A7A930" w14:textId="77777777" w:rsidR="00751460" w:rsidRPr="00414B46" w:rsidRDefault="00751460" w:rsidP="00751460">
          <w:pPr>
            <w:pStyle w:val="Heading3"/>
            <w:rPr>
              <w:rFonts w:ascii="Times New Roman" w:hAnsi="Times New Roman" w:cs="Times New Roman"/>
              <w:b/>
              <w:bCs/>
              <w:color w:val="auto"/>
            </w:rPr>
          </w:pPr>
          <w:bookmarkStart w:id="11" w:name="_Toc227613575"/>
          <w:r w:rsidRPr="00414B46">
            <w:rPr>
              <w:rFonts w:ascii="Times New Roman" w:hAnsi="Times New Roman" w:cs="Times New Roman"/>
              <w:b/>
              <w:bCs/>
              <w:color w:val="auto"/>
            </w:rPr>
            <w:t>2.2.3 Theoretical Discussion</w:t>
          </w:r>
          <w:bookmarkEnd w:id="11"/>
        </w:p>
        <w:p w14:paraId="52124F9B" w14:textId="77777777" w:rsidR="00751460" w:rsidRDefault="00751460" w:rsidP="00751460">
          <w:pPr>
            <w:spacing w:after="0" w:line="360" w:lineRule="auto"/>
            <w:ind w:firstLine="720"/>
            <w:rPr>
              <w:rFonts w:ascii="Times New Roman" w:hAnsi="Times New Roman" w:cs="Times New Roman"/>
              <w:sz w:val="24"/>
              <w:szCs w:val="24"/>
            </w:rPr>
          </w:pPr>
          <w:r w:rsidRPr="00997011">
            <w:rPr>
              <w:rFonts w:ascii="Times New Roman" w:hAnsi="Times New Roman" w:cs="Times New Roman"/>
              <w:sz w:val="24"/>
              <w:szCs w:val="24"/>
            </w:rPr>
            <w:t xml:space="preserve">The most popular and generally accepted method of investment appraisal is Net Present Value (NPV), since it directly quantifies the anticipated growth in shareholder wealth. NPV uses future cash flows discounted by the cost of capital of the firm, thus factoring in both the amount and timing of returns, ensuring that the decision made is consistent with the wealth maximisation principle (Perna, 2024). </w:t>
          </w:r>
        </w:p>
        <w:p w14:paraId="2384DDDA" w14:textId="77777777" w:rsidR="00751460" w:rsidRPr="00997011" w:rsidRDefault="00751460" w:rsidP="00751460">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T</w:t>
          </w:r>
          <w:r w:rsidRPr="00997011">
            <w:rPr>
              <w:rFonts w:ascii="Times New Roman" w:hAnsi="Times New Roman" w:cs="Times New Roman"/>
              <w:sz w:val="24"/>
              <w:szCs w:val="24"/>
            </w:rPr>
            <w:t xml:space="preserve">he Internal Rate of Return (IRR) quantifies returns in terms of a percentage, which is more intuitively attractive but less theoretically sound. IRR uses the same internal rate to reinvest interim cash flows, which is impractical in cases of volatile rates or even opportunities above market (Ridwan et al., 2025). NPV escapes this shortcoming by making the assumption of reinvestment at the cost of capital, hence generating more accurate guidance. Besides, IRR may create various values of projects that have non-standard cash flows, making it difficult to interpret (Basnet, 2022). In the case of Beard Plc, the similarity </w:t>
          </w:r>
          <w:r w:rsidRPr="00997011">
            <w:rPr>
              <w:rFonts w:ascii="Times New Roman" w:hAnsi="Times New Roman" w:cs="Times New Roman"/>
              <w:sz w:val="24"/>
              <w:szCs w:val="24"/>
            </w:rPr>
            <w:lastRenderedPageBreak/>
            <w:t xml:space="preserve">of the NPV and IRR ranking </w:t>
          </w:r>
          <w:proofErr w:type="spellStart"/>
          <w:r w:rsidRPr="00997011">
            <w:rPr>
              <w:rFonts w:ascii="Times New Roman" w:hAnsi="Times New Roman" w:cs="Times New Roman"/>
              <w:sz w:val="24"/>
              <w:szCs w:val="24"/>
            </w:rPr>
            <w:t>instills</w:t>
          </w:r>
          <w:proofErr w:type="spellEnd"/>
          <w:r w:rsidRPr="00997011">
            <w:rPr>
              <w:rFonts w:ascii="Times New Roman" w:hAnsi="Times New Roman" w:cs="Times New Roman"/>
              <w:sz w:val="24"/>
              <w:szCs w:val="24"/>
            </w:rPr>
            <w:t xml:space="preserve"> confidence in the use of Option C, although the theoretical best of NPV makes it the main decision criterion.</w:t>
          </w:r>
        </w:p>
        <w:p w14:paraId="3B3FC74B" w14:textId="77777777" w:rsidR="00751460" w:rsidRPr="00997011" w:rsidRDefault="00751460" w:rsidP="00751460">
          <w:pPr>
            <w:spacing w:after="0" w:line="360" w:lineRule="auto"/>
            <w:ind w:firstLine="720"/>
            <w:rPr>
              <w:rFonts w:ascii="Times New Roman" w:hAnsi="Times New Roman" w:cs="Times New Roman"/>
              <w:sz w:val="24"/>
              <w:szCs w:val="24"/>
            </w:rPr>
          </w:pPr>
          <w:r w:rsidRPr="00997011">
            <w:rPr>
              <w:rFonts w:ascii="Times New Roman" w:hAnsi="Times New Roman" w:cs="Times New Roman"/>
              <w:sz w:val="24"/>
              <w:szCs w:val="24"/>
            </w:rPr>
            <w:t>Non-discounting methods like payback period and accounting rate of return (ARR) are still widely used in practice, although discounted methods are the most popular. They are attractive due to their simplicity and liquidity orientation. Payback emphasises the rate of initial investment recovery, which is handy in firms with limited cash or that have a significant amount of uncertainty (</w:t>
          </w:r>
          <w:proofErr w:type="spellStart"/>
          <w:r w:rsidRPr="00997011">
            <w:rPr>
              <w:rFonts w:ascii="Times New Roman" w:hAnsi="Times New Roman" w:cs="Times New Roman"/>
              <w:sz w:val="24"/>
              <w:szCs w:val="24"/>
            </w:rPr>
            <w:t>Atrill</w:t>
          </w:r>
          <w:proofErr w:type="spellEnd"/>
          <w:r w:rsidRPr="00997011">
            <w:rPr>
              <w:rFonts w:ascii="Times New Roman" w:hAnsi="Times New Roman" w:cs="Times New Roman"/>
              <w:sz w:val="24"/>
              <w:szCs w:val="24"/>
            </w:rPr>
            <w:t>, 2019). ARR, which is grounded on accounting profits, is appeasing to managers used to financial statement measures. Empirical research attests to the fact that these methods are still applied by many firms together with NPV and IRR, especially in the settings where it is the short-term survival that is prioritised over the long-term value generation (Christodoulou et al., 2024).</w:t>
          </w:r>
        </w:p>
        <w:p w14:paraId="18CD4C95" w14:textId="77777777" w:rsidR="00751460" w:rsidRPr="00997011" w:rsidRDefault="00751460" w:rsidP="00751460">
          <w:pPr>
            <w:spacing w:after="0" w:line="360" w:lineRule="auto"/>
            <w:ind w:firstLine="720"/>
            <w:rPr>
              <w:rFonts w:ascii="Times New Roman" w:hAnsi="Times New Roman" w:cs="Times New Roman"/>
              <w:sz w:val="24"/>
              <w:szCs w:val="24"/>
            </w:rPr>
          </w:pPr>
          <w:r w:rsidRPr="00997011">
            <w:rPr>
              <w:rFonts w:ascii="Times New Roman" w:hAnsi="Times New Roman" w:cs="Times New Roman"/>
              <w:sz w:val="24"/>
              <w:szCs w:val="24"/>
            </w:rPr>
            <w:t>These non-discounting methods, however, have major weaknesses. Payback does not take into account the time value of money, so the cash flows of various years are treated as equal, which can skew the attractiveness of a project (Drury, 2020). It also ignores any cash flows which occur after the payback horizon and may disqualify projects whose long-term benefits are high. ARR is also an issue as it is based on accounting profits and not cash flows, and thus is prone to depreciation policies and accounting standards (Matias, 2024). Both approaches are biased towards liquidity, giving preference to projects which have quick payback despite potentially yielding less total value. Such a bias can cause companies to invest less in strategically important but capital-intensive projects to the detriment of long-term competitiveness (Coelho, Jayantilal and Ferreira, 2023).</w:t>
          </w:r>
        </w:p>
        <w:p w14:paraId="16FFBCC9" w14:textId="77777777" w:rsidR="00751460" w:rsidRPr="00997011" w:rsidRDefault="00751460" w:rsidP="00751460">
          <w:pPr>
            <w:spacing w:after="0" w:line="360" w:lineRule="auto"/>
            <w:ind w:firstLine="720"/>
            <w:rPr>
              <w:rFonts w:ascii="Times New Roman" w:hAnsi="Times New Roman" w:cs="Times New Roman"/>
              <w:sz w:val="24"/>
              <w:szCs w:val="24"/>
            </w:rPr>
          </w:pPr>
          <w:r w:rsidRPr="00997011">
            <w:rPr>
              <w:rFonts w:ascii="Times New Roman" w:hAnsi="Times New Roman" w:cs="Times New Roman"/>
              <w:sz w:val="24"/>
              <w:szCs w:val="24"/>
            </w:rPr>
            <w:t>Although IRR and non-discounting techniques provide intuitive results, NPV is theoretically better since it quantifies shareholder wealth creation directly, takes into account realistic assumptions of reinvestment, and does not have distortions due to accounting conventions. In the case of Beard Plc, NPV is a more reliable factor in making investment decisions than IRR and payback, as it is a guarantee that the decision is made in line with the long-term value maximisation, whereas the other two could be used as auxiliary tools that emphasise the risk, liquidity, and management preferences. A combination of these viewpoints will give directors a balanced approach, yet NPV should remain as the leading view in order to protect strategic financial decision-making.</w:t>
          </w:r>
        </w:p>
        <w:p w14:paraId="6BFA1786" w14:textId="77777777" w:rsidR="00751460" w:rsidRPr="00997011" w:rsidRDefault="00751460" w:rsidP="00751460">
          <w:pPr>
            <w:spacing w:after="0" w:line="360" w:lineRule="auto"/>
            <w:rPr>
              <w:rFonts w:ascii="Times New Roman" w:hAnsi="Times New Roman" w:cs="Times New Roman"/>
              <w:sz w:val="24"/>
              <w:szCs w:val="24"/>
            </w:rPr>
          </w:pPr>
          <w:r>
            <w:rPr>
              <w:rFonts w:ascii="Times New Roman" w:hAnsi="Times New Roman" w:cs="Times New Roman"/>
              <w:b/>
              <w:bCs/>
              <w:sz w:val="24"/>
              <w:szCs w:val="24"/>
            </w:rPr>
            <w:t xml:space="preserve">2.2.4 </w:t>
          </w:r>
          <w:r w:rsidRPr="00997011">
            <w:rPr>
              <w:rFonts w:ascii="Times New Roman" w:hAnsi="Times New Roman" w:cs="Times New Roman"/>
              <w:b/>
              <w:bCs/>
              <w:sz w:val="24"/>
              <w:szCs w:val="24"/>
            </w:rPr>
            <w:t>Capital Rationing &amp; Optimal Policy</w:t>
          </w:r>
        </w:p>
        <w:p w14:paraId="74656BD5" w14:textId="77777777" w:rsidR="00751460" w:rsidRPr="00997011" w:rsidRDefault="00751460" w:rsidP="00751460">
          <w:pPr>
            <w:spacing w:after="0" w:line="360" w:lineRule="auto"/>
            <w:ind w:firstLine="720"/>
            <w:rPr>
              <w:rFonts w:ascii="Times New Roman" w:hAnsi="Times New Roman" w:cs="Times New Roman"/>
              <w:sz w:val="24"/>
              <w:szCs w:val="24"/>
            </w:rPr>
          </w:pPr>
          <w:r w:rsidRPr="00997011">
            <w:rPr>
              <w:rFonts w:ascii="Times New Roman" w:hAnsi="Times New Roman" w:cs="Times New Roman"/>
              <w:sz w:val="24"/>
              <w:szCs w:val="24"/>
            </w:rPr>
            <w:t xml:space="preserve">Capital rationing occurs when companies experience a limitation on access to funds, and there is a need to prioritise the projects in order to create the greatest amount of value. The assumption on appraisal of Beard Plc was a budget constraint of 1.5 million, which </w:t>
          </w:r>
          <w:r w:rsidRPr="00997011">
            <w:rPr>
              <w:rFonts w:ascii="Times New Roman" w:hAnsi="Times New Roman" w:cs="Times New Roman"/>
              <w:sz w:val="24"/>
              <w:szCs w:val="24"/>
            </w:rPr>
            <w:lastRenderedPageBreak/>
            <w:t>required an ideal allocation among the three expansion routes. The Profitability Index (PI) was maximised by using the profitability index (PI Option C with a PI of 0.2685, Option B with a PI of 0.2595 and Option A with a PI of 0.1719)</w:t>
          </w:r>
          <w:r>
            <w:rPr>
              <w:rFonts w:ascii="Times New Roman" w:hAnsi="Times New Roman" w:cs="Times New Roman"/>
              <w:sz w:val="24"/>
              <w:szCs w:val="24"/>
            </w:rPr>
            <w:t xml:space="preserve"> (Appendix 7)</w:t>
          </w:r>
          <w:r w:rsidRPr="00997011">
            <w:rPr>
              <w:rFonts w:ascii="Times New Roman" w:hAnsi="Times New Roman" w:cs="Times New Roman"/>
              <w:sz w:val="24"/>
              <w:szCs w:val="24"/>
            </w:rPr>
            <w:t>. The prioritisation of projects according to PI would be an effective allocation of scarce capital, which is best practice in corporate finance (</w:t>
          </w:r>
          <w:proofErr w:type="spellStart"/>
          <w:r w:rsidRPr="00997011">
            <w:rPr>
              <w:rFonts w:ascii="Times New Roman" w:hAnsi="Times New Roman" w:cs="Times New Roman"/>
              <w:sz w:val="24"/>
              <w:szCs w:val="24"/>
            </w:rPr>
            <w:t>Shaoul</w:t>
          </w:r>
          <w:proofErr w:type="spellEnd"/>
          <w:r w:rsidRPr="00997011">
            <w:rPr>
              <w:rFonts w:ascii="Times New Roman" w:hAnsi="Times New Roman" w:cs="Times New Roman"/>
              <w:sz w:val="24"/>
              <w:szCs w:val="24"/>
            </w:rPr>
            <w:t>, 2005).</w:t>
          </w:r>
        </w:p>
        <w:p w14:paraId="71E6C9D4" w14:textId="77777777" w:rsidR="00751460" w:rsidRPr="00997011" w:rsidRDefault="00751460" w:rsidP="00751460">
          <w:pPr>
            <w:spacing w:after="0" w:line="360" w:lineRule="auto"/>
            <w:ind w:firstLine="720"/>
            <w:rPr>
              <w:rFonts w:ascii="Times New Roman" w:hAnsi="Times New Roman" w:cs="Times New Roman"/>
              <w:sz w:val="24"/>
              <w:szCs w:val="24"/>
            </w:rPr>
          </w:pPr>
          <w:r w:rsidRPr="00997011">
            <w:rPr>
              <w:rFonts w:ascii="Times New Roman" w:hAnsi="Times New Roman" w:cs="Times New Roman"/>
              <w:sz w:val="24"/>
              <w:szCs w:val="24"/>
            </w:rPr>
            <w:t>With the constraint of less than £1.5m, the most optimal combination was to completely fund Option C (£1,000,000) and partially fund Option B (£500,000 of £900,000, which was necessary). This allocation generated a combined NPV of around £398,257, which was far much higher than the NPV of the individual projects. The reason why option A was left out is because it has a lower PI, which implies that it is not very effective in creating value per pound invested. This result demonstrates the capital rationing principle that projects with higher marginal returns receive more capital even in the case of lower absolute NPVs (Khan, 2024).</w:t>
          </w:r>
        </w:p>
        <w:p w14:paraId="3DD9C92B" w14:textId="77777777" w:rsidR="00751460" w:rsidRPr="00997011" w:rsidRDefault="00751460" w:rsidP="00751460">
          <w:pPr>
            <w:spacing w:after="0" w:line="360" w:lineRule="auto"/>
            <w:ind w:firstLine="720"/>
            <w:rPr>
              <w:rFonts w:ascii="Times New Roman" w:hAnsi="Times New Roman" w:cs="Times New Roman"/>
              <w:sz w:val="24"/>
              <w:szCs w:val="24"/>
            </w:rPr>
          </w:pPr>
          <w:r w:rsidRPr="00997011">
            <w:rPr>
              <w:rFonts w:ascii="Times New Roman" w:hAnsi="Times New Roman" w:cs="Times New Roman"/>
              <w:sz w:val="24"/>
              <w:szCs w:val="24"/>
            </w:rPr>
            <w:t>Importantly, PI is rational guidance, which presupposes that projects can be divided, which is not always practical. The growth of retail outlets, such as expansion, could need a complete investment to be viable in operations. Researchers warn that the decisions on capital rationing should incorporate qualitative factors like strategic fit, market positioning, and risk diversification (Zubac, 2022). In the case of Beard Plc, pursuing a digital expansion (Option B) and product diversification (Option C) are in line with the overall industry trends that are favourable to e-commerce and innovation in consumer goods (Gouveia and Mamede, 2022).</w:t>
          </w:r>
        </w:p>
        <w:p w14:paraId="670759E6" w14:textId="77777777" w:rsidR="00751460" w:rsidRPr="00997011" w:rsidRDefault="00751460" w:rsidP="00751460">
          <w:pPr>
            <w:spacing w:after="0" w:line="360" w:lineRule="auto"/>
            <w:ind w:firstLine="720"/>
            <w:rPr>
              <w:rFonts w:ascii="Times New Roman" w:hAnsi="Times New Roman" w:cs="Times New Roman"/>
              <w:sz w:val="24"/>
              <w:szCs w:val="24"/>
            </w:rPr>
          </w:pPr>
          <w:r w:rsidRPr="00997011">
            <w:rPr>
              <w:rFonts w:ascii="Times New Roman" w:hAnsi="Times New Roman" w:cs="Times New Roman"/>
              <w:sz w:val="24"/>
              <w:szCs w:val="24"/>
            </w:rPr>
            <w:t>The rationing policy which maximises total NPV and balances strategic priorities is to ensure that the total allocation of funds between C and B is to allocate £1.5m. This method proves to be one that practises sound financial management, which makes sure that Beard Plc will gain the maximum possible in terms of returns in its funding limits.</w:t>
          </w:r>
        </w:p>
        <w:p w14:paraId="2010C03F" w14:textId="77777777" w:rsidR="00751460" w:rsidRPr="002715C6" w:rsidRDefault="00751460" w:rsidP="00751460">
          <w:pPr>
            <w:pStyle w:val="Heading3"/>
            <w:rPr>
              <w:rFonts w:ascii="Times New Roman" w:hAnsi="Times New Roman" w:cs="Times New Roman"/>
              <w:b/>
              <w:bCs/>
              <w:color w:val="auto"/>
            </w:rPr>
          </w:pPr>
          <w:bookmarkStart w:id="12" w:name="_Toc227613576"/>
          <w:r w:rsidRPr="002715C6">
            <w:rPr>
              <w:rFonts w:ascii="Times New Roman" w:hAnsi="Times New Roman" w:cs="Times New Roman"/>
              <w:b/>
              <w:bCs/>
              <w:color w:val="auto"/>
            </w:rPr>
            <w:t>2.2.5 Financing Options</w:t>
          </w:r>
          <w:bookmarkEnd w:id="12"/>
        </w:p>
        <w:p w14:paraId="3DABF5BF" w14:textId="77777777" w:rsidR="00751460" w:rsidRPr="00997011" w:rsidRDefault="00751460" w:rsidP="00751460">
          <w:pPr>
            <w:spacing w:after="0" w:line="360" w:lineRule="auto"/>
            <w:ind w:firstLine="720"/>
            <w:rPr>
              <w:rFonts w:ascii="Times New Roman" w:hAnsi="Times New Roman" w:cs="Times New Roman"/>
              <w:sz w:val="24"/>
              <w:szCs w:val="24"/>
            </w:rPr>
          </w:pPr>
          <w:r w:rsidRPr="00997011">
            <w:rPr>
              <w:rFonts w:ascii="Times New Roman" w:hAnsi="Times New Roman" w:cs="Times New Roman"/>
              <w:sz w:val="24"/>
              <w:szCs w:val="24"/>
            </w:rPr>
            <w:t>Financing is a vital aspect of the viability and sustainability of investment projects. Beard Plc has the option of equity, debt, retained earnings and hybrid instruments, each of which has its own merits and demerits.</w:t>
          </w:r>
        </w:p>
        <w:p w14:paraId="08FF7775" w14:textId="77777777" w:rsidR="00751460" w:rsidRPr="00997011" w:rsidRDefault="00751460" w:rsidP="00751460">
          <w:pPr>
            <w:spacing w:after="0" w:line="360" w:lineRule="auto"/>
            <w:ind w:firstLine="720"/>
            <w:rPr>
              <w:rFonts w:ascii="Times New Roman" w:hAnsi="Times New Roman" w:cs="Times New Roman"/>
              <w:sz w:val="24"/>
              <w:szCs w:val="24"/>
            </w:rPr>
          </w:pPr>
          <w:r w:rsidRPr="00997011">
            <w:rPr>
              <w:rFonts w:ascii="Times New Roman" w:hAnsi="Times New Roman" w:cs="Times New Roman"/>
              <w:sz w:val="24"/>
              <w:szCs w:val="24"/>
            </w:rPr>
            <w:t>Equity financing: This entails new shares, which are permanent capital and do not have to be repaid. It has the benefit of lower financial risk, but there is a high cost of dilution of ownership and control may be lost (Rascher, 2021). Equity is also more expensive as compared to debt because the shareholders require higher amounts of returns.</w:t>
          </w:r>
        </w:p>
        <w:p w14:paraId="4B967987" w14:textId="77777777" w:rsidR="00751460" w:rsidRPr="00997011" w:rsidRDefault="00751460" w:rsidP="00751460">
          <w:pPr>
            <w:spacing w:after="0" w:line="360" w:lineRule="auto"/>
            <w:ind w:firstLine="720"/>
            <w:rPr>
              <w:rFonts w:ascii="Times New Roman" w:hAnsi="Times New Roman" w:cs="Times New Roman"/>
              <w:sz w:val="24"/>
              <w:szCs w:val="24"/>
            </w:rPr>
          </w:pPr>
          <w:r w:rsidRPr="00997011">
            <w:rPr>
              <w:rFonts w:ascii="Times New Roman" w:hAnsi="Times New Roman" w:cs="Times New Roman"/>
              <w:sz w:val="24"/>
              <w:szCs w:val="24"/>
            </w:rPr>
            <w:t xml:space="preserve">Debt financing has tax benefits in the form of the deductibility of interest, and the expense is lower than equity. It maximises returns on equity when applied in a wise manner, </w:t>
          </w:r>
          <w:r w:rsidRPr="00997011">
            <w:rPr>
              <w:rFonts w:ascii="Times New Roman" w:hAnsi="Times New Roman" w:cs="Times New Roman"/>
              <w:sz w:val="24"/>
              <w:szCs w:val="24"/>
            </w:rPr>
            <w:lastRenderedPageBreak/>
            <w:t>which is in line with the theory of trade-off on capital structure (Carrizosa, Gaertner and Lynch, 2019). Nonetheless, overdependence exposes the company to a greater financial risk, reduces the ability to cover interests, and could limit the ability to be flexible, especially in unstable markets.</w:t>
          </w:r>
        </w:p>
        <w:p w14:paraId="66C10875" w14:textId="77777777" w:rsidR="00751460" w:rsidRPr="00997011" w:rsidRDefault="00751460" w:rsidP="00751460">
          <w:pPr>
            <w:spacing w:after="0" w:line="360" w:lineRule="auto"/>
            <w:ind w:firstLine="720"/>
            <w:rPr>
              <w:rFonts w:ascii="Times New Roman" w:hAnsi="Times New Roman" w:cs="Times New Roman"/>
              <w:sz w:val="24"/>
              <w:szCs w:val="24"/>
            </w:rPr>
          </w:pPr>
          <w:r w:rsidRPr="00997011">
            <w:rPr>
              <w:rFonts w:ascii="Times New Roman" w:hAnsi="Times New Roman" w:cs="Times New Roman"/>
              <w:sz w:val="24"/>
              <w:szCs w:val="24"/>
            </w:rPr>
            <w:t>The most affordable source is retained earnings, as there is no issuance cost, and it signals the confidence in the internal cash generation. However, this could reduce the level of investor satisfaction, as reliance on retained earnings can limit the amount of dividend payouts (Maqsood, Shahid and Rehman, 2024).</w:t>
          </w:r>
        </w:p>
        <w:p w14:paraId="166E573C" w14:textId="77777777" w:rsidR="00751460" w:rsidRPr="00997011" w:rsidRDefault="00751460" w:rsidP="00751460">
          <w:pPr>
            <w:spacing w:after="0" w:line="360" w:lineRule="auto"/>
            <w:ind w:firstLine="720"/>
            <w:rPr>
              <w:rFonts w:ascii="Times New Roman" w:hAnsi="Times New Roman" w:cs="Times New Roman"/>
              <w:sz w:val="24"/>
              <w:szCs w:val="24"/>
            </w:rPr>
          </w:pPr>
          <w:r w:rsidRPr="00997011">
            <w:rPr>
              <w:rFonts w:ascii="Times New Roman" w:hAnsi="Times New Roman" w:cs="Times New Roman"/>
              <w:sz w:val="24"/>
              <w:szCs w:val="24"/>
            </w:rPr>
            <w:t>Hybrid instruments (like convertible bonds or preference shares) are instruments that combine aspects of both debt and equity. They are flexible and reduce short-term cash outflows and are attractive to investors who would like to have a balanced risk-return profile (Saunders, 2022). There are concerns of complexity and possible dilution, however.</w:t>
          </w:r>
        </w:p>
        <w:p w14:paraId="22154D66" w14:textId="77777777" w:rsidR="00751460" w:rsidRPr="00997011" w:rsidRDefault="00751460" w:rsidP="00751460">
          <w:pPr>
            <w:spacing w:after="0" w:line="360" w:lineRule="auto"/>
            <w:ind w:firstLine="720"/>
            <w:rPr>
              <w:rFonts w:ascii="Times New Roman" w:hAnsi="Times New Roman" w:cs="Times New Roman"/>
              <w:sz w:val="24"/>
              <w:szCs w:val="24"/>
            </w:rPr>
          </w:pPr>
          <w:r w:rsidRPr="00997011">
            <w:rPr>
              <w:rFonts w:ascii="Times New Roman" w:hAnsi="Times New Roman" w:cs="Times New Roman"/>
              <w:sz w:val="24"/>
              <w:szCs w:val="24"/>
            </w:rPr>
            <w:t>Of paramount importance, Beard Plc needs to strike a balance between cost, risk and strategic flexibility. Moderate debt financing with retained earnings seems to be the best option due to its favourable NPVs and a good IRR with a margin of safety. This combination has reduced dilution, exploiting tax shields, making them resilient to capital rationing. The equity or hybrid instruments can be taken into consideration to diversify funding sources, but it should be done cautiously in order to retain control and not to cost too much.</w:t>
          </w:r>
        </w:p>
        <w:p w14:paraId="2647092A" w14:textId="77777777" w:rsidR="00751460" w:rsidRDefault="00751460" w:rsidP="00751460">
          <w:pPr>
            <w:pStyle w:val="Heading1"/>
            <w:rPr>
              <w:rFonts w:ascii="Times New Roman" w:hAnsi="Times New Roman" w:cs="Times New Roman"/>
              <w:b/>
              <w:bCs/>
              <w:color w:val="auto"/>
              <w:sz w:val="24"/>
              <w:szCs w:val="24"/>
            </w:rPr>
          </w:pPr>
          <w:r>
            <w:rPr>
              <w:rFonts w:ascii="Times New Roman" w:hAnsi="Times New Roman" w:cs="Times New Roman"/>
              <w:b/>
              <w:bCs/>
              <w:color w:val="auto"/>
              <w:sz w:val="24"/>
              <w:szCs w:val="24"/>
            </w:rPr>
            <w:br w:type="page"/>
          </w:r>
        </w:p>
        <w:p w14:paraId="0E375233" w14:textId="77777777" w:rsidR="00751460" w:rsidRPr="002715C6" w:rsidRDefault="00751460" w:rsidP="00751460">
          <w:pPr>
            <w:pStyle w:val="Heading1"/>
            <w:rPr>
              <w:rFonts w:ascii="Times New Roman" w:hAnsi="Times New Roman" w:cs="Times New Roman"/>
              <w:b/>
              <w:bCs/>
              <w:color w:val="auto"/>
              <w:sz w:val="24"/>
              <w:szCs w:val="24"/>
            </w:rPr>
          </w:pPr>
          <w:bookmarkStart w:id="13" w:name="_Toc227613577"/>
          <w:r w:rsidRPr="002715C6">
            <w:rPr>
              <w:rFonts w:ascii="Times New Roman" w:hAnsi="Times New Roman" w:cs="Times New Roman"/>
              <w:b/>
              <w:bCs/>
              <w:color w:val="auto"/>
              <w:sz w:val="24"/>
              <w:szCs w:val="24"/>
            </w:rPr>
            <w:lastRenderedPageBreak/>
            <w:t>3.0 Conclusion</w:t>
          </w:r>
          <w:bookmarkEnd w:id="13"/>
        </w:p>
        <w:p w14:paraId="3AE0C0EB" w14:textId="1ECD617E" w:rsidR="009F6C63" w:rsidRDefault="009F6C63" w:rsidP="00751460">
          <w:pPr>
            <w:spacing w:after="0" w:line="360" w:lineRule="auto"/>
            <w:ind w:firstLine="720"/>
            <w:rPr>
              <w:rFonts w:ascii="Times New Roman" w:hAnsi="Times New Roman" w:cs="Times New Roman"/>
              <w:sz w:val="24"/>
              <w:szCs w:val="24"/>
            </w:rPr>
          </w:pPr>
          <w:r w:rsidRPr="009F6C63">
            <w:rPr>
              <w:rFonts w:ascii="Times New Roman" w:hAnsi="Times New Roman" w:cs="Times New Roman"/>
              <w:sz w:val="24"/>
              <w:szCs w:val="24"/>
            </w:rPr>
            <w:t>The 2024</w:t>
          </w:r>
          <w:r>
            <w:rPr>
              <w:rFonts w:ascii="Times New Roman" w:hAnsi="Times New Roman" w:cs="Times New Roman"/>
              <w:sz w:val="24"/>
              <w:szCs w:val="24"/>
            </w:rPr>
            <w:t>-</w:t>
          </w:r>
          <w:r w:rsidRPr="009F6C63">
            <w:rPr>
              <w:rFonts w:ascii="Times New Roman" w:hAnsi="Times New Roman" w:cs="Times New Roman"/>
              <w:sz w:val="24"/>
              <w:szCs w:val="24"/>
            </w:rPr>
            <w:t>2025 financial health of Barclays PLC speaks volumes of good health amidst a challenging macroeconomic environment. The profitability was slightly improved, and this was facilitated by the increase in net interest margins and liquidity was also good with low values of loan to deposit and good values of cash reserves. They had realised efficiency rises due to digitalisation and the asset turnover is low and gearing is reflective of high leverage of global banks. The investor confidence is cautious and this has been manifested by its declining price-to-earnings ratios though its earnings per share rose. The range of 13-15 years of Tier 1 capital ratio, scaling up on cost efficiency through digital transformation, more transparent ESG and strategic disclosure to the investor and optimising liquidity management through balancing between lending expansion and risk control are the objectives that Barclays should pursue to increase the performance. Such measures will boost the resilience and increase long term competitiveness.</w:t>
          </w:r>
        </w:p>
        <w:p w14:paraId="24945C62" w14:textId="60E7E248" w:rsidR="00751460" w:rsidRPr="00997011" w:rsidRDefault="00751460" w:rsidP="00751460">
          <w:pPr>
            <w:spacing w:after="0" w:line="360" w:lineRule="auto"/>
            <w:ind w:firstLine="720"/>
            <w:rPr>
              <w:rFonts w:ascii="Times New Roman" w:hAnsi="Times New Roman" w:cs="Times New Roman"/>
              <w:sz w:val="24"/>
              <w:szCs w:val="24"/>
            </w:rPr>
          </w:pPr>
          <w:r w:rsidRPr="00997011">
            <w:rPr>
              <w:rFonts w:ascii="Times New Roman" w:hAnsi="Times New Roman" w:cs="Times New Roman"/>
              <w:sz w:val="24"/>
              <w:szCs w:val="24"/>
            </w:rPr>
            <w:t>In the case of Beard Plc, discounted cash flow analysis showed that all three-expansion options yield positive NPVs with purses and wallets production, Option C giving the highest absolute value of 268,524 and an IRR of 15.3 per cent well above the cost of capital at 5 per cent. With capital rationing restrictions, a combination of Option C and partial investment in Option B will maximise total NPV at around £398,257 to ensure that funds are used efficiently with a limited amount. It should be financed moderately by a combination of debt and retained earnings to reduce dilution and use of tax shields and judicious use of equity or hybrid instruments to reduce reliance on a single source of funding.</w:t>
          </w:r>
        </w:p>
        <w:p w14:paraId="6AA8E58E" w14:textId="77777777" w:rsidR="00751460" w:rsidRPr="00997011" w:rsidRDefault="00751460" w:rsidP="00751460">
          <w:pPr>
            <w:spacing w:after="0" w:line="360" w:lineRule="auto"/>
            <w:ind w:firstLine="720"/>
            <w:rPr>
              <w:rFonts w:ascii="Times New Roman" w:hAnsi="Times New Roman" w:cs="Times New Roman"/>
              <w:sz w:val="24"/>
              <w:szCs w:val="24"/>
            </w:rPr>
          </w:pPr>
          <w:r w:rsidRPr="00997011">
            <w:rPr>
              <w:rFonts w:ascii="Times New Roman" w:hAnsi="Times New Roman" w:cs="Times New Roman"/>
              <w:sz w:val="24"/>
              <w:szCs w:val="24"/>
            </w:rPr>
            <w:t>The report says that there is a need to reconcile short-term performance and long-term value creation. In the case of Barclays, it will entail strengthening capital and investor confidence in seeking efficiency improvements. In the case of Beard Plc, it will demand rigorous investment appraisal and sensible financing decisions that will maximise the wealth of shareholders and allow the company to maintain strategic growth. These analyses collectively underscore the need to have quantitative rigour and qualitative insight to inform financial decision-making in dynamic complex markets.</w:t>
          </w:r>
        </w:p>
        <w:p w14:paraId="6C7B5D23" w14:textId="77777777" w:rsidR="00751460" w:rsidRDefault="00751460" w:rsidP="00751460"/>
        <w:p w14:paraId="53B0FEC6" w14:textId="77777777" w:rsidR="00751460" w:rsidRDefault="00751460" w:rsidP="00751460">
          <w:r>
            <w:br w:type="page"/>
          </w:r>
        </w:p>
        <w:p w14:paraId="482AE3E5" w14:textId="77777777" w:rsidR="00751460" w:rsidRPr="002715C6" w:rsidRDefault="00751460" w:rsidP="00751460">
          <w:pPr>
            <w:pStyle w:val="Heading1"/>
            <w:rPr>
              <w:rFonts w:ascii="Times New Roman" w:hAnsi="Times New Roman" w:cs="Times New Roman"/>
              <w:b/>
              <w:bCs/>
              <w:color w:val="auto"/>
              <w:sz w:val="24"/>
              <w:szCs w:val="24"/>
            </w:rPr>
          </w:pPr>
          <w:bookmarkStart w:id="14" w:name="_Toc227613578"/>
          <w:r w:rsidRPr="002715C6">
            <w:rPr>
              <w:rFonts w:ascii="Times New Roman" w:hAnsi="Times New Roman" w:cs="Times New Roman"/>
              <w:b/>
              <w:bCs/>
              <w:color w:val="auto"/>
              <w:sz w:val="24"/>
              <w:szCs w:val="24"/>
            </w:rPr>
            <w:lastRenderedPageBreak/>
            <w:t>4.0 Reference list</w:t>
          </w:r>
          <w:bookmarkEnd w:id="14"/>
        </w:p>
        <w:p w14:paraId="3075AC99" w14:textId="77777777" w:rsidR="00751460" w:rsidRPr="0032385F" w:rsidRDefault="00751460" w:rsidP="00751460">
          <w:pPr>
            <w:spacing w:after="0" w:line="360" w:lineRule="auto"/>
            <w:ind w:left="720" w:hanging="720"/>
            <w:rPr>
              <w:rFonts w:ascii="Times New Roman" w:hAnsi="Times New Roman" w:cs="Times New Roman"/>
              <w:sz w:val="24"/>
              <w:szCs w:val="24"/>
            </w:rPr>
          </w:pPr>
          <w:proofErr w:type="spellStart"/>
          <w:r w:rsidRPr="0032385F">
            <w:rPr>
              <w:rFonts w:ascii="Times New Roman" w:hAnsi="Times New Roman" w:cs="Times New Roman"/>
              <w:sz w:val="24"/>
              <w:szCs w:val="24"/>
            </w:rPr>
            <w:t>Atrill</w:t>
          </w:r>
          <w:proofErr w:type="spellEnd"/>
          <w:r w:rsidRPr="0032385F">
            <w:rPr>
              <w:rFonts w:ascii="Times New Roman" w:hAnsi="Times New Roman" w:cs="Times New Roman"/>
              <w:sz w:val="24"/>
              <w:szCs w:val="24"/>
            </w:rPr>
            <w:t xml:space="preserve">, P. (2019) Financial Management for Decision Makers. 9th </w:t>
          </w:r>
          <w:proofErr w:type="spellStart"/>
          <w:r w:rsidRPr="0032385F">
            <w:rPr>
              <w:rFonts w:ascii="Times New Roman" w:hAnsi="Times New Roman" w:cs="Times New Roman"/>
              <w:sz w:val="24"/>
              <w:szCs w:val="24"/>
            </w:rPr>
            <w:t>edn</w:t>
          </w:r>
          <w:proofErr w:type="spellEnd"/>
          <w:r w:rsidRPr="0032385F">
            <w:rPr>
              <w:rFonts w:ascii="Times New Roman" w:hAnsi="Times New Roman" w:cs="Times New Roman"/>
              <w:sz w:val="24"/>
              <w:szCs w:val="24"/>
            </w:rPr>
            <w:t>. Pearson.</w:t>
          </w:r>
        </w:p>
        <w:p w14:paraId="2D6B2C58"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32385F">
            <w:rPr>
              <w:rFonts w:ascii="Times New Roman" w:hAnsi="Times New Roman" w:cs="Times New Roman"/>
              <w:sz w:val="24"/>
              <w:szCs w:val="24"/>
            </w:rPr>
            <w:t>Allen, F., Brealey, R.A. and Myers, S.C., 2011. </w:t>
          </w:r>
          <w:r w:rsidRPr="0032385F">
            <w:rPr>
              <w:rFonts w:ascii="Times New Roman" w:hAnsi="Times New Roman" w:cs="Times New Roman"/>
              <w:iCs/>
              <w:sz w:val="24"/>
              <w:szCs w:val="24"/>
            </w:rPr>
            <w:t>Principles of corporate finance</w:t>
          </w:r>
          <w:r w:rsidRPr="0032385F">
            <w:rPr>
              <w:rFonts w:ascii="Times New Roman" w:hAnsi="Times New Roman" w:cs="Times New Roman"/>
              <w:sz w:val="24"/>
              <w:szCs w:val="24"/>
            </w:rPr>
            <w:t> (p. 1043). New York: McGraw-Hill/Irwin.</w:t>
          </w:r>
        </w:p>
        <w:p w14:paraId="0390FFBE"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Ali, A., Umrani, Z. and Jadoon, A.K. (2025). Macroeconomic and Financial Determinants of Equity Market Value: Evidence from the UK Listed Firms. </w:t>
          </w:r>
          <w:r w:rsidRPr="004946C3">
            <w:rPr>
              <w:rFonts w:ascii="Times New Roman" w:hAnsi="Times New Roman" w:cs="Times New Roman"/>
              <w:i/>
              <w:iCs/>
              <w:sz w:val="24"/>
              <w:szCs w:val="24"/>
            </w:rPr>
            <w:t>Journal of Social Signs Review</w:t>
          </w:r>
          <w:r w:rsidRPr="004946C3">
            <w:rPr>
              <w:rFonts w:ascii="Times New Roman" w:hAnsi="Times New Roman" w:cs="Times New Roman"/>
              <w:sz w:val="24"/>
              <w:szCs w:val="24"/>
            </w:rPr>
            <w:t xml:space="preserve">, 3(4), pp.304–320. </w:t>
          </w:r>
          <w:hyperlink r:id="rId11" w:history="1">
            <w:r w:rsidRPr="004946C3">
              <w:rPr>
                <w:rStyle w:val="Hyperlink"/>
                <w:rFonts w:ascii="Times New Roman" w:hAnsi="Times New Roman" w:cs="Times New Roman"/>
                <w:sz w:val="24"/>
                <w:szCs w:val="24"/>
              </w:rPr>
              <w:t>https://www.socialsignsreivew.com/index.php/12/article/view/316</w:t>
            </w:r>
          </w:hyperlink>
          <w:r w:rsidRPr="004946C3">
            <w:rPr>
              <w:rFonts w:ascii="Times New Roman" w:hAnsi="Times New Roman" w:cs="Times New Roman"/>
              <w:sz w:val="24"/>
              <w:szCs w:val="24"/>
            </w:rPr>
            <w:t>.</w:t>
          </w:r>
        </w:p>
        <w:p w14:paraId="6CAFD258"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Barclays (2025). </w:t>
          </w:r>
          <w:r w:rsidRPr="004946C3">
            <w:rPr>
              <w:rFonts w:ascii="Times New Roman" w:hAnsi="Times New Roman" w:cs="Times New Roman"/>
              <w:i/>
              <w:iCs/>
              <w:sz w:val="24"/>
              <w:szCs w:val="24"/>
            </w:rPr>
            <w:t xml:space="preserve">Creating positive outcomes for our stakeholders Our Purpose Working together for a better financial future Our Vision The UK-centred leader in global finance Our Strategy </w:t>
          </w:r>
          <w:proofErr w:type="gramStart"/>
          <w:r w:rsidRPr="004946C3">
            <w:rPr>
              <w:rFonts w:ascii="Times New Roman" w:hAnsi="Times New Roman" w:cs="Times New Roman"/>
              <w:i/>
              <w:iCs/>
              <w:sz w:val="24"/>
              <w:szCs w:val="24"/>
            </w:rPr>
            <w:t>A</w:t>
          </w:r>
          <w:proofErr w:type="gramEnd"/>
          <w:r w:rsidRPr="004946C3">
            <w:rPr>
              <w:rFonts w:ascii="Times New Roman" w:hAnsi="Times New Roman" w:cs="Times New Roman"/>
              <w:i/>
              <w:iCs/>
              <w:sz w:val="24"/>
              <w:szCs w:val="24"/>
            </w:rPr>
            <w:t xml:space="preserve"> Simpler, Better and More balanced Barclays Our Values Respect</w:t>
          </w:r>
          <w:r w:rsidRPr="004946C3">
            <w:rPr>
              <w:rFonts w:ascii="Times New Roman" w:hAnsi="Times New Roman" w:cs="Times New Roman"/>
              <w:sz w:val="24"/>
              <w:szCs w:val="24"/>
            </w:rPr>
            <w:t xml:space="preserve">. </w:t>
          </w:r>
          <w:hyperlink r:id="rId12" w:history="1">
            <w:r w:rsidRPr="004946C3">
              <w:rPr>
                <w:rStyle w:val="Hyperlink"/>
                <w:rFonts w:ascii="Times New Roman" w:hAnsi="Times New Roman" w:cs="Times New Roman"/>
                <w:sz w:val="24"/>
                <w:szCs w:val="24"/>
              </w:rPr>
              <w:t>https://home.barclays/content/dam/home-barclays/documents/investor-relations/reports-and-events/annual-reports/2025/Barclays-PLC-Annual-Report-2025.pdf</w:t>
            </w:r>
          </w:hyperlink>
          <w:r w:rsidRPr="004946C3">
            <w:rPr>
              <w:rFonts w:ascii="Times New Roman" w:hAnsi="Times New Roman" w:cs="Times New Roman"/>
              <w:sz w:val="24"/>
              <w:szCs w:val="24"/>
            </w:rPr>
            <w:t>.</w:t>
          </w:r>
        </w:p>
        <w:p w14:paraId="30256E42"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Barclays PLC (2025). </w:t>
          </w:r>
          <w:r w:rsidRPr="004946C3">
            <w:rPr>
              <w:rFonts w:ascii="Times New Roman" w:hAnsi="Times New Roman" w:cs="Times New Roman"/>
              <w:i/>
              <w:iCs/>
              <w:sz w:val="24"/>
              <w:szCs w:val="24"/>
            </w:rPr>
            <w:t>Barclays Bank PLC Annual Report</w:t>
          </w:r>
          <w:r w:rsidRPr="004946C3">
            <w:rPr>
              <w:rFonts w:ascii="Times New Roman" w:hAnsi="Times New Roman" w:cs="Times New Roman"/>
              <w:sz w:val="24"/>
              <w:szCs w:val="24"/>
            </w:rPr>
            <w:t xml:space="preserve">. </w:t>
          </w:r>
          <w:hyperlink r:id="rId13" w:history="1">
            <w:r w:rsidRPr="004946C3">
              <w:rPr>
                <w:rStyle w:val="Hyperlink"/>
                <w:rFonts w:ascii="Times New Roman" w:hAnsi="Times New Roman" w:cs="Times New Roman"/>
                <w:sz w:val="24"/>
                <w:szCs w:val="24"/>
              </w:rPr>
              <w:t>https://home.barclays/content/dam/home-barclays/documents/investor-relations/reports-and-events/annual-reports/2025/Barclays-Bank-PLC-Annual-Report-2025.pdf</w:t>
            </w:r>
          </w:hyperlink>
          <w:r w:rsidRPr="004946C3">
            <w:rPr>
              <w:rFonts w:ascii="Times New Roman" w:hAnsi="Times New Roman" w:cs="Times New Roman"/>
              <w:sz w:val="24"/>
              <w:szCs w:val="24"/>
            </w:rPr>
            <w:t>.</w:t>
          </w:r>
        </w:p>
        <w:p w14:paraId="2703B039"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Barnabas, B. and Oloyede, J. (2025). Cash Flow Optimization: Strategies for Enhancing Short-Term Liquidity. </w:t>
          </w:r>
          <w:r w:rsidRPr="004946C3">
            <w:rPr>
              <w:rFonts w:ascii="Times New Roman" w:hAnsi="Times New Roman" w:cs="Times New Roman"/>
              <w:i/>
              <w:iCs/>
              <w:sz w:val="24"/>
              <w:szCs w:val="24"/>
            </w:rPr>
            <w:t>Cash Flow Optimization: Strategies for Enhancing Short-Term Liquidity</w:t>
          </w:r>
          <w:r w:rsidRPr="004946C3">
            <w:rPr>
              <w:rFonts w:ascii="Times New Roman" w:hAnsi="Times New Roman" w:cs="Times New Roman"/>
              <w:sz w:val="24"/>
              <w:szCs w:val="24"/>
            </w:rPr>
            <w:t xml:space="preserve">. </w:t>
          </w:r>
          <w:hyperlink r:id="rId14" w:history="1">
            <w:r w:rsidRPr="004946C3">
              <w:rPr>
                <w:rStyle w:val="Hyperlink"/>
                <w:rFonts w:ascii="Times New Roman" w:hAnsi="Times New Roman" w:cs="Times New Roman"/>
                <w:sz w:val="24"/>
                <w:szCs w:val="24"/>
              </w:rPr>
              <w:t>https://doi.org/10.2139/ssrn.5004465</w:t>
            </w:r>
          </w:hyperlink>
          <w:r w:rsidRPr="004946C3">
            <w:rPr>
              <w:rFonts w:ascii="Times New Roman" w:hAnsi="Times New Roman" w:cs="Times New Roman"/>
              <w:sz w:val="24"/>
              <w:szCs w:val="24"/>
            </w:rPr>
            <w:t>.</w:t>
          </w:r>
        </w:p>
        <w:p w14:paraId="538C30CE"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Basnet, G.B. (2022). Numerical Solution of Multiple Internal Rate of Return with Non-conventional Cash Flows. 9(1-2), pp.25–32. </w:t>
          </w:r>
          <w:hyperlink r:id="rId15" w:history="1">
            <w:r w:rsidRPr="004946C3">
              <w:rPr>
                <w:rStyle w:val="Hyperlink"/>
                <w:rFonts w:ascii="Times New Roman" w:hAnsi="Times New Roman" w:cs="Times New Roman"/>
                <w:sz w:val="24"/>
                <w:szCs w:val="24"/>
              </w:rPr>
              <w:t>https://doi.org/10.3126/nutaj.v9i1-2.53833</w:t>
            </w:r>
          </w:hyperlink>
          <w:r w:rsidRPr="004946C3">
            <w:rPr>
              <w:rFonts w:ascii="Times New Roman" w:hAnsi="Times New Roman" w:cs="Times New Roman"/>
              <w:sz w:val="24"/>
              <w:szCs w:val="24"/>
            </w:rPr>
            <w:t>.</w:t>
          </w:r>
        </w:p>
        <w:p w14:paraId="44392E38"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Berger, A.N. and Bouwman, C.H.S. (2010). Bank Liquidity Creation, Monetary Policy, and Financial Crises. </w:t>
          </w:r>
          <w:r w:rsidRPr="004946C3">
            <w:rPr>
              <w:rFonts w:ascii="Times New Roman" w:hAnsi="Times New Roman" w:cs="Times New Roman"/>
              <w:i/>
              <w:iCs/>
              <w:sz w:val="24"/>
              <w:szCs w:val="24"/>
            </w:rPr>
            <w:t>SSRN Electronic Journal</w:t>
          </w:r>
          <w:r w:rsidRPr="004946C3">
            <w:rPr>
              <w:rFonts w:ascii="Times New Roman" w:hAnsi="Times New Roman" w:cs="Times New Roman"/>
              <w:sz w:val="24"/>
              <w:szCs w:val="24"/>
            </w:rPr>
            <w:t xml:space="preserve">. </w:t>
          </w:r>
          <w:hyperlink r:id="rId16" w:history="1">
            <w:r w:rsidRPr="004946C3">
              <w:rPr>
                <w:rStyle w:val="Hyperlink"/>
                <w:rFonts w:ascii="Times New Roman" w:hAnsi="Times New Roman" w:cs="Times New Roman"/>
                <w:sz w:val="24"/>
                <w:szCs w:val="24"/>
              </w:rPr>
              <w:t>https://doi.org/10.2139/ssrn.1560038</w:t>
            </w:r>
          </w:hyperlink>
          <w:r w:rsidRPr="004946C3">
            <w:rPr>
              <w:rFonts w:ascii="Times New Roman" w:hAnsi="Times New Roman" w:cs="Times New Roman"/>
              <w:sz w:val="24"/>
              <w:szCs w:val="24"/>
            </w:rPr>
            <w:t>.</w:t>
          </w:r>
        </w:p>
        <w:p w14:paraId="60AEFCF3"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Bueno, L.A., </w:t>
          </w:r>
          <w:proofErr w:type="spellStart"/>
          <w:r w:rsidRPr="004946C3">
            <w:rPr>
              <w:rFonts w:ascii="Times New Roman" w:hAnsi="Times New Roman" w:cs="Times New Roman"/>
              <w:sz w:val="24"/>
              <w:szCs w:val="24"/>
            </w:rPr>
            <w:t>Sigahi</w:t>
          </w:r>
          <w:proofErr w:type="spellEnd"/>
          <w:r w:rsidRPr="004946C3">
            <w:rPr>
              <w:rFonts w:ascii="Times New Roman" w:hAnsi="Times New Roman" w:cs="Times New Roman"/>
              <w:sz w:val="24"/>
              <w:szCs w:val="24"/>
            </w:rPr>
            <w:t xml:space="preserve">, T.F.A.C., </w:t>
          </w:r>
          <w:proofErr w:type="spellStart"/>
          <w:r w:rsidRPr="004946C3">
            <w:rPr>
              <w:rFonts w:ascii="Times New Roman" w:hAnsi="Times New Roman" w:cs="Times New Roman"/>
              <w:sz w:val="24"/>
              <w:szCs w:val="24"/>
            </w:rPr>
            <w:t>Rampasso</w:t>
          </w:r>
          <w:proofErr w:type="spellEnd"/>
          <w:r w:rsidRPr="004946C3">
            <w:rPr>
              <w:rFonts w:ascii="Times New Roman" w:hAnsi="Times New Roman" w:cs="Times New Roman"/>
              <w:sz w:val="24"/>
              <w:szCs w:val="24"/>
            </w:rPr>
            <w:t xml:space="preserve">, I.S., Leal Filho, W. and </w:t>
          </w:r>
          <w:proofErr w:type="spellStart"/>
          <w:r w:rsidRPr="004946C3">
            <w:rPr>
              <w:rFonts w:ascii="Times New Roman" w:hAnsi="Times New Roman" w:cs="Times New Roman"/>
              <w:sz w:val="24"/>
              <w:szCs w:val="24"/>
            </w:rPr>
            <w:t>Anholon</w:t>
          </w:r>
          <w:proofErr w:type="spellEnd"/>
          <w:r w:rsidRPr="004946C3">
            <w:rPr>
              <w:rFonts w:ascii="Times New Roman" w:hAnsi="Times New Roman" w:cs="Times New Roman"/>
              <w:sz w:val="24"/>
              <w:szCs w:val="24"/>
            </w:rPr>
            <w:t xml:space="preserve">, R. (2024). Impacts of digitization on operational efficiency in the banking sector: Thematic analysis and research agenda proposal. </w:t>
          </w:r>
          <w:r w:rsidRPr="004946C3">
            <w:rPr>
              <w:rFonts w:ascii="Times New Roman" w:hAnsi="Times New Roman" w:cs="Times New Roman"/>
              <w:i/>
              <w:iCs/>
              <w:sz w:val="24"/>
              <w:szCs w:val="24"/>
            </w:rPr>
            <w:t>International Journal of Information Management Data Insights</w:t>
          </w:r>
          <w:r w:rsidRPr="004946C3">
            <w:rPr>
              <w:rFonts w:ascii="Times New Roman" w:hAnsi="Times New Roman" w:cs="Times New Roman"/>
              <w:sz w:val="24"/>
              <w:szCs w:val="24"/>
            </w:rPr>
            <w:t xml:space="preserve">, 4(1), p.100230. </w:t>
          </w:r>
          <w:hyperlink r:id="rId17" w:history="1">
            <w:r w:rsidRPr="004946C3">
              <w:rPr>
                <w:rStyle w:val="Hyperlink"/>
                <w:rFonts w:ascii="Times New Roman" w:hAnsi="Times New Roman" w:cs="Times New Roman"/>
                <w:sz w:val="24"/>
                <w:szCs w:val="24"/>
              </w:rPr>
              <w:t>https://doi.org/10.1016/j.jjimei.2024.100230</w:t>
            </w:r>
          </w:hyperlink>
          <w:r w:rsidRPr="004946C3">
            <w:rPr>
              <w:rFonts w:ascii="Times New Roman" w:hAnsi="Times New Roman" w:cs="Times New Roman"/>
              <w:sz w:val="24"/>
              <w:szCs w:val="24"/>
            </w:rPr>
            <w:t>.</w:t>
          </w:r>
        </w:p>
        <w:p w14:paraId="342AD19E"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Carrizosa, R., Gaertner, F.B. and Lynch, D. (2019). Debt and Taxes? The Effect of TCJA Interest Limitations on Capital Structure. </w:t>
          </w:r>
          <w:r w:rsidRPr="004946C3">
            <w:rPr>
              <w:rFonts w:ascii="Times New Roman" w:hAnsi="Times New Roman" w:cs="Times New Roman"/>
              <w:i/>
              <w:iCs/>
              <w:sz w:val="24"/>
              <w:szCs w:val="24"/>
            </w:rPr>
            <w:t>SSRN Electronic Journal</w:t>
          </w:r>
          <w:r w:rsidRPr="004946C3">
            <w:rPr>
              <w:rFonts w:ascii="Times New Roman" w:hAnsi="Times New Roman" w:cs="Times New Roman"/>
              <w:sz w:val="24"/>
              <w:szCs w:val="24"/>
            </w:rPr>
            <w:t xml:space="preserve">. </w:t>
          </w:r>
          <w:proofErr w:type="spellStart"/>
          <w:r w:rsidRPr="004946C3">
            <w:rPr>
              <w:rFonts w:ascii="Times New Roman" w:hAnsi="Times New Roman" w:cs="Times New Roman"/>
              <w:sz w:val="24"/>
              <w:szCs w:val="24"/>
            </w:rPr>
            <w:t>doi</w:t>
          </w:r>
          <w:proofErr w:type="spellEnd"/>
          <w:r w:rsidRPr="004946C3">
            <w:rPr>
              <w:rFonts w:ascii="Times New Roman" w:hAnsi="Times New Roman" w:cs="Times New Roman"/>
              <w:sz w:val="24"/>
              <w:szCs w:val="24"/>
            </w:rPr>
            <w:t>:</w:t>
          </w:r>
          <w:r w:rsidRPr="0032385F">
            <w:rPr>
              <w:rFonts w:ascii="Times New Roman" w:hAnsi="Times New Roman" w:cs="Times New Roman"/>
              <w:sz w:val="24"/>
              <w:szCs w:val="24"/>
            </w:rPr>
            <w:t xml:space="preserve"> </w:t>
          </w:r>
          <w:hyperlink r:id="rId18" w:history="1">
            <w:r w:rsidRPr="004946C3">
              <w:rPr>
                <w:rStyle w:val="Hyperlink"/>
                <w:rFonts w:ascii="Times New Roman" w:hAnsi="Times New Roman" w:cs="Times New Roman"/>
                <w:sz w:val="24"/>
                <w:szCs w:val="24"/>
              </w:rPr>
              <w:t>https://doi.org/10.2139/ssrn.3397285</w:t>
            </w:r>
          </w:hyperlink>
          <w:r w:rsidRPr="004946C3">
            <w:rPr>
              <w:rFonts w:ascii="Times New Roman" w:hAnsi="Times New Roman" w:cs="Times New Roman"/>
              <w:sz w:val="24"/>
              <w:szCs w:val="24"/>
            </w:rPr>
            <w:t>.</w:t>
          </w:r>
        </w:p>
        <w:p w14:paraId="69B85DFB" w14:textId="77777777" w:rsidR="00751460" w:rsidRPr="0032385F" w:rsidRDefault="00751460" w:rsidP="00751460">
          <w:pPr>
            <w:spacing w:after="0" w:line="360" w:lineRule="auto"/>
            <w:ind w:left="720" w:hanging="720"/>
            <w:rPr>
              <w:rFonts w:ascii="Times New Roman" w:hAnsi="Times New Roman" w:cs="Times New Roman"/>
              <w:sz w:val="24"/>
              <w:szCs w:val="24"/>
            </w:rPr>
          </w:pPr>
          <w:proofErr w:type="spellStart"/>
          <w:r w:rsidRPr="004946C3">
            <w:rPr>
              <w:rFonts w:ascii="Times New Roman" w:hAnsi="Times New Roman" w:cs="Times New Roman"/>
              <w:sz w:val="24"/>
              <w:szCs w:val="24"/>
            </w:rPr>
            <w:lastRenderedPageBreak/>
            <w:t>Challoumis</w:t>
          </w:r>
          <w:proofErr w:type="spellEnd"/>
          <w:r w:rsidRPr="004946C3">
            <w:rPr>
              <w:rFonts w:ascii="Times New Roman" w:hAnsi="Times New Roman" w:cs="Times New Roman"/>
              <w:sz w:val="24"/>
              <w:szCs w:val="24"/>
            </w:rPr>
            <w:t xml:space="preserve">, C. (2025). </w:t>
          </w:r>
          <w:r w:rsidRPr="004946C3">
            <w:rPr>
              <w:rFonts w:ascii="Times New Roman" w:hAnsi="Times New Roman" w:cs="Times New Roman"/>
              <w:i/>
              <w:iCs/>
              <w:sz w:val="24"/>
              <w:szCs w:val="24"/>
            </w:rPr>
            <w:t>The Impact of Regulatory Policies on the Flow of Money in the Banking System</w:t>
          </w:r>
          <w:r w:rsidRPr="004946C3">
            <w:rPr>
              <w:rFonts w:ascii="Times New Roman" w:hAnsi="Times New Roman" w:cs="Times New Roman"/>
              <w:sz w:val="24"/>
              <w:szCs w:val="24"/>
            </w:rPr>
            <w:t xml:space="preserve">. </w:t>
          </w:r>
          <w:hyperlink r:id="rId19" w:history="1">
            <w:r w:rsidRPr="004946C3">
              <w:rPr>
                <w:rStyle w:val="Hyperlink"/>
                <w:rFonts w:ascii="Times New Roman" w:hAnsi="Times New Roman" w:cs="Times New Roman"/>
                <w:sz w:val="24"/>
                <w:szCs w:val="24"/>
              </w:rPr>
              <w:t>https://www.academia.edu/download/120660626/ssrn_4943492.pdf</w:t>
            </w:r>
          </w:hyperlink>
          <w:r w:rsidRPr="004946C3">
            <w:rPr>
              <w:rFonts w:ascii="Times New Roman" w:hAnsi="Times New Roman" w:cs="Times New Roman"/>
              <w:sz w:val="24"/>
              <w:szCs w:val="24"/>
            </w:rPr>
            <w:t>.</w:t>
          </w:r>
        </w:p>
        <w:p w14:paraId="60FA603D"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Chen, X. (2022). Theoretical analysis of Net Present Value. </w:t>
          </w:r>
          <w:r w:rsidRPr="004946C3">
            <w:rPr>
              <w:rFonts w:ascii="Times New Roman" w:hAnsi="Times New Roman" w:cs="Times New Roman"/>
              <w:i/>
              <w:iCs/>
              <w:sz w:val="24"/>
              <w:szCs w:val="24"/>
            </w:rPr>
            <w:t>BCP Business &amp; Management</w:t>
          </w:r>
          <w:r w:rsidRPr="004946C3">
            <w:rPr>
              <w:rFonts w:ascii="Times New Roman" w:hAnsi="Times New Roman" w:cs="Times New Roman"/>
              <w:sz w:val="24"/>
              <w:szCs w:val="24"/>
            </w:rPr>
            <w:t xml:space="preserve">, 30(1), pp.683–687. </w:t>
          </w:r>
          <w:hyperlink r:id="rId20" w:history="1">
            <w:r w:rsidRPr="004946C3">
              <w:rPr>
                <w:rStyle w:val="Hyperlink"/>
                <w:rFonts w:ascii="Times New Roman" w:hAnsi="Times New Roman" w:cs="Times New Roman"/>
                <w:sz w:val="24"/>
                <w:szCs w:val="24"/>
              </w:rPr>
              <w:t>https://doi.org/10.54691/bcpbm.v30i.2517</w:t>
            </w:r>
          </w:hyperlink>
        </w:p>
        <w:p w14:paraId="004B003F"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Christodoulou, I.P., </w:t>
          </w:r>
          <w:proofErr w:type="spellStart"/>
          <w:r w:rsidRPr="004946C3">
            <w:rPr>
              <w:rFonts w:ascii="Times New Roman" w:hAnsi="Times New Roman" w:cs="Times New Roman"/>
              <w:sz w:val="24"/>
              <w:szCs w:val="24"/>
            </w:rPr>
            <w:t>Rizomyliotis</w:t>
          </w:r>
          <w:proofErr w:type="spellEnd"/>
          <w:r w:rsidRPr="004946C3">
            <w:rPr>
              <w:rFonts w:ascii="Times New Roman" w:hAnsi="Times New Roman" w:cs="Times New Roman"/>
              <w:sz w:val="24"/>
              <w:szCs w:val="24"/>
            </w:rPr>
            <w:t xml:space="preserve">, I., </w:t>
          </w:r>
          <w:proofErr w:type="spellStart"/>
          <w:r w:rsidRPr="004946C3">
            <w:rPr>
              <w:rFonts w:ascii="Times New Roman" w:hAnsi="Times New Roman" w:cs="Times New Roman"/>
              <w:sz w:val="24"/>
              <w:szCs w:val="24"/>
            </w:rPr>
            <w:t>Konstantoulaki</w:t>
          </w:r>
          <w:proofErr w:type="spellEnd"/>
          <w:r w:rsidRPr="004946C3">
            <w:rPr>
              <w:rFonts w:ascii="Times New Roman" w:hAnsi="Times New Roman" w:cs="Times New Roman"/>
              <w:sz w:val="24"/>
              <w:szCs w:val="24"/>
            </w:rPr>
            <w:t xml:space="preserve">, K., Alfiero, S., </w:t>
          </w:r>
          <w:proofErr w:type="spellStart"/>
          <w:r w:rsidRPr="004946C3">
            <w:rPr>
              <w:rFonts w:ascii="Times New Roman" w:hAnsi="Times New Roman" w:cs="Times New Roman"/>
              <w:sz w:val="24"/>
              <w:szCs w:val="24"/>
            </w:rPr>
            <w:t>Hasanago</w:t>
          </w:r>
          <w:proofErr w:type="spellEnd"/>
          <w:r w:rsidRPr="004946C3">
            <w:rPr>
              <w:rFonts w:ascii="Times New Roman" w:hAnsi="Times New Roman" w:cs="Times New Roman"/>
              <w:sz w:val="24"/>
              <w:szCs w:val="24"/>
            </w:rPr>
            <w:t xml:space="preserve">, S. and Paolone, F. (2024). Investigating the key success factors within business models that facilitate long‐term value creation for sustainability‐focused start‐ups. </w:t>
          </w:r>
          <w:r w:rsidRPr="004946C3">
            <w:rPr>
              <w:rFonts w:ascii="Times New Roman" w:hAnsi="Times New Roman" w:cs="Times New Roman"/>
              <w:i/>
              <w:iCs/>
              <w:sz w:val="24"/>
              <w:szCs w:val="24"/>
            </w:rPr>
            <w:t>Business ethics, the environment &amp; responsibility</w:t>
          </w:r>
          <w:r w:rsidRPr="004946C3">
            <w:rPr>
              <w:rFonts w:ascii="Times New Roman" w:hAnsi="Times New Roman" w:cs="Times New Roman"/>
              <w:sz w:val="24"/>
              <w:szCs w:val="24"/>
            </w:rPr>
            <w:t xml:space="preserve">. </w:t>
          </w:r>
          <w:hyperlink r:id="rId21" w:history="1">
            <w:r w:rsidRPr="004946C3">
              <w:rPr>
                <w:rStyle w:val="Hyperlink"/>
                <w:rFonts w:ascii="Times New Roman" w:hAnsi="Times New Roman" w:cs="Times New Roman"/>
                <w:sz w:val="24"/>
                <w:szCs w:val="24"/>
              </w:rPr>
              <w:t>https://doi.org/10.1111/beer.12681</w:t>
            </w:r>
          </w:hyperlink>
          <w:r w:rsidRPr="004946C3">
            <w:rPr>
              <w:rFonts w:ascii="Times New Roman" w:hAnsi="Times New Roman" w:cs="Times New Roman"/>
              <w:sz w:val="24"/>
              <w:szCs w:val="24"/>
            </w:rPr>
            <w:t>.</w:t>
          </w:r>
        </w:p>
        <w:p w14:paraId="58551C92" w14:textId="77777777" w:rsidR="00751460" w:rsidRPr="004946C3"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Coelho, R., Jayantilal, S. and Ferreira, J.J. (2023). The impact of social responsibility on corporate financial performance: A systematic literature review. </w:t>
          </w:r>
          <w:r w:rsidRPr="004946C3">
            <w:rPr>
              <w:rFonts w:ascii="Times New Roman" w:hAnsi="Times New Roman" w:cs="Times New Roman"/>
              <w:i/>
              <w:iCs/>
              <w:sz w:val="24"/>
              <w:szCs w:val="24"/>
            </w:rPr>
            <w:t>Corporate Social Responsibility and Environmental Management</w:t>
          </w:r>
          <w:r w:rsidRPr="004946C3">
            <w:rPr>
              <w:rFonts w:ascii="Times New Roman" w:hAnsi="Times New Roman" w:cs="Times New Roman"/>
              <w:sz w:val="24"/>
              <w:szCs w:val="24"/>
            </w:rPr>
            <w:t>, 30(4), pp.1535–1560.</w:t>
          </w:r>
        </w:p>
        <w:p w14:paraId="5435E2E8"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Datu, B. and Nike, E. (2023). </w:t>
          </w:r>
          <w:r w:rsidRPr="004946C3">
            <w:rPr>
              <w:rFonts w:ascii="Times New Roman" w:hAnsi="Times New Roman" w:cs="Times New Roman"/>
              <w:i/>
              <w:iCs/>
              <w:sz w:val="24"/>
              <w:szCs w:val="24"/>
            </w:rPr>
            <w:t>Current Liabilities and Contingencies: Assessment, Disclosure, and Implications for Financial Reporting</w:t>
          </w:r>
          <w:r w:rsidRPr="004946C3">
            <w:rPr>
              <w:rFonts w:ascii="Times New Roman" w:hAnsi="Times New Roman" w:cs="Times New Roman"/>
              <w:sz w:val="24"/>
              <w:szCs w:val="24"/>
            </w:rPr>
            <w:t xml:space="preserve">. </w:t>
          </w:r>
          <w:hyperlink r:id="rId22" w:history="1">
            <w:r w:rsidRPr="004946C3">
              <w:rPr>
                <w:rStyle w:val="Hyperlink"/>
                <w:rFonts w:ascii="Times New Roman" w:hAnsi="Times New Roman" w:cs="Times New Roman"/>
                <w:sz w:val="24"/>
                <w:szCs w:val="24"/>
              </w:rPr>
              <w:t>https://doi.org/10.2139/ssrn.4512255</w:t>
            </w:r>
          </w:hyperlink>
          <w:r w:rsidRPr="004946C3">
            <w:rPr>
              <w:rFonts w:ascii="Times New Roman" w:hAnsi="Times New Roman" w:cs="Times New Roman"/>
              <w:sz w:val="24"/>
              <w:szCs w:val="24"/>
            </w:rPr>
            <w:t>.</w:t>
          </w:r>
        </w:p>
        <w:p w14:paraId="324ECCA7"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32385F">
            <w:rPr>
              <w:rFonts w:ascii="Times New Roman" w:hAnsi="Times New Roman" w:cs="Times New Roman"/>
              <w:sz w:val="24"/>
              <w:szCs w:val="24"/>
            </w:rPr>
            <w:t xml:space="preserve">Drury, C. (2020) Management and Cost Accounting. 11th </w:t>
          </w:r>
          <w:proofErr w:type="spellStart"/>
          <w:r w:rsidRPr="0032385F">
            <w:rPr>
              <w:rFonts w:ascii="Times New Roman" w:hAnsi="Times New Roman" w:cs="Times New Roman"/>
              <w:sz w:val="24"/>
              <w:szCs w:val="24"/>
            </w:rPr>
            <w:t>edn</w:t>
          </w:r>
          <w:proofErr w:type="spellEnd"/>
          <w:r w:rsidRPr="0032385F">
            <w:rPr>
              <w:rFonts w:ascii="Times New Roman" w:hAnsi="Times New Roman" w:cs="Times New Roman"/>
              <w:sz w:val="24"/>
              <w:szCs w:val="24"/>
            </w:rPr>
            <w:t>. Cengage.</w:t>
          </w:r>
        </w:p>
        <w:p w14:paraId="140DEB80"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Fan, J. (2025). Beyond NPV and IRR: An Integrated Capital Budgeting Rule for Real-World Investment Decisions. </w:t>
          </w:r>
          <w:r w:rsidRPr="004946C3">
            <w:rPr>
              <w:rFonts w:ascii="Times New Roman" w:hAnsi="Times New Roman" w:cs="Times New Roman"/>
              <w:i/>
              <w:iCs/>
              <w:sz w:val="24"/>
              <w:szCs w:val="24"/>
            </w:rPr>
            <w:t>Transactions on Economics, Business and Management Research</w:t>
          </w:r>
          <w:r w:rsidRPr="004946C3">
            <w:rPr>
              <w:rFonts w:ascii="Times New Roman" w:hAnsi="Times New Roman" w:cs="Times New Roman"/>
              <w:sz w:val="24"/>
              <w:szCs w:val="24"/>
            </w:rPr>
            <w:t xml:space="preserve">, 16, pp.161–165. </w:t>
          </w:r>
          <w:hyperlink r:id="rId23" w:history="1">
            <w:r w:rsidRPr="004946C3">
              <w:rPr>
                <w:rStyle w:val="Hyperlink"/>
                <w:rFonts w:ascii="Times New Roman" w:hAnsi="Times New Roman" w:cs="Times New Roman"/>
                <w:sz w:val="24"/>
                <w:szCs w:val="24"/>
              </w:rPr>
              <w:t>https://doi.org/10.62051/a4ybws71</w:t>
            </w:r>
          </w:hyperlink>
          <w:r w:rsidRPr="004946C3">
            <w:rPr>
              <w:rFonts w:ascii="Times New Roman" w:hAnsi="Times New Roman" w:cs="Times New Roman"/>
              <w:sz w:val="24"/>
              <w:szCs w:val="24"/>
            </w:rPr>
            <w:t>.</w:t>
          </w:r>
        </w:p>
        <w:p w14:paraId="75105641"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Gaur, S.K. and Jain, A. (2026). Capital–Profitability Nexus in Indian Banking: A Simultaneous Equations Approach. </w:t>
          </w:r>
          <w:r w:rsidRPr="004946C3">
            <w:rPr>
              <w:rFonts w:ascii="Times New Roman" w:hAnsi="Times New Roman" w:cs="Times New Roman"/>
              <w:i/>
              <w:iCs/>
              <w:sz w:val="24"/>
              <w:szCs w:val="24"/>
            </w:rPr>
            <w:t>FIIB Business Review</w:t>
          </w:r>
          <w:r w:rsidRPr="004946C3">
            <w:rPr>
              <w:rFonts w:ascii="Times New Roman" w:hAnsi="Times New Roman" w:cs="Times New Roman"/>
              <w:sz w:val="24"/>
              <w:szCs w:val="24"/>
            </w:rPr>
            <w:t xml:space="preserve">. </w:t>
          </w:r>
          <w:hyperlink r:id="rId24" w:history="1">
            <w:r w:rsidRPr="004946C3">
              <w:rPr>
                <w:rStyle w:val="Hyperlink"/>
                <w:rFonts w:ascii="Times New Roman" w:hAnsi="Times New Roman" w:cs="Times New Roman"/>
                <w:sz w:val="24"/>
                <w:szCs w:val="24"/>
              </w:rPr>
              <w:t>https://doi.org/10.1177/23197145251414575</w:t>
            </w:r>
          </w:hyperlink>
          <w:r w:rsidRPr="004946C3">
            <w:rPr>
              <w:rFonts w:ascii="Times New Roman" w:hAnsi="Times New Roman" w:cs="Times New Roman"/>
              <w:sz w:val="24"/>
              <w:szCs w:val="24"/>
            </w:rPr>
            <w:t>.</w:t>
          </w:r>
        </w:p>
        <w:p w14:paraId="0EC9E3C4"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Gouveia, F.D. and Mamede, H.S. (2022). Digital Transformation for SMES in the Retail Industry. </w:t>
          </w:r>
          <w:r w:rsidRPr="004946C3">
            <w:rPr>
              <w:rFonts w:ascii="Times New Roman" w:hAnsi="Times New Roman" w:cs="Times New Roman"/>
              <w:i/>
              <w:iCs/>
              <w:sz w:val="24"/>
              <w:szCs w:val="24"/>
            </w:rPr>
            <w:t>Procedia Computer Science</w:t>
          </w:r>
          <w:r w:rsidRPr="004946C3">
            <w:rPr>
              <w:rFonts w:ascii="Times New Roman" w:hAnsi="Times New Roman" w:cs="Times New Roman"/>
              <w:sz w:val="24"/>
              <w:szCs w:val="24"/>
            </w:rPr>
            <w:t xml:space="preserve">, 204, pp.671–681. </w:t>
          </w:r>
          <w:hyperlink r:id="rId25" w:history="1">
            <w:r w:rsidRPr="004946C3">
              <w:rPr>
                <w:rStyle w:val="Hyperlink"/>
                <w:rFonts w:ascii="Times New Roman" w:hAnsi="Times New Roman" w:cs="Times New Roman"/>
                <w:sz w:val="24"/>
                <w:szCs w:val="24"/>
              </w:rPr>
              <w:t>https://doi.org/10.1016/j.procs.2022.08.081</w:t>
            </w:r>
          </w:hyperlink>
          <w:r w:rsidRPr="004946C3">
            <w:rPr>
              <w:rFonts w:ascii="Times New Roman" w:hAnsi="Times New Roman" w:cs="Times New Roman"/>
              <w:sz w:val="24"/>
              <w:szCs w:val="24"/>
            </w:rPr>
            <w:t>.</w:t>
          </w:r>
        </w:p>
        <w:p w14:paraId="72339C42"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Hu, C., Han, C., Pervez, A., Hao, J., Xu, G., Tang, J. and Huang, H. (2024). Optimal Deployment of Connected and Autonomous Vehicle Dedicated Lanes: A Trade-Off Between Safety and Efficiency. </w:t>
          </w:r>
          <w:r w:rsidRPr="004946C3">
            <w:rPr>
              <w:rFonts w:ascii="Times New Roman" w:hAnsi="Times New Roman" w:cs="Times New Roman"/>
              <w:i/>
              <w:iCs/>
              <w:sz w:val="24"/>
              <w:szCs w:val="24"/>
            </w:rPr>
            <w:t>IEEE Transactions on Intelligent Transportation Systems</w:t>
          </w:r>
          <w:r w:rsidRPr="004946C3">
            <w:rPr>
              <w:rFonts w:ascii="Times New Roman" w:hAnsi="Times New Roman" w:cs="Times New Roman"/>
              <w:sz w:val="24"/>
              <w:szCs w:val="24"/>
            </w:rPr>
            <w:t xml:space="preserve">, pp.1–23. </w:t>
          </w:r>
          <w:hyperlink r:id="rId26" w:history="1">
            <w:r w:rsidRPr="004946C3">
              <w:rPr>
                <w:rStyle w:val="Hyperlink"/>
                <w:rFonts w:ascii="Times New Roman" w:hAnsi="Times New Roman" w:cs="Times New Roman"/>
                <w:sz w:val="24"/>
                <w:szCs w:val="24"/>
              </w:rPr>
              <w:t>https://doi.org/10.1109/tits.2024.3404923</w:t>
            </w:r>
          </w:hyperlink>
          <w:r w:rsidRPr="004946C3">
            <w:rPr>
              <w:rFonts w:ascii="Times New Roman" w:hAnsi="Times New Roman" w:cs="Times New Roman"/>
              <w:sz w:val="24"/>
              <w:szCs w:val="24"/>
            </w:rPr>
            <w:t>.</w:t>
          </w:r>
        </w:p>
        <w:p w14:paraId="40FE89CF" w14:textId="77777777" w:rsidR="00751460" w:rsidRPr="0032385F" w:rsidRDefault="00751460" w:rsidP="00751460">
          <w:pPr>
            <w:spacing w:after="0" w:line="360" w:lineRule="auto"/>
            <w:ind w:left="720" w:hanging="720"/>
            <w:rPr>
              <w:rFonts w:ascii="Times New Roman" w:hAnsi="Times New Roman" w:cs="Times New Roman"/>
              <w:sz w:val="24"/>
              <w:szCs w:val="24"/>
            </w:rPr>
          </w:pPr>
          <w:proofErr w:type="spellStart"/>
          <w:r w:rsidRPr="004946C3">
            <w:rPr>
              <w:rFonts w:ascii="Times New Roman" w:hAnsi="Times New Roman" w:cs="Times New Roman"/>
              <w:sz w:val="24"/>
              <w:szCs w:val="24"/>
            </w:rPr>
            <w:t>Ivașcenco</w:t>
          </w:r>
          <w:proofErr w:type="spellEnd"/>
          <w:r w:rsidRPr="004946C3">
            <w:rPr>
              <w:rFonts w:ascii="Times New Roman" w:hAnsi="Times New Roman" w:cs="Times New Roman"/>
              <w:sz w:val="24"/>
              <w:szCs w:val="24"/>
            </w:rPr>
            <w:t xml:space="preserve">, I. (2025). Business Antifragility Strategies in the Cosmetics Industry: </w:t>
          </w:r>
          <w:proofErr w:type="spellStart"/>
          <w:r w:rsidRPr="004946C3">
            <w:rPr>
              <w:rFonts w:ascii="Times New Roman" w:hAnsi="Times New Roman" w:cs="Times New Roman"/>
              <w:sz w:val="24"/>
              <w:szCs w:val="24"/>
            </w:rPr>
            <w:t>Modeling</w:t>
          </w:r>
          <w:proofErr w:type="spellEnd"/>
          <w:r w:rsidRPr="004946C3">
            <w:rPr>
              <w:rFonts w:ascii="Times New Roman" w:hAnsi="Times New Roman" w:cs="Times New Roman"/>
              <w:sz w:val="24"/>
              <w:szCs w:val="24"/>
            </w:rPr>
            <w:t xml:space="preserve"> Decision-Making under Uncertainty. </w:t>
          </w:r>
          <w:r w:rsidRPr="004946C3">
            <w:rPr>
              <w:rFonts w:ascii="Times New Roman" w:hAnsi="Times New Roman" w:cs="Times New Roman"/>
              <w:i/>
              <w:iCs/>
              <w:sz w:val="24"/>
              <w:szCs w:val="24"/>
            </w:rPr>
            <w:t>Irek.ase.md</w:t>
          </w:r>
          <w:r w:rsidRPr="004946C3">
            <w:rPr>
              <w:rFonts w:ascii="Times New Roman" w:hAnsi="Times New Roman" w:cs="Times New Roman"/>
              <w:sz w:val="24"/>
              <w:szCs w:val="24"/>
            </w:rPr>
            <w:t>.</w:t>
          </w:r>
          <w:r w:rsidRPr="0032385F">
            <w:rPr>
              <w:rFonts w:ascii="Times New Roman" w:hAnsi="Times New Roman" w:cs="Times New Roman"/>
              <w:sz w:val="24"/>
              <w:szCs w:val="24"/>
            </w:rPr>
            <w:t xml:space="preserve"> </w:t>
          </w:r>
          <w:hyperlink r:id="rId27" w:history="1">
            <w:r w:rsidRPr="004946C3">
              <w:rPr>
                <w:rStyle w:val="Hyperlink"/>
                <w:rFonts w:ascii="Times New Roman" w:hAnsi="Times New Roman" w:cs="Times New Roman"/>
                <w:sz w:val="24"/>
                <w:szCs w:val="24"/>
              </w:rPr>
              <w:t>https://doi.org/978-9975-168-26-7%20(PDF)</w:t>
            </w:r>
          </w:hyperlink>
          <w:r w:rsidRPr="004946C3">
            <w:rPr>
              <w:rFonts w:ascii="Times New Roman" w:hAnsi="Times New Roman" w:cs="Times New Roman"/>
              <w:sz w:val="24"/>
              <w:szCs w:val="24"/>
            </w:rPr>
            <w:t>.</w:t>
          </w:r>
        </w:p>
        <w:p w14:paraId="7FF9B186"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IZUMI, R. and LI, Y. (2025). Financial Stability with Fire Sale Externalities. </w:t>
          </w:r>
          <w:r w:rsidRPr="004946C3">
            <w:rPr>
              <w:rFonts w:ascii="Times New Roman" w:hAnsi="Times New Roman" w:cs="Times New Roman"/>
              <w:i/>
              <w:iCs/>
              <w:sz w:val="24"/>
              <w:szCs w:val="24"/>
            </w:rPr>
            <w:t>Journal of Money, Credit and Banking</w:t>
          </w:r>
          <w:r w:rsidRPr="004946C3">
            <w:rPr>
              <w:rFonts w:ascii="Times New Roman" w:hAnsi="Times New Roman" w:cs="Times New Roman"/>
              <w:sz w:val="24"/>
              <w:szCs w:val="24"/>
            </w:rPr>
            <w:t xml:space="preserve">. </w:t>
          </w:r>
          <w:hyperlink r:id="rId28" w:history="1">
            <w:r w:rsidRPr="004946C3">
              <w:rPr>
                <w:rStyle w:val="Hyperlink"/>
                <w:rFonts w:ascii="Times New Roman" w:hAnsi="Times New Roman" w:cs="Times New Roman"/>
                <w:sz w:val="24"/>
                <w:szCs w:val="24"/>
              </w:rPr>
              <w:t>https://doi.org/10.1111/jmcb.13271</w:t>
            </w:r>
          </w:hyperlink>
          <w:r w:rsidRPr="004946C3">
            <w:rPr>
              <w:rFonts w:ascii="Times New Roman" w:hAnsi="Times New Roman" w:cs="Times New Roman"/>
              <w:sz w:val="24"/>
              <w:szCs w:val="24"/>
            </w:rPr>
            <w:t>.</w:t>
          </w:r>
        </w:p>
        <w:p w14:paraId="291C4E07"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lastRenderedPageBreak/>
            <w:t xml:space="preserve">Jahanbakhsh, E. (2025). Strategic Integration of Digital Innovation and Sustainability: A Foresight-Driven Framework for ESG Transformation. </w:t>
          </w:r>
          <w:proofErr w:type="spellStart"/>
          <w:r w:rsidRPr="004946C3">
            <w:rPr>
              <w:rFonts w:ascii="Times New Roman" w:hAnsi="Times New Roman" w:cs="Times New Roman"/>
              <w:sz w:val="24"/>
              <w:szCs w:val="24"/>
            </w:rPr>
            <w:t>doi</w:t>
          </w:r>
          <w:proofErr w:type="spellEnd"/>
          <w:r w:rsidRPr="004946C3">
            <w:rPr>
              <w:rFonts w:ascii="Times New Roman" w:hAnsi="Times New Roman" w:cs="Times New Roman"/>
              <w:sz w:val="24"/>
              <w:szCs w:val="24"/>
            </w:rPr>
            <w:t>:</w:t>
          </w:r>
          <w:r w:rsidRPr="0032385F">
            <w:rPr>
              <w:rFonts w:ascii="Times New Roman" w:hAnsi="Times New Roman" w:cs="Times New Roman"/>
              <w:sz w:val="24"/>
              <w:szCs w:val="24"/>
            </w:rPr>
            <w:t xml:space="preserve"> </w:t>
          </w:r>
          <w:hyperlink r:id="rId29" w:history="1">
            <w:r w:rsidRPr="004946C3">
              <w:rPr>
                <w:rStyle w:val="Hyperlink"/>
                <w:rFonts w:ascii="Times New Roman" w:hAnsi="Times New Roman" w:cs="Times New Roman"/>
                <w:sz w:val="24"/>
                <w:szCs w:val="24"/>
              </w:rPr>
              <w:t>https://doi.org/10.2139/ssrn.5260002</w:t>
            </w:r>
          </w:hyperlink>
          <w:r w:rsidRPr="004946C3">
            <w:rPr>
              <w:rFonts w:ascii="Times New Roman" w:hAnsi="Times New Roman" w:cs="Times New Roman"/>
              <w:sz w:val="24"/>
              <w:szCs w:val="24"/>
            </w:rPr>
            <w:t>.</w:t>
          </w:r>
        </w:p>
        <w:p w14:paraId="3DEA2F32"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Khan, A. (2024). Capital Rationing and Budget Allocation. </w:t>
          </w:r>
          <w:r w:rsidRPr="004946C3">
            <w:rPr>
              <w:rFonts w:ascii="Times New Roman" w:hAnsi="Times New Roman" w:cs="Times New Roman"/>
              <w:i/>
              <w:iCs/>
              <w:sz w:val="24"/>
              <w:szCs w:val="24"/>
            </w:rPr>
            <w:t>Springer eBooks</w:t>
          </w:r>
          <w:r w:rsidRPr="004946C3">
            <w:rPr>
              <w:rFonts w:ascii="Times New Roman" w:hAnsi="Times New Roman" w:cs="Times New Roman"/>
              <w:sz w:val="24"/>
              <w:szCs w:val="24"/>
            </w:rPr>
            <w:t xml:space="preserve">, pp.329–367. </w:t>
          </w:r>
          <w:proofErr w:type="spellStart"/>
          <w:r w:rsidRPr="004946C3">
            <w:rPr>
              <w:rFonts w:ascii="Times New Roman" w:hAnsi="Times New Roman" w:cs="Times New Roman"/>
              <w:sz w:val="24"/>
              <w:szCs w:val="24"/>
            </w:rPr>
            <w:t>doi</w:t>
          </w:r>
          <w:proofErr w:type="spellEnd"/>
          <w:r w:rsidRPr="004946C3">
            <w:rPr>
              <w:rFonts w:ascii="Times New Roman" w:hAnsi="Times New Roman" w:cs="Times New Roman"/>
              <w:sz w:val="24"/>
              <w:szCs w:val="24"/>
            </w:rPr>
            <w:t>:</w:t>
          </w:r>
          <w:r w:rsidRPr="0032385F">
            <w:rPr>
              <w:rFonts w:ascii="Times New Roman" w:hAnsi="Times New Roman" w:cs="Times New Roman"/>
              <w:sz w:val="24"/>
              <w:szCs w:val="24"/>
            </w:rPr>
            <w:t xml:space="preserve"> </w:t>
          </w:r>
          <w:hyperlink r:id="rId30" w:history="1">
            <w:r w:rsidRPr="004946C3">
              <w:rPr>
                <w:rStyle w:val="Hyperlink"/>
                <w:rFonts w:ascii="Times New Roman" w:hAnsi="Times New Roman" w:cs="Times New Roman"/>
                <w:sz w:val="24"/>
                <w:szCs w:val="24"/>
              </w:rPr>
              <w:t>https://doi.org/10.1007/978-3-031-53674-8_9</w:t>
            </w:r>
          </w:hyperlink>
          <w:r w:rsidRPr="004946C3">
            <w:rPr>
              <w:rFonts w:ascii="Times New Roman" w:hAnsi="Times New Roman" w:cs="Times New Roman"/>
              <w:sz w:val="24"/>
              <w:szCs w:val="24"/>
            </w:rPr>
            <w:t>.</w:t>
          </w:r>
        </w:p>
        <w:p w14:paraId="5C216409"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Larsen, J.E. (2024). Education Briefing: A review of problematic investment selection issues associated with IRR and NPV benchmarks. </w:t>
          </w:r>
          <w:r w:rsidRPr="004946C3">
            <w:rPr>
              <w:rFonts w:ascii="Times New Roman" w:hAnsi="Times New Roman" w:cs="Times New Roman"/>
              <w:i/>
              <w:iCs/>
              <w:sz w:val="24"/>
              <w:szCs w:val="24"/>
            </w:rPr>
            <w:t>Journal of Property Investment and Finance</w:t>
          </w:r>
          <w:r w:rsidRPr="004946C3">
            <w:rPr>
              <w:rFonts w:ascii="Times New Roman" w:hAnsi="Times New Roman" w:cs="Times New Roman"/>
              <w:sz w:val="24"/>
              <w:szCs w:val="24"/>
            </w:rPr>
            <w:t xml:space="preserve">, 42(6). </w:t>
          </w:r>
          <w:hyperlink r:id="rId31" w:history="1">
            <w:r w:rsidRPr="004946C3">
              <w:rPr>
                <w:rStyle w:val="Hyperlink"/>
                <w:rFonts w:ascii="Times New Roman" w:hAnsi="Times New Roman" w:cs="Times New Roman"/>
                <w:sz w:val="24"/>
                <w:szCs w:val="24"/>
              </w:rPr>
              <w:t>https://doi.org/10.1108/jpif-04-2024-0051</w:t>
            </w:r>
          </w:hyperlink>
          <w:r w:rsidRPr="004946C3">
            <w:rPr>
              <w:rFonts w:ascii="Times New Roman" w:hAnsi="Times New Roman" w:cs="Times New Roman"/>
              <w:sz w:val="24"/>
              <w:szCs w:val="24"/>
            </w:rPr>
            <w:t>.</w:t>
          </w:r>
        </w:p>
        <w:p w14:paraId="08078311" w14:textId="77777777" w:rsidR="00751460" w:rsidRPr="004946C3"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Liu, Y. (2022). Evaluation Method Based on NPV and IRR. </w:t>
          </w:r>
          <w:r w:rsidRPr="004946C3">
            <w:rPr>
              <w:rFonts w:ascii="Times New Roman" w:hAnsi="Times New Roman" w:cs="Times New Roman"/>
              <w:i/>
              <w:iCs/>
              <w:sz w:val="24"/>
              <w:szCs w:val="24"/>
            </w:rPr>
            <w:t>Proceedings of the 2022 2nd International Conference on Enterprise Management and Economic Development (ICEMED 2022)</w:t>
          </w:r>
          <w:r w:rsidRPr="004946C3">
            <w:rPr>
              <w:rFonts w:ascii="Times New Roman" w:hAnsi="Times New Roman" w:cs="Times New Roman"/>
              <w:sz w:val="24"/>
              <w:szCs w:val="24"/>
            </w:rPr>
            <w:t xml:space="preserve">. </w:t>
          </w:r>
          <w:proofErr w:type="spellStart"/>
          <w:proofErr w:type="gramStart"/>
          <w:r w:rsidRPr="004946C3">
            <w:rPr>
              <w:rFonts w:ascii="Times New Roman" w:hAnsi="Times New Roman" w:cs="Times New Roman"/>
              <w:sz w:val="24"/>
              <w:szCs w:val="24"/>
            </w:rPr>
            <w:t>doi:https</w:t>
          </w:r>
          <w:proofErr w:type="spellEnd"/>
          <w:r w:rsidRPr="004946C3">
            <w:rPr>
              <w:rFonts w:ascii="Times New Roman" w:hAnsi="Times New Roman" w:cs="Times New Roman"/>
              <w:sz w:val="24"/>
              <w:szCs w:val="24"/>
            </w:rPr>
            <w:t>://doi.org/10.2991/aebmr.k.220603.133</w:t>
          </w:r>
          <w:proofErr w:type="gramEnd"/>
          <w:r w:rsidRPr="004946C3">
            <w:rPr>
              <w:rFonts w:ascii="Times New Roman" w:hAnsi="Times New Roman" w:cs="Times New Roman"/>
              <w:sz w:val="24"/>
              <w:szCs w:val="24"/>
            </w:rPr>
            <w:t>.</w:t>
          </w:r>
        </w:p>
        <w:p w14:paraId="233BD5D4"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Maina, J. (2023). The Impact of Changes in the Capital Structure on the Financial Performance of UK Commercial Banks: Case of Lloyds Bank, HSBC Bank and Barclays Bank. </w:t>
          </w:r>
          <w:r w:rsidRPr="004946C3">
            <w:rPr>
              <w:rFonts w:ascii="Times New Roman" w:hAnsi="Times New Roman" w:cs="Times New Roman"/>
              <w:i/>
              <w:iCs/>
              <w:sz w:val="24"/>
              <w:szCs w:val="24"/>
            </w:rPr>
            <w:t xml:space="preserve"> </w:t>
          </w:r>
          <w:hyperlink r:id="rId32" w:history="1">
            <w:r w:rsidRPr="004946C3">
              <w:rPr>
                <w:rStyle w:val="Hyperlink"/>
                <w:rFonts w:ascii="Times New Roman" w:hAnsi="Times New Roman" w:cs="Times New Roman"/>
                <w:sz w:val="24"/>
                <w:szCs w:val="24"/>
              </w:rPr>
              <w:t>https://eaj.ebujournals.lu/index.php/EAJ/article/view/88</w:t>
            </w:r>
          </w:hyperlink>
          <w:r w:rsidRPr="004946C3">
            <w:rPr>
              <w:rFonts w:ascii="Times New Roman" w:hAnsi="Times New Roman" w:cs="Times New Roman"/>
              <w:sz w:val="24"/>
              <w:szCs w:val="24"/>
            </w:rPr>
            <w:t>.</w:t>
          </w:r>
        </w:p>
        <w:p w14:paraId="4986F7C3"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Maqsood, N., Shahid, T.A. and Rehman, A.U. (2024). The Impact of Dividend and Tax Avoidance on Earning Management of Companies. </w:t>
          </w:r>
          <w:r w:rsidRPr="004946C3">
            <w:rPr>
              <w:rFonts w:ascii="Times New Roman" w:hAnsi="Times New Roman" w:cs="Times New Roman"/>
              <w:i/>
              <w:iCs/>
              <w:sz w:val="24"/>
              <w:szCs w:val="24"/>
            </w:rPr>
            <w:t>Bulletin of Business and Economics (BBE)</w:t>
          </w:r>
          <w:r w:rsidRPr="004946C3">
            <w:rPr>
              <w:rFonts w:ascii="Times New Roman" w:hAnsi="Times New Roman" w:cs="Times New Roman"/>
              <w:sz w:val="24"/>
              <w:szCs w:val="24"/>
            </w:rPr>
            <w:t xml:space="preserve">, 13(1). </w:t>
          </w:r>
          <w:hyperlink r:id="rId33" w:history="1">
            <w:r w:rsidRPr="004946C3">
              <w:rPr>
                <w:rStyle w:val="Hyperlink"/>
                <w:rFonts w:ascii="Times New Roman" w:hAnsi="Times New Roman" w:cs="Times New Roman"/>
                <w:sz w:val="24"/>
                <w:szCs w:val="24"/>
              </w:rPr>
              <w:t>https://doi.org/10.61506/01.00201</w:t>
            </w:r>
          </w:hyperlink>
          <w:r w:rsidRPr="004946C3">
            <w:rPr>
              <w:rFonts w:ascii="Times New Roman" w:hAnsi="Times New Roman" w:cs="Times New Roman"/>
              <w:sz w:val="24"/>
              <w:szCs w:val="24"/>
            </w:rPr>
            <w:t>.</w:t>
          </w:r>
        </w:p>
        <w:p w14:paraId="59DBD432"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Martínez, A. (2025). Maximizing Shareholder Value through Project Finance in a Photovoltaic Power Plant - Alonso Martínez de Salinas</w:t>
          </w:r>
          <w:r w:rsidRPr="0032385F">
            <w:rPr>
              <w:rFonts w:ascii="Times New Roman" w:hAnsi="Times New Roman" w:cs="Times New Roman"/>
              <w:sz w:val="24"/>
              <w:szCs w:val="24"/>
            </w:rPr>
            <w:t xml:space="preserve">, </w:t>
          </w:r>
          <w:hyperlink r:id="rId34" w:history="1">
            <w:r w:rsidRPr="004946C3">
              <w:rPr>
                <w:rStyle w:val="Hyperlink"/>
                <w:rFonts w:ascii="Times New Roman" w:hAnsi="Times New Roman" w:cs="Times New Roman"/>
                <w:sz w:val="24"/>
                <w:szCs w:val="24"/>
              </w:rPr>
              <w:t>http://hdl.handle.net/11531/88404</w:t>
            </w:r>
          </w:hyperlink>
          <w:r w:rsidRPr="004946C3">
            <w:rPr>
              <w:rFonts w:ascii="Times New Roman" w:hAnsi="Times New Roman" w:cs="Times New Roman"/>
              <w:sz w:val="24"/>
              <w:szCs w:val="24"/>
            </w:rPr>
            <w:t>.</w:t>
          </w:r>
        </w:p>
        <w:p w14:paraId="616872A1"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Mateev, M., Sahyouni, A. and Tariq, M.U. (2022). Bank regulation, ownership and </w:t>
          </w:r>
          <w:proofErr w:type="gramStart"/>
          <w:r w:rsidRPr="004946C3">
            <w:rPr>
              <w:rFonts w:ascii="Times New Roman" w:hAnsi="Times New Roman" w:cs="Times New Roman"/>
              <w:sz w:val="24"/>
              <w:szCs w:val="24"/>
            </w:rPr>
            <w:t>risk taking</w:t>
          </w:r>
          <w:proofErr w:type="gramEnd"/>
          <w:r w:rsidRPr="004946C3">
            <w:rPr>
              <w:rFonts w:ascii="Times New Roman" w:hAnsi="Times New Roman" w:cs="Times New Roman"/>
              <w:sz w:val="24"/>
              <w:szCs w:val="24"/>
            </w:rPr>
            <w:t xml:space="preserve"> </w:t>
          </w:r>
          <w:proofErr w:type="spellStart"/>
          <w:r w:rsidRPr="004946C3">
            <w:rPr>
              <w:rFonts w:ascii="Times New Roman" w:hAnsi="Times New Roman" w:cs="Times New Roman"/>
              <w:sz w:val="24"/>
              <w:szCs w:val="24"/>
            </w:rPr>
            <w:t>behavior</w:t>
          </w:r>
          <w:proofErr w:type="spellEnd"/>
          <w:r w:rsidRPr="004946C3">
            <w:rPr>
              <w:rFonts w:ascii="Times New Roman" w:hAnsi="Times New Roman" w:cs="Times New Roman"/>
              <w:sz w:val="24"/>
              <w:szCs w:val="24"/>
            </w:rPr>
            <w:t xml:space="preserve"> in the MENA region: policy implications for banks in emerging economies. </w:t>
          </w:r>
          <w:r w:rsidRPr="004946C3">
            <w:rPr>
              <w:rFonts w:ascii="Times New Roman" w:hAnsi="Times New Roman" w:cs="Times New Roman"/>
              <w:i/>
              <w:iCs/>
              <w:sz w:val="24"/>
              <w:szCs w:val="24"/>
            </w:rPr>
            <w:t>Review of Managerial Science</w:t>
          </w:r>
          <w:r w:rsidRPr="004946C3">
            <w:rPr>
              <w:rFonts w:ascii="Times New Roman" w:hAnsi="Times New Roman" w:cs="Times New Roman"/>
              <w:sz w:val="24"/>
              <w:szCs w:val="24"/>
            </w:rPr>
            <w:t>.</w:t>
          </w:r>
          <w:r w:rsidRPr="0032385F">
            <w:rPr>
              <w:rFonts w:ascii="Times New Roman" w:hAnsi="Times New Roman" w:cs="Times New Roman"/>
              <w:sz w:val="24"/>
              <w:szCs w:val="24"/>
            </w:rPr>
            <w:t xml:space="preserve"> </w:t>
          </w:r>
          <w:hyperlink r:id="rId35" w:history="1">
            <w:r w:rsidRPr="004946C3">
              <w:rPr>
                <w:rStyle w:val="Hyperlink"/>
                <w:rFonts w:ascii="Times New Roman" w:hAnsi="Times New Roman" w:cs="Times New Roman"/>
                <w:sz w:val="24"/>
                <w:szCs w:val="24"/>
              </w:rPr>
              <w:t>https://doi.org/10.1007/s11846-022-00529-5</w:t>
            </w:r>
          </w:hyperlink>
          <w:r w:rsidRPr="004946C3">
            <w:rPr>
              <w:rFonts w:ascii="Times New Roman" w:hAnsi="Times New Roman" w:cs="Times New Roman"/>
              <w:sz w:val="24"/>
              <w:szCs w:val="24"/>
            </w:rPr>
            <w:t>.</w:t>
          </w:r>
        </w:p>
        <w:p w14:paraId="7F027CFA"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Matias, T.H. (2024). </w:t>
          </w:r>
          <w:r w:rsidRPr="004946C3">
            <w:rPr>
              <w:rFonts w:ascii="Times New Roman" w:hAnsi="Times New Roman" w:cs="Times New Roman"/>
              <w:i/>
              <w:iCs/>
              <w:sz w:val="24"/>
              <w:szCs w:val="24"/>
            </w:rPr>
            <w:t>The difference in IFRS and FAS accounting systems and their effects on financial ratios</w:t>
          </w:r>
          <w:r w:rsidRPr="004946C3">
            <w:rPr>
              <w:rFonts w:ascii="Times New Roman" w:hAnsi="Times New Roman" w:cs="Times New Roman"/>
              <w:sz w:val="24"/>
              <w:szCs w:val="24"/>
            </w:rPr>
            <w:t xml:space="preserve">. </w:t>
          </w:r>
          <w:hyperlink r:id="rId36" w:history="1">
            <w:r w:rsidRPr="004946C3">
              <w:rPr>
                <w:rStyle w:val="Hyperlink"/>
                <w:rFonts w:ascii="Times New Roman" w:hAnsi="Times New Roman" w:cs="Times New Roman"/>
                <w:sz w:val="24"/>
                <w:szCs w:val="24"/>
              </w:rPr>
              <w:t>https://osuva.uwasa.fi/items/d65d1a9e-3d6e-4693-891f-f1b8579da48d</w:t>
            </w:r>
          </w:hyperlink>
          <w:r w:rsidRPr="004946C3">
            <w:rPr>
              <w:rFonts w:ascii="Times New Roman" w:hAnsi="Times New Roman" w:cs="Times New Roman"/>
              <w:sz w:val="24"/>
              <w:szCs w:val="24"/>
            </w:rPr>
            <w:t>.</w:t>
          </w:r>
        </w:p>
        <w:p w14:paraId="1D8171A4"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Meng, T., Dato Haji Yahya, M.H., Ashhari, Z.M. and Yu, D. (2023). ESG performance, investor attention, and company reputation: Threshold model analysis based on panel data from listed companies in China. 9(10), p.e20974. </w:t>
          </w:r>
          <w:hyperlink r:id="rId37" w:history="1">
            <w:r w:rsidRPr="004946C3">
              <w:rPr>
                <w:rStyle w:val="Hyperlink"/>
                <w:rFonts w:ascii="Times New Roman" w:hAnsi="Times New Roman" w:cs="Times New Roman"/>
                <w:sz w:val="24"/>
                <w:szCs w:val="24"/>
              </w:rPr>
              <w:t>https://doi.org/10.1016/j.heliyon.2023.e20974</w:t>
            </w:r>
          </w:hyperlink>
          <w:r w:rsidRPr="004946C3">
            <w:rPr>
              <w:rFonts w:ascii="Times New Roman" w:hAnsi="Times New Roman" w:cs="Times New Roman"/>
              <w:sz w:val="24"/>
              <w:szCs w:val="24"/>
            </w:rPr>
            <w:t>.</w:t>
          </w:r>
        </w:p>
        <w:p w14:paraId="09F16CEF"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Mohale (2025). </w:t>
          </w:r>
          <w:r w:rsidRPr="004946C3">
            <w:rPr>
              <w:rFonts w:ascii="Times New Roman" w:hAnsi="Times New Roman" w:cs="Times New Roman"/>
              <w:i/>
              <w:iCs/>
              <w:sz w:val="24"/>
              <w:szCs w:val="24"/>
            </w:rPr>
            <w:t>An Empirical Analysis of Cash Flow Effects on Dividend Decisions of Financial Institutions Listed on the Johannesburg Stock Exchange in South Africa - ProQuest</w:t>
          </w:r>
          <w:r w:rsidRPr="004946C3">
            <w:rPr>
              <w:rFonts w:ascii="Times New Roman" w:hAnsi="Times New Roman" w:cs="Times New Roman"/>
              <w:sz w:val="24"/>
              <w:szCs w:val="24"/>
            </w:rPr>
            <w:t xml:space="preserve">. [online] Proquest.com. </w:t>
          </w:r>
          <w:hyperlink r:id="rId38" w:history="1">
            <w:r w:rsidRPr="004946C3">
              <w:rPr>
                <w:rStyle w:val="Hyperlink"/>
                <w:rFonts w:ascii="Times New Roman" w:hAnsi="Times New Roman" w:cs="Times New Roman"/>
                <w:sz w:val="24"/>
                <w:szCs w:val="24"/>
              </w:rPr>
              <w:t>https://search.proquest.com/openview/a3b820079313fa09cea03e628a446852/1?pq-origsite=gscholar&amp;cbl=2026366&amp;diss=y</w:t>
            </w:r>
          </w:hyperlink>
          <w:r w:rsidRPr="004946C3">
            <w:rPr>
              <w:rFonts w:ascii="Times New Roman" w:hAnsi="Times New Roman" w:cs="Times New Roman"/>
              <w:sz w:val="24"/>
              <w:szCs w:val="24"/>
            </w:rPr>
            <w:t>.</w:t>
          </w:r>
        </w:p>
        <w:p w14:paraId="0DECC3D3"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Mohamed Buallay, A., Al Marri, M., Nasrallah, N., Hamdan, A., Barone, E. and </w:t>
          </w:r>
          <w:proofErr w:type="spellStart"/>
          <w:r w:rsidRPr="004946C3">
            <w:rPr>
              <w:rFonts w:ascii="Times New Roman" w:hAnsi="Times New Roman" w:cs="Times New Roman"/>
              <w:sz w:val="24"/>
              <w:szCs w:val="24"/>
            </w:rPr>
            <w:t>Zureigat</w:t>
          </w:r>
          <w:proofErr w:type="spellEnd"/>
          <w:r w:rsidRPr="004946C3">
            <w:rPr>
              <w:rFonts w:ascii="Times New Roman" w:hAnsi="Times New Roman" w:cs="Times New Roman"/>
              <w:sz w:val="24"/>
              <w:szCs w:val="24"/>
            </w:rPr>
            <w:t xml:space="preserve">, Q. (2021). Sustainability reporting in banking and financial services sector: A regional analysis. </w:t>
          </w:r>
          <w:r w:rsidRPr="004946C3">
            <w:rPr>
              <w:rFonts w:ascii="Times New Roman" w:hAnsi="Times New Roman" w:cs="Times New Roman"/>
              <w:i/>
              <w:iCs/>
              <w:sz w:val="24"/>
              <w:szCs w:val="24"/>
            </w:rPr>
            <w:t>Journal of Sustainable Finance &amp; Investment</w:t>
          </w:r>
          <w:r w:rsidRPr="004946C3">
            <w:rPr>
              <w:rFonts w:ascii="Times New Roman" w:hAnsi="Times New Roman" w:cs="Times New Roman"/>
              <w:sz w:val="24"/>
              <w:szCs w:val="24"/>
            </w:rPr>
            <w:t xml:space="preserve">, 13(1), pp.1–26. </w:t>
          </w:r>
          <w:proofErr w:type="spellStart"/>
          <w:r w:rsidRPr="004946C3">
            <w:rPr>
              <w:rFonts w:ascii="Times New Roman" w:hAnsi="Times New Roman" w:cs="Times New Roman"/>
              <w:sz w:val="24"/>
              <w:szCs w:val="24"/>
            </w:rPr>
            <w:t>doi</w:t>
          </w:r>
          <w:proofErr w:type="spellEnd"/>
          <w:r w:rsidRPr="004946C3">
            <w:rPr>
              <w:rFonts w:ascii="Times New Roman" w:hAnsi="Times New Roman" w:cs="Times New Roman"/>
              <w:sz w:val="24"/>
              <w:szCs w:val="24"/>
            </w:rPr>
            <w:t>:</w:t>
          </w:r>
          <w:r w:rsidRPr="0032385F">
            <w:rPr>
              <w:rFonts w:ascii="Times New Roman" w:hAnsi="Times New Roman" w:cs="Times New Roman"/>
              <w:sz w:val="24"/>
              <w:szCs w:val="24"/>
            </w:rPr>
            <w:t xml:space="preserve"> </w:t>
          </w:r>
          <w:hyperlink r:id="rId39" w:history="1">
            <w:r w:rsidRPr="004946C3">
              <w:rPr>
                <w:rStyle w:val="Hyperlink"/>
                <w:rFonts w:ascii="Times New Roman" w:hAnsi="Times New Roman" w:cs="Times New Roman"/>
                <w:sz w:val="24"/>
                <w:szCs w:val="24"/>
              </w:rPr>
              <w:t>https://doi.org/10.1080/20430795.2021.1978919</w:t>
            </w:r>
          </w:hyperlink>
          <w:r w:rsidRPr="004946C3">
            <w:rPr>
              <w:rFonts w:ascii="Times New Roman" w:hAnsi="Times New Roman" w:cs="Times New Roman"/>
              <w:sz w:val="24"/>
              <w:szCs w:val="24"/>
            </w:rPr>
            <w:t>.</w:t>
          </w:r>
        </w:p>
        <w:p w14:paraId="4F213591" w14:textId="77777777" w:rsidR="00751460" w:rsidRPr="0032385F" w:rsidRDefault="00751460" w:rsidP="00751460">
          <w:pPr>
            <w:spacing w:after="0" w:line="360" w:lineRule="auto"/>
            <w:ind w:left="720" w:hanging="720"/>
            <w:rPr>
              <w:rFonts w:ascii="Times New Roman" w:hAnsi="Times New Roman" w:cs="Times New Roman"/>
              <w:sz w:val="24"/>
              <w:szCs w:val="24"/>
            </w:rPr>
          </w:pPr>
          <w:proofErr w:type="spellStart"/>
          <w:r w:rsidRPr="004946C3">
            <w:rPr>
              <w:rFonts w:ascii="Times New Roman" w:hAnsi="Times New Roman" w:cs="Times New Roman"/>
              <w:sz w:val="24"/>
              <w:szCs w:val="24"/>
            </w:rPr>
            <w:t>Obadire</w:t>
          </w:r>
          <w:proofErr w:type="spellEnd"/>
          <w:r w:rsidRPr="004946C3">
            <w:rPr>
              <w:rFonts w:ascii="Times New Roman" w:hAnsi="Times New Roman" w:cs="Times New Roman"/>
              <w:sz w:val="24"/>
              <w:szCs w:val="24"/>
            </w:rPr>
            <w:t xml:space="preserve">, A.M., Moyo, V. and </w:t>
          </w:r>
          <w:proofErr w:type="spellStart"/>
          <w:r w:rsidRPr="004946C3">
            <w:rPr>
              <w:rFonts w:ascii="Times New Roman" w:hAnsi="Times New Roman" w:cs="Times New Roman"/>
              <w:sz w:val="24"/>
              <w:szCs w:val="24"/>
            </w:rPr>
            <w:t>Munzhelele</w:t>
          </w:r>
          <w:proofErr w:type="spellEnd"/>
          <w:r w:rsidRPr="004946C3">
            <w:rPr>
              <w:rFonts w:ascii="Times New Roman" w:hAnsi="Times New Roman" w:cs="Times New Roman"/>
              <w:sz w:val="24"/>
              <w:szCs w:val="24"/>
            </w:rPr>
            <w:t xml:space="preserve">, N.F. (2022). Basel III Capital Regulations and Bank Efficiency: Evidence from Selected African Countries. </w:t>
          </w:r>
          <w:r w:rsidRPr="004946C3">
            <w:rPr>
              <w:rFonts w:ascii="Times New Roman" w:hAnsi="Times New Roman" w:cs="Times New Roman"/>
              <w:i/>
              <w:iCs/>
              <w:sz w:val="24"/>
              <w:szCs w:val="24"/>
            </w:rPr>
            <w:t>International Journal of Financial Studies</w:t>
          </w:r>
          <w:r w:rsidRPr="004946C3">
            <w:rPr>
              <w:rFonts w:ascii="Times New Roman" w:hAnsi="Times New Roman" w:cs="Times New Roman"/>
              <w:sz w:val="24"/>
              <w:szCs w:val="24"/>
            </w:rPr>
            <w:t xml:space="preserve">, [online] 10(3), p.57. </w:t>
          </w:r>
          <w:proofErr w:type="spellStart"/>
          <w:r w:rsidRPr="004946C3">
            <w:rPr>
              <w:rFonts w:ascii="Times New Roman" w:hAnsi="Times New Roman" w:cs="Times New Roman"/>
              <w:sz w:val="24"/>
              <w:szCs w:val="24"/>
            </w:rPr>
            <w:t>doi</w:t>
          </w:r>
          <w:proofErr w:type="spellEnd"/>
          <w:r w:rsidRPr="004946C3">
            <w:rPr>
              <w:rFonts w:ascii="Times New Roman" w:hAnsi="Times New Roman" w:cs="Times New Roman"/>
              <w:sz w:val="24"/>
              <w:szCs w:val="24"/>
            </w:rPr>
            <w:t>:</w:t>
          </w:r>
          <w:r w:rsidRPr="0032385F">
            <w:rPr>
              <w:rFonts w:ascii="Times New Roman" w:hAnsi="Times New Roman" w:cs="Times New Roman"/>
              <w:sz w:val="24"/>
              <w:szCs w:val="24"/>
            </w:rPr>
            <w:t xml:space="preserve"> </w:t>
          </w:r>
          <w:hyperlink r:id="rId40" w:history="1">
            <w:r w:rsidRPr="004946C3">
              <w:rPr>
                <w:rStyle w:val="Hyperlink"/>
                <w:rFonts w:ascii="Times New Roman" w:hAnsi="Times New Roman" w:cs="Times New Roman"/>
                <w:sz w:val="24"/>
                <w:szCs w:val="24"/>
              </w:rPr>
              <w:t>https://doi.org/10.3390/ijfs10030057</w:t>
            </w:r>
          </w:hyperlink>
          <w:r w:rsidRPr="004946C3">
            <w:rPr>
              <w:rFonts w:ascii="Times New Roman" w:hAnsi="Times New Roman" w:cs="Times New Roman"/>
              <w:sz w:val="24"/>
              <w:szCs w:val="24"/>
            </w:rPr>
            <w:t>.</w:t>
          </w:r>
        </w:p>
        <w:p w14:paraId="4810D331"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Perna, A. (2024). Optimization of Internal Rate of Return and Net Present Value for investments - </w:t>
          </w:r>
          <w:proofErr w:type="spellStart"/>
          <w:r w:rsidRPr="004946C3">
            <w:rPr>
              <w:rFonts w:ascii="Times New Roman" w:hAnsi="Times New Roman" w:cs="Times New Roman"/>
              <w:sz w:val="24"/>
              <w:szCs w:val="24"/>
            </w:rPr>
            <w:t>WebThesis</w:t>
          </w:r>
          <w:proofErr w:type="spellEnd"/>
          <w:r w:rsidRPr="004946C3">
            <w:rPr>
              <w:rFonts w:ascii="Times New Roman" w:hAnsi="Times New Roman" w:cs="Times New Roman"/>
              <w:sz w:val="24"/>
              <w:szCs w:val="24"/>
            </w:rPr>
            <w:t xml:space="preserve">. </w:t>
          </w:r>
          <w:hyperlink r:id="rId41" w:history="1">
            <w:r w:rsidRPr="004946C3">
              <w:rPr>
                <w:rStyle w:val="Hyperlink"/>
                <w:rFonts w:ascii="Times New Roman" w:hAnsi="Times New Roman" w:cs="Times New Roman"/>
                <w:sz w:val="24"/>
                <w:szCs w:val="24"/>
              </w:rPr>
              <w:t>https://webthesis.biblio.polito.it/32044/1/tesi.pdf</w:t>
            </w:r>
          </w:hyperlink>
          <w:r w:rsidRPr="004946C3">
            <w:rPr>
              <w:rFonts w:ascii="Times New Roman" w:hAnsi="Times New Roman" w:cs="Times New Roman"/>
              <w:sz w:val="24"/>
              <w:szCs w:val="24"/>
            </w:rPr>
            <w:t>.</w:t>
          </w:r>
        </w:p>
        <w:p w14:paraId="4882DEA2"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Rascher, D.A. (2021). Debt and Equity Financing. </w:t>
          </w:r>
          <w:r w:rsidRPr="004946C3">
            <w:rPr>
              <w:rFonts w:ascii="Times New Roman" w:hAnsi="Times New Roman" w:cs="Times New Roman"/>
              <w:i/>
              <w:iCs/>
              <w:sz w:val="24"/>
              <w:szCs w:val="24"/>
            </w:rPr>
            <w:t>Routledge eBooks</w:t>
          </w:r>
          <w:r w:rsidRPr="004946C3">
            <w:rPr>
              <w:rFonts w:ascii="Times New Roman" w:hAnsi="Times New Roman" w:cs="Times New Roman"/>
              <w:sz w:val="24"/>
              <w:szCs w:val="24"/>
            </w:rPr>
            <w:t xml:space="preserve">, pp.220–243. </w:t>
          </w:r>
          <w:hyperlink r:id="rId42" w:history="1">
            <w:r w:rsidRPr="004946C3">
              <w:rPr>
                <w:rStyle w:val="Hyperlink"/>
                <w:rFonts w:ascii="Times New Roman" w:hAnsi="Times New Roman" w:cs="Times New Roman"/>
                <w:sz w:val="24"/>
                <w:szCs w:val="24"/>
              </w:rPr>
              <w:t>https://doi.org/10.4324/9780429316746-9</w:t>
            </w:r>
          </w:hyperlink>
          <w:r w:rsidRPr="004946C3">
            <w:rPr>
              <w:rFonts w:ascii="Times New Roman" w:hAnsi="Times New Roman" w:cs="Times New Roman"/>
              <w:sz w:val="24"/>
              <w:szCs w:val="24"/>
            </w:rPr>
            <w:t>.</w:t>
          </w:r>
        </w:p>
        <w:p w14:paraId="5FA3D2E7"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Ridwan, S., Syah, T.Y.R., </w:t>
          </w:r>
          <w:proofErr w:type="spellStart"/>
          <w:r w:rsidRPr="004946C3">
            <w:rPr>
              <w:rFonts w:ascii="Times New Roman" w:hAnsi="Times New Roman" w:cs="Times New Roman"/>
              <w:sz w:val="24"/>
              <w:szCs w:val="24"/>
            </w:rPr>
            <w:t>Kustiawan</w:t>
          </w:r>
          <w:proofErr w:type="spellEnd"/>
          <w:r w:rsidRPr="004946C3">
            <w:rPr>
              <w:rFonts w:ascii="Times New Roman" w:hAnsi="Times New Roman" w:cs="Times New Roman"/>
              <w:sz w:val="24"/>
              <w:szCs w:val="24"/>
            </w:rPr>
            <w:t xml:space="preserve">, U. and </w:t>
          </w:r>
          <w:proofErr w:type="spellStart"/>
          <w:r w:rsidRPr="004946C3">
            <w:rPr>
              <w:rFonts w:ascii="Times New Roman" w:hAnsi="Times New Roman" w:cs="Times New Roman"/>
              <w:sz w:val="24"/>
              <w:szCs w:val="24"/>
            </w:rPr>
            <w:t>Nofierni</w:t>
          </w:r>
          <w:proofErr w:type="spellEnd"/>
          <w:r w:rsidRPr="004946C3">
            <w:rPr>
              <w:rFonts w:ascii="Times New Roman" w:hAnsi="Times New Roman" w:cs="Times New Roman"/>
              <w:sz w:val="24"/>
              <w:szCs w:val="24"/>
            </w:rPr>
            <w:t xml:space="preserve">, N. (2025). Financial Planning and Investment Feasibility Analysis Based on Five-Year Projections Using ROI, NPV, IRR, and Financial Ratios. </w:t>
          </w:r>
          <w:r w:rsidRPr="004946C3">
            <w:rPr>
              <w:rFonts w:ascii="Times New Roman" w:hAnsi="Times New Roman" w:cs="Times New Roman"/>
              <w:i/>
              <w:iCs/>
              <w:sz w:val="24"/>
              <w:szCs w:val="24"/>
            </w:rPr>
            <w:t xml:space="preserve">Journal La </w:t>
          </w:r>
          <w:proofErr w:type="spellStart"/>
          <w:r w:rsidRPr="004946C3">
            <w:rPr>
              <w:rFonts w:ascii="Times New Roman" w:hAnsi="Times New Roman" w:cs="Times New Roman"/>
              <w:i/>
              <w:iCs/>
              <w:sz w:val="24"/>
              <w:szCs w:val="24"/>
            </w:rPr>
            <w:t>Bisecoman</w:t>
          </w:r>
          <w:proofErr w:type="spellEnd"/>
          <w:r w:rsidRPr="004946C3">
            <w:rPr>
              <w:rFonts w:ascii="Times New Roman" w:hAnsi="Times New Roman" w:cs="Times New Roman"/>
              <w:sz w:val="24"/>
              <w:szCs w:val="24"/>
            </w:rPr>
            <w:t xml:space="preserve">, 6(2), pp.489–506. </w:t>
          </w:r>
          <w:hyperlink r:id="rId43" w:history="1">
            <w:r w:rsidRPr="004946C3">
              <w:rPr>
                <w:rStyle w:val="Hyperlink"/>
                <w:rFonts w:ascii="Times New Roman" w:hAnsi="Times New Roman" w:cs="Times New Roman"/>
                <w:sz w:val="24"/>
                <w:szCs w:val="24"/>
              </w:rPr>
              <w:t>https://doi.org/10.37899/journallabisecoman.v6i2.1970</w:t>
            </w:r>
          </w:hyperlink>
          <w:r w:rsidRPr="004946C3">
            <w:rPr>
              <w:rFonts w:ascii="Times New Roman" w:hAnsi="Times New Roman" w:cs="Times New Roman"/>
              <w:sz w:val="24"/>
              <w:szCs w:val="24"/>
            </w:rPr>
            <w:t>.</w:t>
          </w:r>
        </w:p>
        <w:p w14:paraId="2ADED0E5"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Sakyi, J.K., </w:t>
          </w:r>
          <w:proofErr w:type="spellStart"/>
          <w:r w:rsidRPr="004946C3">
            <w:rPr>
              <w:rFonts w:ascii="Times New Roman" w:hAnsi="Times New Roman" w:cs="Times New Roman"/>
              <w:sz w:val="24"/>
              <w:szCs w:val="24"/>
            </w:rPr>
            <w:t>Nnabueze</w:t>
          </w:r>
          <w:proofErr w:type="spellEnd"/>
          <w:r w:rsidRPr="004946C3">
            <w:rPr>
              <w:rFonts w:ascii="Times New Roman" w:hAnsi="Times New Roman" w:cs="Times New Roman"/>
              <w:sz w:val="24"/>
              <w:szCs w:val="24"/>
            </w:rPr>
            <w:t xml:space="preserve">, S.B., </w:t>
          </w:r>
          <w:proofErr w:type="spellStart"/>
          <w:r w:rsidRPr="004946C3">
            <w:rPr>
              <w:rFonts w:ascii="Times New Roman" w:hAnsi="Times New Roman" w:cs="Times New Roman"/>
              <w:sz w:val="24"/>
              <w:szCs w:val="24"/>
            </w:rPr>
            <w:t>Filani</w:t>
          </w:r>
          <w:proofErr w:type="spellEnd"/>
          <w:r w:rsidRPr="004946C3">
            <w:rPr>
              <w:rFonts w:ascii="Times New Roman" w:hAnsi="Times New Roman" w:cs="Times New Roman"/>
              <w:sz w:val="24"/>
              <w:szCs w:val="24"/>
            </w:rPr>
            <w:t xml:space="preserve">, O.M., Okojie, J.S. and Okereke, M. (2022). Customer Service Analytics as a Strategic Driver of Revenue Growth and Sustainable Business Competitiveness. </w:t>
          </w:r>
          <w:r w:rsidRPr="004946C3">
            <w:rPr>
              <w:rFonts w:ascii="Times New Roman" w:hAnsi="Times New Roman" w:cs="Times New Roman"/>
              <w:i/>
              <w:iCs/>
              <w:sz w:val="24"/>
              <w:szCs w:val="24"/>
            </w:rPr>
            <w:t>Journal of Frontiers in Multidisciplinary Research</w:t>
          </w:r>
          <w:r w:rsidRPr="004946C3">
            <w:rPr>
              <w:rFonts w:ascii="Times New Roman" w:hAnsi="Times New Roman" w:cs="Times New Roman"/>
              <w:sz w:val="24"/>
              <w:szCs w:val="24"/>
            </w:rPr>
            <w:t>,</w:t>
          </w:r>
          <w:r w:rsidRPr="0032385F">
            <w:rPr>
              <w:rFonts w:ascii="Times New Roman" w:hAnsi="Times New Roman" w:cs="Times New Roman"/>
              <w:sz w:val="24"/>
              <w:szCs w:val="24"/>
            </w:rPr>
            <w:t xml:space="preserve"> </w:t>
          </w:r>
          <w:r w:rsidRPr="004946C3">
            <w:rPr>
              <w:rFonts w:ascii="Times New Roman" w:hAnsi="Times New Roman" w:cs="Times New Roman"/>
              <w:sz w:val="24"/>
              <w:szCs w:val="24"/>
            </w:rPr>
            <w:t xml:space="preserve">3(2), pp.109–123. </w:t>
          </w:r>
          <w:hyperlink r:id="rId44" w:history="1">
            <w:r w:rsidRPr="004946C3">
              <w:rPr>
                <w:rStyle w:val="Hyperlink"/>
                <w:rFonts w:ascii="Times New Roman" w:hAnsi="Times New Roman" w:cs="Times New Roman"/>
                <w:sz w:val="24"/>
                <w:szCs w:val="24"/>
              </w:rPr>
              <w:t>https://doi.org/10.54660/.ijfmr.2022.3.2.109-123</w:t>
            </w:r>
          </w:hyperlink>
          <w:r w:rsidRPr="004946C3">
            <w:rPr>
              <w:rFonts w:ascii="Times New Roman" w:hAnsi="Times New Roman" w:cs="Times New Roman"/>
              <w:sz w:val="24"/>
              <w:szCs w:val="24"/>
            </w:rPr>
            <w:t>.</w:t>
          </w:r>
        </w:p>
        <w:p w14:paraId="4100A706"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Sam, R. (2025). Generalizing the P/E Ratio through the Potential Payback Period (PPP): A Dynamic Approach to Stock Valuation. </w:t>
          </w:r>
          <w:hyperlink r:id="rId45" w:history="1">
            <w:r w:rsidRPr="004946C3">
              <w:rPr>
                <w:rStyle w:val="Hyperlink"/>
                <w:rFonts w:ascii="Times New Roman" w:hAnsi="Times New Roman" w:cs="Times New Roman"/>
                <w:sz w:val="24"/>
                <w:szCs w:val="24"/>
              </w:rPr>
              <w:t>https://doi.org/10.2139/ssrn.5261816</w:t>
            </w:r>
          </w:hyperlink>
          <w:r w:rsidRPr="004946C3">
            <w:rPr>
              <w:rFonts w:ascii="Times New Roman" w:hAnsi="Times New Roman" w:cs="Times New Roman"/>
              <w:sz w:val="24"/>
              <w:szCs w:val="24"/>
            </w:rPr>
            <w:t>.</w:t>
          </w:r>
        </w:p>
        <w:p w14:paraId="5114761B"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Sari, R., </w:t>
          </w:r>
          <w:proofErr w:type="spellStart"/>
          <w:r w:rsidRPr="004946C3">
            <w:rPr>
              <w:rFonts w:ascii="Times New Roman" w:hAnsi="Times New Roman" w:cs="Times New Roman"/>
              <w:sz w:val="24"/>
              <w:szCs w:val="24"/>
            </w:rPr>
            <w:t>Kusnanto</w:t>
          </w:r>
          <w:proofErr w:type="spellEnd"/>
          <w:r w:rsidRPr="004946C3">
            <w:rPr>
              <w:rFonts w:ascii="Times New Roman" w:hAnsi="Times New Roman" w:cs="Times New Roman"/>
              <w:sz w:val="24"/>
              <w:szCs w:val="24"/>
            </w:rPr>
            <w:t xml:space="preserve">, K. and </w:t>
          </w:r>
          <w:proofErr w:type="spellStart"/>
          <w:r w:rsidRPr="004946C3">
            <w:rPr>
              <w:rFonts w:ascii="Times New Roman" w:hAnsi="Times New Roman" w:cs="Times New Roman"/>
              <w:sz w:val="24"/>
              <w:szCs w:val="24"/>
            </w:rPr>
            <w:t>Aswindo</w:t>
          </w:r>
          <w:proofErr w:type="spellEnd"/>
          <w:r w:rsidRPr="004946C3">
            <w:rPr>
              <w:rFonts w:ascii="Times New Roman" w:hAnsi="Times New Roman" w:cs="Times New Roman"/>
              <w:sz w:val="24"/>
              <w:szCs w:val="24"/>
            </w:rPr>
            <w:t xml:space="preserve">, M. (2022). Determinants of Stock Investment Decision Making: A Study on Investors in Indonesia. </w:t>
          </w:r>
          <w:r w:rsidRPr="004946C3">
            <w:rPr>
              <w:rFonts w:ascii="Times New Roman" w:hAnsi="Times New Roman" w:cs="Times New Roman"/>
              <w:i/>
              <w:iCs/>
              <w:sz w:val="24"/>
              <w:szCs w:val="24"/>
            </w:rPr>
            <w:t>Golden Ratio of Finance Management</w:t>
          </w:r>
          <w:r w:rsidRPr="004946C3">
            <w:rPr>
              <w:rFonts w:ascii="Times New Roman" w:hAnsi="Times New Roman" w:cs="Times New Roman"/>
              <w:sz w:val="24"/>
              <w:szCs w:val="24"/>
            </w:rPr>
            <w:t xml:space="preserve">, 2(2), pp.120–131. </w:t>
          </w:r>
          <w:hyperlink r:id="rId46" w:history="1">
            <w:r w:rsidRPr="004946C3">
              <w:rPr>
                <w:rStyle w:val="Hyperlink"/>
                <w:rFonts w:ascii="Times New Roman" w:hAnsi="Times New Roman" w:cs="Times New Roman"/>
                <w:sz w:val="24"/>
                <w:szCs w:val="24"/>
              </w:rPr>
              <w:t>https://doi.org/10.52970/grfm.v2i2.174</w:t>
            </w:r>
          </w:hyperlink>
          <w:r w:rsidRPr="004946C3">
            <w:rPr>
              <w:rFonts w:ascii="Times New Roman" w:hAnsi="Times New Roman" w:cs="Times New Roman"/>
              <w:sz w:val="24"/>
              <w:szCs w:val="24"/>
            </w:rPr>
            <w:t>.</w:t>
          </w:r>
        </w:p>
        <w:p w14:paraId="1903DD5A"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Saunders, S. (2022). </w:t>
          </w:r>
          <w:r w:rsidRPr="004946C3">
            <w:rPr>
              <w:rFonts w:ascii="Times New Roman" w:hAnsi="Times New Roman" w:cs="Times New Roman"/>
              <w:i/>
              <w:iCs/>
              <w:sz w:val="24"/>
              <w:szCs w:val="24"/>
            </w:rPr>
            <w:t>Financial Institutions Management: A Risk Management Approach</w:t>
          </w:r>
          <w:r w:rsidRPr="004946C3">
            <w:rPr>
              <w:rFonts w:ascii="Times New Roman" w:hAnsi="Times New Roman" w:cs="Times New Roman"/>
              <w:sz w:val="24"/>
              <w:szCs w:val="24"/>
            </w:rPr>
            <w:t xml:space="preserve">. </w:t>
          </w:r>
          <w:hyperlink r:id="rId47" w:history="1">
            <w:r w:rsidRPr="004946C3">
              <w:rPr>
                <w:rStyle w:val="Hyperlink"/>
                <w:rFonts w:ascii="Times New Roman" w:hAnsi="Times New Roman" w:cs="Times New Roman"/>
                <w:sz w:val="24"/>
                <w:szCs w:val="24"/>
              </w:rPr>
              <w:t>https://www.mheducation.com/unitas/highered/changes/saunders-financial-institutions-management-10e.pdf</w:t>
            </w:r>
          </w:hyperlink>
          <w:r w:rsidRPr="004946C3">
            <w:rPr>
              <w:rFonts w:ascii="Times New Roman" w:hAnsi="Times New Roman" w:cs="Times New Roman"/>
              <w:sz w:val="24"/>
              <w:szCs w:val="24"/>
            </w:rPr>
            <w:t>.</w:t>
          </w:r>
        </w:p>
        <w:p w14:paraId="444F7C9E"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32385F">
            <w:rPr>
              <w:rFonts w:ascii="Times New Roman" w:hAnsi="Times New Roman" w:cs="Times New Roman"/>
              <w:sz w:val="24"/>
              <w:szCs w:val="24"/>
            </w:rPr>
            <w:t>Saunders, A., 2024. Financial institutions management: A risk management approach.</w:t>
          </w:r>
        </w:p>
        <w:p w14:paraId="386C98B5"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Segev, N., </w:t>
          </w:r>
          <w:proofErr w:type="spellStart"/>
          <w:r w:rsidRPr="004946C3">
            <w:rPr>
              <w:rFonts w:ascii="Times New Roman" w:hAnsi="Times New Roman" w:cs="Times New Roman"/>
              <w:sz w:val="24"/>
              <w:szCs w:val="24"/>
            </w:rPr>
            <w:t>Ribon</w:t>
          </w:r>
          <w:proofErr w:type="spellEnd"/>
          <w:r w:rsidRPr="004946C3">
            <w:rPr>
              <w:rFonts w:ascii="Times New Roman" w:hAnsi="Times New Roman" w:cs="Times New Roman"/>
              <w:sz w:val="24"/>
              <w:szCs w:val="24"/>
            </w:rPr>
            <w:t xml:space="preserve">, S., Kahn, M. and de Haan, J. (2022). Low Interest Rates and Banks’ Interest Margins: Does Deposit Market Concentration Matter? </w:t>
          </w:r>
          <w:r w:rsidRPr="004946C3">
            <w:rPr>
              <w:rFonts w:ascii="Times New Roman" w:hAnsi="Times New Roman" w:cs="Times New Roman"/>
              <w:i/>
              <w:iCs/>
              <w:sz w:val="24"/>
              <w:szCs w:val="24"/>
            </w:rPr>
            <w:t>Journal of Financial Services Research</w:t>
          </w:r>
          <w:r w:rsidRPr="004946C3">
            <w:rPr>
              <w:rFonts w:ascii="Times New Roman" w:hAnsi="Times New Roman" w:cs="Times New Roman"/>
              <w:sz w:val="24"/>
              <w:szCs w:val="24"/>
            </w:rPr>
            <w:t xml:space="preserve">. </w:t>
          </w:r>
          <w:hyperlink r:id="rId48" w:history="1">
            <w:r w:rsidRPr="004946C3">
              <w:rPr>
                <w:rStyle w:val="Hyperlink"/>
                <w:rFonts w:ascii="Times New Roman" w:hAnsi="Times New Roman" w:cs="Times New Roman"/>
                <w:sz w:val="24"/>
                <w:szCs w:val="24"/>
              </w:rPr>
              <w:t>https://doi.org/10.1007/s10693-022-00393-0</w:t>
            </w:r>
          </w:hyperlink>
          <w:r w:rsidRPr="004946C3">
            <w:rPr>
              <w:rFonts w:ascii="Times New Roman" w:hAnsi="Times New Roman" w:cs="Times New Roman"/>
              <w:sz w:val="24"/>
              <w:szCs w:val="24"/>
            </w:rPr>
            <w:t>.</w:t>
          </w:r>
        </w:p>
        <w:p w14:paraId="392B3364" w14:textId="77777777" w:rsidR="00751460" w:rsidRPr="0032385F" w:rsidRDefault="00751460" w:rsidP="00751460">
          <w:pPr>
            <w:spacing w:after="0" w:line="360" w:lineRule="auto"/>
            <w:ind w:left="720" w:hanging="720"/>
            <w:rPr>
              <w:rFonts w:ascii="Times New Roman" w:hAnsi="Times New Roman" w:cs="Times New Roman"/>
              <w:sz w:val="24"/>
              <w:szCs w:val="24"/>
            </w:rPr>
          </w:pPr>
          <w:proofErr w:type="spellStart"/>
          <w:r w:rsidRPr="004946C3">
            <w:rPr>
              <w:rFonts w:ascii="Times New Roman" w:hAnsi="Times New Roman" w:cs="Times New Roman"/>
              <w:sz w:val="24"/>
              <w:szCs w:val="24"/>
            </w:rPr>
            <w:lastRenderedPageBreak/>
            <w:t>Shaoul</w:t>
          </w:r>
          <w:proofErr w:type="spellEnd"/>
          <w:r w:rsidRPr="004946C3">
            <w:rPr>
              <w:rFonts w:ascii="Times New Roman" w:hAnsi="Times New Roman" w:cs="Times New Roman"/>
              <w:sz w:val="24"/>
              <w:szCs w:val="24"/>
            </w:rPr>
            <w:t xml:space="preserve">, J. (2005). A critical financial analysis of the Private Finance Initiative: selecting a financing method or allocating economic wealth? </w:t>
          </w:r>
          <w:r w:rsidRPr="004946C3">
            <w:rPr>
              <w:rFonts w:ascii="Times New Roman" w:hAnsi="Times New Roman" w:cs="Times New Roman"/>
              <w:i/>
              <w:iCs/>
              <w:sz w:val="24"/>
              <w:szCs w:val="24"/>
            </w:rPr>
            <w:t>Critical Perspectives on Accounting</w:t>
          </w:r>
          <w:r w:rsidRPr="004946C3">
            <w:rPr>
              <w:rFonts w:ascii="Times New Roman" w:hAnsi="Times New Roman" w:cs="Times New Roman"/>
              <w:sz w:val="24"/>
              <w:szCs w:val="24"/>
            </w:rPr>
            <w:t xml:space="preserve">, 16(4), pp.441–471. </w:t>
          </w:r>
          <w:hyperlink r:id="rId49" w:history="1">
            <w:r w:rsidRPr="004946C3">
              <w:rPr>
                <w:rStyle w:val="Hyperlink"/>
                <w:rFonts w:ascii="Times New Roman" w:hAnsi="Times New Roman" w:cs="Times New Roman"/>
                <w:sz w:val="24"/>
                <w:szCs w:val="24"/>
              </w:rPr>
              <w:t>https://doi.org/10.1016/j.cpa.2003.06.001</w:t>
            </w:r>
          </w:hyperlink>
          <w:r w:rsidRPr="004946C3">
            <w:rPr>
              <w:rFonts w:ascii="Times New Roman" w:hAnsi="Times New Roman" w:cs="Times New Roman"/>
              <w:sz w:val="24"/>
              <w:szCs w:val="24"/>
            </w:rPr>
            <w:t>.</w:t>
          </w:r>
        </w:p>
        <w:p w14:paraId="495F62C9" w14:textId="77777777" w:rsidR="00751460" w:rsidRPr="0032385F" w:rsidRDefault="00751460" w:rsidP="00751460">
          <w:pPr>
            <w:spacing w:after="0" w:line="360" w:lineRule="auto"/>
            <w:ind w:left="720" w:hanging="720"/>
            <w:rPr>
              <w:rFonts w:ascii="Times New Roman" w:hAnsi="Times New Roman" w:cs="Times New Roman"/>
              <w:sz w:val="24"/>
              <w:szCs w:val="24"/>
            </w:rPr>
          </w:pPr>
          <w:proofErr w:type="spellStart"/>
          <w:r w:rsidRPr="004946C3">
            <w:rPr>
              <w:rFonts w:ascii="Times New Roman" w:hAnsi="Times New Roman" w:cs="Times New Roman"/>
              <w:sz w:val="24"/>
              <w:szCs w:val="24"/>
            </w:rPr>
            <w:t>Sonuga</w:t>
          </w:r>
          <w:proofErr w:type="spellEnd"/>
          <w:r w:rsidRPr="004946C3">
            <w:rPr>
              <w:rFonts w:ascii="Times New Roman" w:hAnsi="Times New Roman" w:cs="Times New Roman"/>
              <w:sz w:val="24"/>
              <w:szCs w:val="24"/>
            </w:rPr>
            <w:t xml:space="preserve">, O. (2026). Systemic Risk and Macroprudential Regulation Effectiveness in Developing and Emerging Economies: A New Composite Systemic Risk Index. </w:t>
          </w:r>
          <w:hyperlink r:id="rId50" w:history="1">
            <w:r w:rsidRPr="004946C3">
              <w:rPr>
                <w:rStyle w:val="Hyperlink"/>
                <w:rFonts w:ascii="Times New Roman" w:hAnsi="Times New Roman" w:cs="Times New Roman"/>
                <w:sz w:val="24"/>
                <w:szCs w:val="24"/>
              </w:rPr>
              <w:t>https://doi.org/10.2139/ssrn.5948035</w:t>
            </w:r>
          </w:hyperlink>
          <w:r w:rsidRPr="004946C3">
            <w:rPr>
              <w:rFonts w:ascii="Times New Roman" w:hAnsi="Times New Roman" w:cs="Times New Roman"/>
              <w:sz w:val="24"/>
              <w:szCs w:val="24"/>
            </w:rPr>
            <w:t>.</w:t>
          </w:r>
        </w:p>
        <w:p w14:paraId="6B5DA297"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Sun, Y., Wu, J., Huang, T.K., Davey, H. and Lu, Y. (2025). Is ESG Transparency the Fruit of Corporate Digitalization: Strategic Pathways to Enhanced ESG Disclosure? </w:t>
          </w:r>
          <w:r w:rsidRPr="004946C3">
            <w:rPr>
              <w:rFonts w:ascii="Times New Roman" w:hAnsi="Times New Roman" w:cs="Times New Roman"/>
              <w:i/>
              <w:iCs/>
              <w:sz w:val="24"/>
              <w:szCs w:val="24"/>
            </w:rPr>
            <w:t>Business Strategy and the Environment</w:t>
          </w:r>
          <w:r w:rsidRPr="004946C3">
            <w:rPr>
              <w:rFonts w:ascii="Times New Roman" w:hAnsi="Times New Roman" w:cs="Times New Roman"/>
              <w:sz w:val="24"/>
              <w:szCs w:val="24"/>
            </w:rPr>
            <w:t xml:space="preserve">. </w:t>
          </w:r>
          <w:hyperlink r:id="rId51" w:history="1">
            <w:r w:rsidRPr="004946C3">
              <w:rPr>
                <w:rStyle w:val="Hyperlink"/>
                <w:rFonts w:ascii="Times New Roman" w:hAnsi="Times New Roman" w:cs="Times New Roman"/>
                <w:sz w:val="24"/>
                <w:szCs w:val="24"/>
              </w:rPr>
              <w:t>https://doi.org/10.1002/bse.70304</w:t>
            </w:r>
          </w:hyperlink>
          <w:r w:rsidRPr="004946C3">
            <w:rPr>
              <w:rFonts w:ascii="Times New Roman" w:hAnsi="Times New Roman" w:cs="Times New Roman"/>
              <w:sz w:val="24"/>
              <w:szCs w:val="24"/>
            </w:rPr>
            <w:t>.</w:t>
          </w:r>
        </w:p>
        <w:p w14:paraId="02337870"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Tran, V.T. and Nguyen, H. (2023). Competition, liquidity creation and bank stability. </w:t>
          </w:r>
          <w:r w:rsidRPr="004946C3">
            <w:rPr>
              <w:rFonts w:ascii="Times New Roman" w:hAnsi="Times New Roman" w:cs="Times New Roman"/>
              <w:i/>
              <w:iCs/>
              <w:sz w:val="24"/>
              <w:szCs w:val="24"/>
            </w:rPr>
            <w:t>Accounting and finance</w:t>
          </w:r>
          <w:r w:rsidRPr="004946C3">
            <w:rPr>
              <w:rFonts w:ascii="Times New Roman" w:hAnsi="Times New Roman" w:cs="Times New Roman"/>
              <w:sz w:val="24"/>
              <w:szCs w:val="24"/>
            </w:rPr>
            <w:t xml:space="preserve">. </w:t>
          </w:r>
          <w:hyperlink r:id="rId52" w:history="1">
            <w:r w:rsidRPr="004946C3">
              <w:rPr>
                <w:rStyle w:val="Hyperlink"/>
                <w:rFonts w:ascii="Times New Roman" w:hAnsi="Times New Roman" w:cs="Times New Roman"/>
                <w:sz w:val="24"/>
                <w:szCs w:val="24"/>
              </w:rPr>
              <w:t>https://doi.org/10.1111/acfi.13212</w:t>
            </w:r>
          </w:hyperlink>
          <w:r w:rsidRPr="004946C3">
            <w:rPr>
              <w:rFonts w:ascii="Times New Roman" w:hAnsi="Times New Roman" w:cs="Times New Roman"/>
              <w:sz w:val="24"/>
              <w:szCs w:val="24"/>
            </w:rPr>
            <w:t>.</w:t>
          </w:r>
        </w:p>
        <w:p w14:paraId="0BA024A7"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Uche Ojika, F., Oseremen Owobu, W., Anthony Abieba, O., Janet Esan, O., Chibunna Ubamadu, B. and </w:t>
          </w:r>
          <w:proofErr w:type="spellStart"/>
          <w:r w:rsidRPr="004946C3">
            <w:rPr>
              <w:rFonts w:ascii="Times New Roman" w:hAnsi="Times New Roman" w:cs="Times New Roman"/>
              <w:sz w:val="24"/>
              <w:szCs w:val="24"/>
            </w:rPr>
            <w:t>Ifesinachi</w:t>
          </w:r>
          <w:proofErr w:type="spellEnd"/>
          <w:r w:rsidRPr="004946C3">
            <w:rPr>
              <w:rFonts w:ascii="Times New Roman" w:hAnsi="Times New Roman" w:cs="Times New Roman"/>
              <w:sz w:val="24"/>
              <w:szCs w:val="24"/>
            </w:rPr>
            <w:t xml:space="preserve"> </w:t>
          </w:r>
          <w:proofErr w:type="spellStart"/>
          <w:r w:rsidRPr="004946C3">
            <w:rPr>
              <w:rFonts w:ascii="Times New Roman" w:hAnsi="Times New Roman" w:cs="Times New Roman"/>
              <w:sz w:val="24"/>
              <w:szCs w:val="24"/>
            </w:rPr>
            <w:t>Daraojimba</w:t>
          </w:r>
          <w:proofErr w:type="spellEnd"/>
          <w:r w:rsidRPr="004946C3">
            <w:rPr>
              <w:rFonts w:ascii="Times New Roman" w:hAnsi="Times New Roman" w:cs="Times New Roman"/>
              <w:sz w:val="24"/>
              <w:szCs w:val="24"/>
            </w:rPr>
            <w:t xml:space="preserve">, A. (2024). The Role of Artificial Intelligence in Business Process Automation: A Model for Reducing Operational Costs and Enhancing Efficiency. </w:t>
          </w:r>
          <w:r w:rsidRPr="004946C3">
            <w:rPr>
              <w:rFonts w:ascii="Times New Roman" w:hAnsi="Times New Roman" w:cs="Times New Roman"/>
              <w:i/>
              <w:iCs/>
              <w:sz w:val="24"/>
              <w:szCs w:val="24"/>
            </w:rPr>
            <w:t>International Journal of Advanced Multidisciplinary Research and Studies</w:t>
          </w:r>
          <w:r w:rsidRPr="004946C3">
            <w:rPr>
              <w:rFonts w:ascii="Times New Roman" w:hAnsi="Times New Roman" w:cs="Times New Roman"/>
              <w:sz w:val="24"/>
              <w:szCs w:val="24"/>
            </w:rPr>
            <w:t xml:space="preserve">, 4(6), pp.1449–1462. </w:t>
          </w:r>
          <w:proofErr w:type="spellStart"/>
          <w:r w:rsidRPr="004946C3">
            <w:rPr>
              <w:rFonts w:ascii="Times New Roman" w:hAnsi="Times New Roman" w:cs="Times New Roman"/>
              <w:sz w:val="24"/>
              <w:szCs w:val="24"/>
            </w:rPr>
            <w:t>doi</w:t>
          </w:r>
          <w:proofErr w:type="spellEnd"/>
          <w:r w:rsidRPr="004946C3">
            <w:rPr>
              <w:rFonts w:ascii="Times New Roman" w:hAnsi="Times New Roman" w:cs="Times New Roman"/>
              <w:sz w:val="24"/>
              <w:szCs w:val="24"/>
            </w:rPr>
            <w:t>:</w:t>
          </w:r>
          <w:r w:rsidRPr="0032385F">
            <w:rPr>
              <w:rFonts w:ascii="Times New Roman" w:hAnsi="Times New Roman" w:cs="Times New Roman"/>
              <w:sz w:val="24"/>
              <w:szCs w:val="24"/>
            </w:rPr>
            <w:t xml:space="preserve"> </w:t>
          </w:r>
          <w:hyperlink r:id="rId53" w:history="1">
            <w:r w:rsidRPr="004946C3">
              <w:rPr>
                <w:rStyle w:val="Hyperlink"/>
                <w:rFonts w:ascii="Times New Roman" w:hAnsi="Times New Roman" w:cs="Times New Roman"/>
                <w:sz w:val="24"/>
                <w:szCs w:val="24"/>
              </w:rPr>
              <w:t>https://doi.org/10.62225/2583049x.2024.4.6.4046</w:t>
            </w:r>
          </w:hyperlink>
          <w:r w:rsidRPr="004946C3">
            <w:rPr>
              <w:rFonts w:ascii="Times New Roman" w:hAnsi="Times New Roman" w:cs="Times New Roman"/>
              <w:sz w:val="24"/>
              <w:szCs w:val="24"/>
            </w:rPr>
            <w:t>.</w:t>
          </w:r>
        </w:p>
        <w:p w14:paraId="19AAC47C" w14:textId="77777777" w:rsidR="00751460" w:rsidRPr="0032385F" w:rsidRDefault="00751460" w:rsidP="00751460">
          <w:pPr>
            <w:spacing w:after="0" w:line="360" w:lineRule="auto"/>
            <w:ind w:left="720" w:hanging="720"/>
            <w:rPr>
              <w:rFonts w:ascii="Times New Roman" w:hAnsi="Times New Roman" w:cs="Times New Roman"/>
              <w:sz w:val="24"/>
              <w:szCs w:val="24"/>
            </w:rPr>
          </w:pPr>
          <w:proofErr w:type="spellStart"/>
          <w:r w:rsidRPr="004946C3">
            <w:rPr>
              <w:rFonts w:ascii="Times New Roman" w:hAnsi="Times New Roman" w:cs="Times New Roman"/>
              <w:sz w:val="24"/>
              <w:szCs w:val="24"/>
            </w:rPr>
            <w:t>Vousinas</w:t>
          </w:r>
          <w:proofErr w:type="spellEnd"/>
          <w:r w:rsidRPr="004946C3">
            <w:rPr>
              <w:rFonts w:ascii="Times New Roman" w:hAnsi="Times New Roman" w:cs="Times New Roman"/>
              <w:sz w:val="24"/>
              <w:szCs w:val="24"/>
            </w:rPr>
            <w:t xml:space="preserve">, G.L. (2015). Supervision of financial institutions. </w:t>
          </w:r>
          <w:r w:rsidRPr="004946C3">
            <w:rPr>
              <w:rFonts w:ascii="Times New Roman" w:hAnsi="Times New Roman" w:cs="Times New Roman"/>
              <w:i/>
              <w:iCs/>
              <w:sz w:val="24"/>
              <w:szCs w:val="24"/>
            </w:rPr>
            <w:t>Journal of Financial Regulation and Compliance</w:t>
          </w:r>
          <w:r w:rsidRPr="004946C3">
            <w:rPr>
              <w:rFonts w:ascii="Times New Roman" w:hAnsi="Times New Roman" w:cs="Times New Roman"/>
              <w:sz w:val="24"/>
              <w:szCs w:val="24"/>
            </w:rPr>
            <w:t xml:space="preserve">, 23(4), pp.383–402. </w:t>
          </w:r>
          <w:hyperlink r:id="rId54" w:history="1">
            <w:r w:rsidRPr="004946C3">
              <w:rPr>
                <w:rStyle w:val="Hyperlink"/>
                <w:rFonts w:ascii="Times New Roman" w:hAnsi="Times New Roman" w:cs="Times New Roman"/>
                <w:sz w:val="24"/>
                <w:szCs w:val="24"/>
              </w:rPr>
              <w:t>https://doi.org/10.1108/jfrc-02-2015-0011</w:t>
            </w:r>
          </w:hyperlink>
          <w:r w:rsidRPr="004946C3">
            <w:rPr>
              <w:rFonts w:ascii="Times New Roman" w:hAnsi="Times New Roman" w:cs="Times New Roman"/>
              <w:sz w:val="24"/>
              <w:szCs w:val="24"/>
            </w:rPr>
            <w:t>.</w:t>
          </w:r>
        </w:p>
        <w:p w14:paraId="47407ACA" w14:textId="77777777" w:rsidR="00751460" w:rsidRPr="0032385F" w:rsidRDefault="00751460" w:rsidP="00751460">
          <w:pPr>
            <w:spacing w:after="0" w:line="360" w:lineRule="auto"/>
            <w:ind w:left="720" w:hanging="720"/>
            <w:rPr>
              <w:rFonts w:ascii="Times New Roman" w:hAnsi="Times New Roman" w:cs="Times New Roman"/>
              <w:sz w:val="24"/>
              <w:szCs w:val="24"/>
            </w:rPr>
          </w:pPr>
          <w:r w:rsidRPr="004946C3">
            <w:rPr>
              <w:rFonts w:ascii="Times New Roman" w:hAnsi="Times New Roman" w:cs="Times New Roman"/>
              <w:sz w:val="24"/>
              <w:szCs w:val="24"/>
            </w:rPr>
            <w:t xml:space="preserve">Zubac, A. (2022). Implementing a Financial Strategy: Managing Financial Capital, Investing in People, Balancing Risk and Developing Critical Resources. pp.139–176. </w:t>
          </w:r>
          <w:hyperlink r:id="rId55" w:history="1">
            <w:r w:rsidRPr="004946C3">
              <w:rPr>
                <w:rStyle w:val="Hyperlink"/>
                <w:rFonts w:ascii="Times New Roman" w:hAnsi="Times New Roman" w:cs="Times New Roman"/>
                <w:sz w:val="24"/>
                <w:szCs w:val="24"/>
              </w:rPr>
              <w:t>https://doi.org/10.1007/978-981-19-2336-4_7</w:t>
            </w:r>
          </w:hyperlink>
          <w:r w:rsidRPr="004946C3">
            <w:rPr>
              <w:rFonts w:ascii="Times New Roman" w:hAnsi="Times New Roman" w:cs="Times New Roman"/>
              <w:sz w:val="24"/>
              <w:szCs w:val="24"/>
            </w:rPr>
            <w:t>.</w:t>
          </w:r>
        </w:p>
        <w:p w14:paraId="0FB3795B" w14:textId="77777777" w:rsidR="00751460" w:rsidRDefault="00751460" w:rsidP="00751460"/>
        <w:p w14:paraId="73434B4F" w14:textId="77777777" w:rsidR="00751460" w:rsidRDefault="00751460" w:rsidP="00751460">
          <w:r>
            <w:br w:type="page"/>
          </w:r>
        </w:p>
        <w:p w14:paraId="77ACF8D4" w14:textId="77777777" w:rsidR="00751460" w:rsidRPr="0032385F" w:rsidRDefault="00751460" w:rsidP="00751460">
          <w:pPr>
            <w:pStyle w:val="Heading1"/>
            <w:rPr>
              <w:rFonts w:ascii="Times New Roman" w:hAnsi="Times New Roman" w:cs="Times New Roman"/>
              <w:b/>
              <w:bCs/>
              <w:color w:val="auto"/>
              <w:sz w:val="24"/>
              <w:szCs w:val="24"/>
            </w:rPr>
          </w:pPr>
          <w:bookmarkStart w:id="15" w:name="_Toc227613579"/>
          <w:r w:rsidRPr="0032385F">
            <w:rPr>
              <w:rFonts w:ascii="Times New Roman" w:hAnsi="Times New Roman" w:cs="Times New Roman"/>
              <w:b/>
              <w:bCs/>
              <w:color w:val="auto"/>
              <w:sz w:val="24"/>
              <w:szCs w:val="24"/>
            </w:rPr>
            <w:lastRenderedPageBreak/>
            <w:t>5.0 Appendices</w:t>
          </w:r>
          <w:bookmarkEnd w:id="15"/>
        </w:p>
        <w:p w14:paraId="41D2C2D8" w14:textId="77777777" w:rsidR="00751460" w:rsidRPr="0032385F" w:rsidRDefault="00751460" w:rsidP="00751460">
          <w:pPr>
            <w:pStyle w:val="Heading2"/>
            <w:rPr>
              <w:rFonts w:ascii="Times New Roman" w:hAnsi="Times New Roman" w:cs="Times New Roman"/>
              <w:b/>
              <w:bCs/>
              <w:color w:val="auto"/>
              <w:sz w:val="24"/>
              <w:szCs w:val="24"/>
            </w:rPr>
          </w:pPr>
          <w:bookmarkStart w:id="16" w:name="_Toc227613580"/>
          <w:r w:rsidRPr="0032385F">
            <w:rPr>
              <w:rFonts w:ascii="Times New Roman" w:hAnsi="Times New Roman" w:cs="Times New Roman"/>
              <w:b/>
              <w:bCs/>
              <w:color w:val="auto"/>
              <w:sz w:val="24"/>
              <w:szCs w:val="24"/>
            </w:rPr>
            <w:t>6.1 Appendix 1 Consolidated Income Statement</w:t>
          </w:r>
          <w:bookmarkEnd w:id="16"/>
          <w:r w:rsidRPr="0032385F">
            <w:rPr>
              <w:rFonts w:ascii="Times New Roman" w:hAnsi="Times New Roman" w:cs="Times New Roman"/>
              <w:b/>
              <w:bCs/>
              <w:color w:val="auto"/>
              <w:sz w:val="24"/>
              <w:szCs w:val="24"/>
            </w:rPr>
            <w:t xml:space="preserve"> </w:t>
          </w:r>
        </w:p>
        <w:p w14:paraId="4D89AC9D" w14:textId="77777777" w:rsidR="00751460" w:rsidRDefault="00751460" w:rsidP="00751460"/>
        <w:p w14:paraId="35AFDC33" w14:textId="77777777" w:rsidR="00751460" w:rsidRPr="002C74DE" w:rsidRDefault="00751460" w:rsidP="00751460">
          <w:r>
            <w:rPr>
              <w:noProof/>
            </w:rPr>
            <w:drawing>
              <wp:inline distT="0" distB="0" distL="0" distR="0" wp14:anchorId="4C617530" wp14:editId="51D97FC3">
                <wp:extent cx="4095719" cy="3517900"/>
                <wp:effectExtent l="0" t="0" r="635" b="6350"/>
                <wp:docPr id="442910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097389" cy="3519335"/>
                        </a:xfrm>
                        <a:prstGeom prst="rect">
                          <a:avLst/>
                        </a:prstGeom>
                        <a:noFill/>
                      </pic:spPr>
                    </pic:pic>
                  </a:graphicData>
                </a:graphic>
              </wp:inline>
            </w:drawing>
          </w:r>
        </w:p>
        <w:p w14:paraId="369F7036" w14:textId="77777777" w:rsidR="00751460" w:rsidRDefault="00751460" w:rsidP="00751460"/>
        <w:p w14:paraId="1DA09FBC" w14:textId="77777777" w:rsidR="00751460" w:rsidRDefault="00751460" w:rsidP="00751460"/>
        <w:p w14:paraId="361CBA27" w14:textId="77777777" w:rsidR="00751460" w:rsidRDefault="00751460" w:rsidP="00751460"/>
        <w:p w14:paraId="071E2F41" w14:textId="77777777" w:rsidR="00751460" w:rsidRDefault="00751460" w:rsidP="00751460"/>
        <w:p w14:paraId="2C079639" w14:textId="77777777" w:rsidR="00751460" w:rsidRDefault="00751460" w:rsidP="00751460"/>
        <w:p w14:paraId="3A1AD8BB" w14:textId="77777777" w:rsidR="00751460" w:rsidRDefault="00751460" w:rsidP="00751460"/>
        <w:p w14:paraId="32F95779" w14:textId="77777777" w:rsidR="00751460" w:rsidRDefault="00751460" w:rsidP="00751460"/>
        <w:p w14:paraId="229D991F" w14:textId="77777777" w:rsidR="00751460" w:rsidRDefault="00751460" w:rsidP="00751460"/>
        <w:p w14:paraId="1307FDC6" w14:textId="77777777" w:rsidR="00751460" w:rsidRDefault="00751460" w:rsidP="00751460"/>
        <w:p w14:paraId="349F61A8" w14:textId="77777777" w:rsidR="00751460" w:rsidRDefault="00751460" w:rsidP="00751460"/>
        <w:p w14:paraId="617243DE" w14:textId="77777777" w:rsidR="00751460" w:rsidRDefault="00751460" w:rsidP="00751460"/>
        <w:p w14:paraId="77A293AE" w14:textId="77777777" w:rsidR="00751460" w:rsidRPr="0032385F" w:rsidRDefault="00751460" w:rsidP="00751460">
          <w:pPr>
            <w:pStyle w:val="Heading2"/>
            <w:rPr>
              <w:rFonts w:ascii="Times New Roman" w:hAnsi="Times New Roman" w:cs="Times New Roman"/>
              <w:b/>
              <w:bCs/>
              <w:color w:val="auto"/>
              <w:sz w:val="24"/>
              <w:szCs w:val="24"/>
            </w:rPr>
          </w:pPr>
          <w:bookmarkStart w:id="17" w:name="_Toc227613581"/>
          <w:r w:rsidRPr="0032385F">
            <w:rPr>
              <w:rFonts w:ascii="Times New Roman" w:hAnsi="Times New Roman" w:cs="Times New Roman"/>
              <w:b/>
              <w:bCs/>
              <w:color w:val="auto"/>
              <w:sz w:val="24"/>
              <w:szCs w:val="24"/>
            </w:rPr>
            <w:lastRenderedPageBreak/>
            <w:t>6.2 Appendix 2: Consolidated balance Sheet</w:t>
          </w:r>
          <w:bookmarkEnd w:id="17"/>
        </w:p>
        <w:p w14:paraId="330879F7" w14:textId="77777777" w:rsidR="00751460" w:rsidRDefault="00751460" w:rsidP="00751460">
          <w:r w:rsidRPr="003B099B">
            <w:rPr>
              <w:noProof/>
            </w:rPr>
            <w:drawing>
              <wp:anchor distT="0" distB="0" distL="114300" distR="114300" simplePos="0" relativeHeight="251661312" behindDoc="0" locked="0" layoutInCell="1" allowOverlap="1" wp14:anchorId="20074711" wp14:editId="523E07E1">
                <wp:simplePos x="0" y="0"/>
                <wp:positionH relativeFrom="margin">
                  <wp:posOffset>80010</wp:posOffset>
                </wp:positionH>
                <wp:positionV relativeFrom="paragraph">
                  <wp:posOffset>0</wp:posOffset>
                </wp:positionV>
                <wp:extent cx="4241800" cy="5421738"/>
                <wp:effectExtent l="0" t="0" r="6350" b="7620"/>
                <wp:wrapSquare wrapText="bothSides"/>
                <wp:docPr id="227340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340413" name=""/>
                        <pic:cNvPicPr/>
                      </pic:nvPicPr>
                      <pic:blipFill>
                        <a:blip r:embed="rId57">
                          <a:extLst>
                            <a:ext uri="{28A0092B-C50C-407E-A947-70E740481C1C}">
                              <a14:useLocalDpi xmlns:a14="http://schemas.microsoft.com/office/drawing/2010/main" val="0"/>
                            </a:ext>
                          </a:extLst>
                        </a:blip>
                        <a:stretch>
                          <a:fillRect/>
                        </a:stretch>
                      </pic:blipFill>
                      <pic:spPr>
                        <a:xfrm>
                          <a:off x="0" y="0"/>
                          <a:ext cx="4241800" cy="5421738"/>
                        </a:xfrm>
                        <a:prstGeom prst="rect">
                          <a:avLst/>
                        </a:prstGeom>
                      </pic:spPr>
                    </pic:pic>
                  </a:graphicData>
                </a:graphic>
                <wp14:sizeRelH relativeFrom="margin">
                  <wp14:pctWidth>0</wp14:pctWidth>
                </wp14:sizeRelH>
                <wp14:sizeRelV relativeFrom="margin">
                  <wp14:pctHeight>0</wp14:pctHeight>
                </wp14:sizeRelV>
              </wp:anchor>
            </w:drawing>
          </w:r>
        </w:p>
        <w:p w14:paraId="673BC707" w14:textId="77777777" w:rsidR="00751460" w:rsidRDefault="00751460" w:rsidP="00751460"/>
        <w:p w14:paraId="7B4F50A0" w14:textId="77777777" w:rsidR="00751460" w:rsidRDefault="00751460" w:rsidP="00751460"/>
        <w:p w14:paraId="2CD4F859" w14:textId="77777777" w:rsidR="00751460" w:rsidRDefault="00751460" w:rsidP="00751460"/>
        <w:p w14:paraId="0148294E" w14:textId="77777777" w:rsidR="00751460" w:rsidRDefault="00751460" w:rsidP="00751460"/>
        <w:p w14:paraId="486546F0" w14:textId="77777777" w:rsidR="00751460" w:rsidRDefault="00751460" w:rsidP="00751460"/>
        <w:p w14:paraId="705F4877" w14:textId="77777777" w:rsidR="00751460" w:rsidRDefault="00751460" w:rsidP="00751460"/>
        <w:p w14:paraId="126BFC63" w14:textId="77777777" w:rsidR="00751460" w:rsidRDefault="00751460" w:rsidP="00751460"/>
        <w:p w14:paraId="53BE1EE1" w14:textId="77777777" w:rsidR="00751460" w:rsidRDefault="00751460" w:rsidP="00751460"/>
        <w:p w14:paraId="3FB3916E" w14:textId="77777777" w:rsidR="00751460" w:rsidRDefault="00751460" w:rsidP="00751460"/>
        <w:p w14:paraId="66DEEDD1" w14:textId="77777777" w:rsidR="00751460" w:rsidRDefault="00751460" w:rsidP="00751460"/>
        <w:p w14:paraId="1156685C" w14:textId="77777777" w:rsidR="00751460" w:rsidRDefault="00751460" w:rsidP="00751460"/>
        <w:p w14:paraId="3AEE4772" w14:textId="77777777" w:rsidR="00751460" w:rsidRDefault="00751460" w:rsidP="00751460"/>
        <w:p w14:paraId="6237B8D4" w14:textId="77777777" w:rsidR="00751460" w:rsidRDefault="00751460" w:rsidP="00751460"/>
        <w:p w14:paraId="0EBA83BF" w14:textId="77777777" w:rsidR="00751460" w:rsidRPr="00997011" w:rsidRDefault="00751460" w:rsidP="00751460"/>
        <w:p w14:paraId="245CEAFD" w14:textId="77777777" w:rsidR="00751460" w:rsidRPr="00997011" w:rsidRDefault="00751460" w:rsidP="00751460"/>
        <w:p w14:paraId="1BAFB305" w14:textId="77777777" w:rsidR="00751460" w:rsidRPr="00997011" w:rsidRDefault="00751460" w:rsidP="00751460"/>
        <w:p w14:paraId="3E7388C1" w14:textId="77777777" w:rsidR="00751460" w:rsidRPr="00997011" w:rsidRDefault="00751460" w:rsidP="00751460"/>
        <w:p w14:paraId="715227F5" w14:textId="77777777" w:rsidR="00751460" w:rsidRPr="00997011" w:rsidRDefault="00751460" w:rsidP="00751460"/>
        <w:p w14:paraId="77D3C5A8" w14:textId="77777777" w:rsidR="00751460" w:rsidRPr="00997011" w:rsidRDefault="00751460" w:rsidP="00751460"/>
        <w:p w14:paraId="1252AE5A" w14:textId="77777777" w:rsidR="00751460" w:rsidRPr="00997011" w:rsidRDefault="00751460" w:rsidP="00751460"/>
        <w:p w14:paraId="08F770F7" w14:textId="77777777" w:rsidR="00751460" w:rsidRPr="00997011" w:rsidRDefault="00751460" w:rsidP="00751460"/>
        <w:p w14:paraId="17B56509" w14:textId="77777777" w:rsidR="00751460" w:rsidRPr="00997011" w:rsidRDefault="00751460" w:rsidP="00751460"/>
        <w:p w14:paraId="24F1D1AE" w14:textId="77777777" w:rsidR="00751460" w:rsidRDefault="00751460" w:rsidP="00751460"/>
        <w:p w14:paraId="6C05B7A8" w14:textId="77777777" w:rsidR="00751460" w:rsidRPr="0032385F" w:rsidRDefault="00751460" w:rsidP="00751460">
          <w:pPr>
            <w:pStyle w:val="Heading2"/>
            <w:rPr>
              <w:rFonts w:ascii="Times New Roman" w:hAnsi="Times New Roman" w:cs="Times New Roman"/>
              <w:b/>
              <w:bCs/>
              <w:color w:val="auto"/>
              <w:sz w:val="24"/>
              <w:szCs w:val="24"/>
            </w:rPr>
          </w:pPr>
          <w:bookmarkStart w:id="18" w:name="_Toc227613582"/>
          <w:r w:rsidRPr="0032385F">
            <w:rPr>
              <w:rFonts w:ascii="Times New Roman" w:hAnsi="Times New Roman" w:cs="Times New Roman"/>
              <w:b/>
              <w:bCs/>
              <w:color w:val="auto"/>
              <w:sz w:val="24"/>
              <w:szCs w:val="24"/>
            </w:rPr>
            <w:lastRenderedPageBreak/>
            <w:t>6.3 Appendix 3: Consolidated Cash Flow Statement</w:t>
          </w:r>
          <w:bookmarkEnd w:id="18"/>
        </w:p>
        <w:p w14:paraId="326391C2" w14:textId="77777777" w:rsidR="00751460" w:rsidRDefault="00751460" w:rsidP="00751460">
          <w:pPr>
            <w:rPr>
              <w:noProof/>
            </w:rPr>
          </w:pPr>
          <w:r w:rsidRPr="003B099B">
            <w:rPr>
              <w:noProof/>
            </w:rPr>
            <w:drawing>
              <wp:inline distT="0" distB="0" distL="0" distR="0" wp14:anchorId="30C11F20" wp14:editId="7BD3E709">
                <wp:extent cx="3473450" cy="4380648"/>
                <wp:effectExtent l="0" t="0" r="0" b="1270"/>
                <wp:docPr id="1217216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216070" name=""/>
                        <pic:cNvPicPr/>
                      </pic:nvPicPr>
                      <pic:blipFill>
                        <a:blip r:embed="rId58"/>
                        <a:stretch>
                          <a:fillRect/>
                        </a:stretch>
                      </pic:blipFill>
                      <pic:spPr>
                        <a:xfrm>
                          <a:off x="0" y="0"/>
                          <a:ext cx="3479692" cy="4388520"/>
                        </a:xfrm>
                        <a:prstGeom prst="rect">
                          <a:avLst/>
                        </a:prstGeom>
                      </pic:spPr>
                    </pic:pic>
                  </a:graphicData>
                </a:graphic>
              </wp:inline>
            </w:drawing>
          </w:r>
        </w:p>
        <w:p w14:paraId="30DB7E58" w14:textId="77777777" w:rsidR="00751460" w:rsidRDefault="00751460" w:rsidP="00751460">
          <w:pPr>
            <w:rPr>
              <w:noProof/>
            </w:rPr>
          </w:pPr>
        </w:p>
        <w:p w14:paraId="6F8AB8A7" w14:textId="77777777" w:rsidR="00751460" w:rsidRPr="0032385F" w:rsidRDefault="00751460" w:rsidP="00751460">
          <w:pPr>
            <w:pStyle w:val="Heading2"/>
            <w:rPr>
              <w:rFonts w:ascii="Times New Roman" w:hAnsi="Times New Roman" w:cs="Times New Roman"/>
              <w:b/>
              <w:bCs/>
              <w:color w:val="auto"/>
              <w:sz w:val="24"/>
              <w:szCs w:val="24"/>
            </w:rPr>
          </w:pPr>
          <w:bookmarkStart w:id="19" w:name="_Toc227613583"/>
          <w:r w:rsidRPr="0032385F">
            <w:rPr>
              <w:rFonts w:ascii="Times New Roman" w:hAnsi="Times New Roman" w:cs="Times New Roman"/>
              <w:b/>
              <w:bCs/>
              <w:color w:val="auto"/>
              <w:sz w:val="24"/>
              <w:szCs w:val="24"/>
            </w:rPr>
            <w:t>6.4 Appendix 4: Option A</w:t>
          </w:r>
          <w:bookmarkEnd w:id="19"/>
        </w:p>
        <w:tbl>
          <w:tblPr>
            <w:tblStyle w:val="TableGrid"/>
            <w:tblW w:w="9549" w:type="dxa"/>
            <w:tblLook w:val="04A0" w:firstRow="1" w:lastRow="0" w:firstColumn="1" w:lastColumn="0" w:noHBand="0" w:noVBand="1"/>
          </w:tblPr>
          <w:tblGrid>
            <w:gridCol w:w="797"/>
            <w:gridCol w:w="886"/>
            <w:gridCol w:w="1170"/>
            <w:gridCol w:w="927"/>
            <w:gridCol w:w="796"/>
            <w:gridCol w:w="796"/>
            <w:gridCol w:w="886"/>
            <w:gridCol w:w="1053"/>
            <w:gridCol w:w="1249"/>
            <w:gridCol w:w="1256"/>
          </w:tblGrid>
          <w:tr w:rsidR="00751460" w:rsidRPr="00997011" w14:paraId="4F1C95E6" w14:textId="77777777" w:rsidTr="008616A0">
            <w:trPr>
              <w:trHeight w:val="311"/>
            </w:trPr>
            <w:tc>
              <w:tcPr>
                <w:tcW w:w="797" w:type="dxa"/>
                <w:noWrap/>
                <w:hideMark/>
              </w:tcPr>
              <w:p w14:paraId="37DAD1D5" w14:textId="77777777" w:rsidR="00751460" w:rsidRPr="00997011" w:rsidRDefault="00751460" w:rsidP="008616A0">
                <w:pPr>
                  <w:tabs>
                    <w:tab w:val="left" w:pos="1910"/>
                  </w:tabs>
                  <w:rPr>
                    <w:b/>
                    <w:bCs/>
                  </w:rPr>
                </w:pPr>
                <w:r w:rsidRPr="00997011">
                  <w:rPr>
                    <w:b/>
                    <w:bCs/>
                  </w:rPr>
                  <w:t>Year</w:t>
                </w:r>
              </w:p>
            </w:tc>
            <w:tc>
              <w:tcPr>
                <w:tcW w:w="854" w:type="dxa"/>
                <w:noWrap/>
                <w:hideMark/>
              </w:tcPr>
              <w:p w14:paraId="60B0B942" w14:textId="77777777" w:rsidR="00751460" w:rsidRPr="00997011" w:rsidRDefault="00751460" w:rsidP="008616A0">
                <w:pPr>
                  <w:tabs>
                    <w:tab w:val="left" w:pos="1910"/>
                  </w:tabs>
                  <w:rPr>
                    <w:b/>
                    <w:bCs/>
                  </w:rPr>
                </w:pPr>
                <w:r w:rsidRPr="00997011">
                  <w:rPr>
                    <w:b/>
                    <w:bCs/>
                  </w:rPr>
                  <w:t>Cash Flow</w:t>
                </w:r>
              </w:p>
            </w:tc>
            <w:tc>
              <w:tcPr>
                <w:tcW w:w="1128" w:type="dxa"/>
                <w:noWrap/>
                <w:hideMark/>
              </w:tcPr>
              <w:p w14:paraId="76C013DB" w14:textId="77777777" w:rsidR="00751460" w:rsidRPr="00997011" w:rsidRDefault="00751460" w:rsidP="008616A0">
                <w:pPr>
                  <w:tabs>
                    <w:tab w:val="left" w:pos="1910"/>
                  </w:tabs>
                  <w:rPr>
                    <w:b/>
                    <w:bCs/>
                  </w:rPr>
                </w:pPr>
                <w:r w:rsidRPr="00997011">
                  <w:rPr>
                    <w:b/>
                    <w:bCs/>
                  </w:rPr>
                  <w:t>Capital Allowance</w:t>
                </w:r>
              </w:p>
            </w:tc>
            <w:tc>
              <w:tcPr>
                <w:tcW w:w="894" w:type="dxa"/>
                <w:noWrap/>
                <w:hideMark/>
              </w:tcPr>
              <w:p w14:paraId="41C6B491" w14:textId="77777777" w:rsidR="00751460" w:rsidRPr="00997011" w:rsidRDefault="00751460" w:rsidP="008616A0">
                <w:pPr>
                  <w:tabs>
                    <w:tab w:val="left" w:pos="1910"/>
                  </w:tabs>
                  <w:rPr>
                    <w:b/>
                    <w:bCs/>
                  </w:rPr>
                </w:pPr>
                <w:r w:rsidRPr="00997011">
                  <w:rPr>
                    <w:b/>
                    <w:bCs/>
                  </w:rPr>
                  <w:t>Taxable Profit</w:t>
                </w:r>
              </w:p>
            </w:tc>
            <w:tc>
              <w:tcPr>
                <w:tcW w:w="796" w:type="dxa"/>
                <w:noWrap/>
                <w:hideMark/>
              </w:tcPr>
              <w:p w14:paraId="7F09E9D3" w14:textId="77777777" w:rsidR="00751460" w:rsidRPr="00997011" w:rsidRDefault="00751460" w:rsidP="008616A0">
                <w:pPr>
                  <w:tabs>
                    <w:tab w:val="left" w:pos="1910"/>
                  </w:tabs>
                  <w:rPr>
                    <w:b/>
                    <w:bCs/>
                  </w:rPr>
                </w:pPr>
                <w:r w:rsidRPr="00997011">
                  <w:rPr>
                    <w:b/>
                    <w:bCs/>
                  </w:rPr>
                  <w:t>Tax</w:t>
                </w:r>
              </w:p>
            </w:tc>
            <w:tc>
              <w:tcPr>
                <w:tcW w:w="796" w:type="dxa"/>
                <w:noWrap/>
                <w:hideMark/>
              </w:tcPr>
              <w:p w14:paraId="3A5C4AF9" w14:textId="77777777" w:rsidR="00751460" w:rsidRPr="00997011" w:rsidRDefault="00751460" w:rsidP="008616A0">
                <w:pPr>
                  <w:tabs>
                    <w:tab w:val="left" w:pos="1910"/>
                  </w:tabs>
                  <w:rPr>
                    <w:b/>
                    <w:bCs/>
                  </w:rPr>
                </w:pPr>
                <w:r w:rsidRPr="00997011">
                  <w:rPr>
                    <w:b/>
                    <w:bCs/>
                  </w:rPr>
                  <w:t>Tax Shield</w:t>
                </w:r>
              </w:p>
            </w:tc>
            <w:tc>
              <w:tcPr>
                <w:tcW w:w="854" w:type="dxa"/>
                <w:noWrap/>
                <w:hideMark/>
              </w:tcPr>
              <w:p w14:paraId="01B50E19" w14:textId="77777777" w:rsidR="00751460" w:rsidRPr="00997011" w:rsidRDefault="00751460" w:rsidP="008616A0">
                <w:pPr>
                  <w:tabs>
                    <w:tab w:val="left" w:pos="1910"/>
                  </w:tabs>
                  <w:rPr>
                    <w:b/>
                    <w:bCs/>
                  </w:rPr>
                </w:pPr>
                <w:r w:rsidRPr="00997011">
                  <w:rPr>
                    <w:b/>
                    <w:bCs/>
                  </w:rPr>
                  <w:t>Net Cash Flow</w:t>
                </w:r>
              </w:p>
            </w:tc>
            <w:tc>
              <w:tcPr>
                <w:tcW w:w="1015" w:type="dxa"/>
                <w:noWrap/>
                <w:hideMark/>
              </w:tcPr>
              <w:p w14:paraId="19EA8E2E" w14:textId="77777777" w:rsidR="00751460" w:rsidRPr="00997011" w:rsidRDefault="00751460" w:rsidP="008616A0">
                <w:pPr>
                  <w:tabs>
                    <w:tab w:val="left" w:pos="1910"/>
                  </w:tabs>
                  <w:rPr>
                    <w:b/>
                    <w:bCs/>
                  </w:rPr>
                </w:pPr>
                <w:r w:rsidRPr="00997011">
                  <w:rPr>
                    <w:b/>
                    <w:bCs/>
                  </w:rPr>
                  <w:t>Discount Factor</w:t>
                </w:r>
              </w:p>
            </w:tc>
            <w:tc>
              <w:tcPr>
                <w:tcW w:w="1204" w:type="dxa"/>
                <w:noWrap/>
                <w:hideMark/>
              </w:tcPr>
              <w:p w14:paraId="565D3DEC" w14:textId="77777777" w:rsidR="00751460" w:rsidRPr="00997011" w:rsidRDefault="00751460" w:rsidP="008616A0">
                <w:pPr>
                  <w:tabs>
                    <w:tab w:val="left" w:pos="1910"/>
                  </w:tabs>
                  <w:rPr>
                    <w:b/>
                    <w:bCs/>
                  </w:rPr>
                </w:pPr>
                <w:r w:rsidRPr="00997011">
                  <w:rPr>
                    <w:b/>
                    <w:bCs/>
                  </w:rPr>
                  <w:t>Discounted Cash Flow</w:t>
                </w:r>
              </w:p>
            </w:tc>
            <w:tc>
              <w:tcPr>
                <w:tcW w:w="1211" w:type="dxa"/>
                <w:noWrap/>
                <w:hideMark/>
              </w:tcPr>
              <w:p w14:paraId="521D74F4" w14:textId="77777777" w:rsidR="00751460" w:rsidRPr="00997011" w:rsidRDefault="00751460" w:rsidP="008616A0">
                <w:pPr>
                  <w:tabs>
                    <w:tab w:val="left" w:pos="1910"/>
                  </w:tabs>
                  <w:rPr>
                    <w:b/>
                    <w:bCs/>
                  </w:rPr>
                </w:pPr>
                <w:r w:rsidRPr="00997011">
                  <w:rPr>
                    <w:b/>
                    <w:bCs/>
                  </w:rPr>
                  <w:t>Cumulative NPV</w:t>
                </w:r>
              </w:p>
            </w:tc>
          </w:tr>
          <w:tr w:rsidR="00751460" w:rsidRPr="00997011" w14:paraId="417C0E8A" w14:textId="77777777" w:rsidTr="008616A0">
            <w:trPr>
              <w:trHeight w:val="311"/>
            </w:trPr>
            <w:tc>
              <w:tcPr>
                <w:tcW w:w="797" w:type="dxa"/>
                <w:noWrap/>
                <w:hideMark/>
              </w:tcPr>
              <w:p w14:paraId="16AF698E" w14:textId="77777777" w:rsidR="00751460" w:rsidRPr="00997011" w:rsidRDefault="00751460" w:rsidP="008616A0">
                <w:pPr>
                  <w:tabs>
                    <w:tab w:val="left" w:pos="1910"/>
                  </w:tabs>
                </w:pPr>
                <w:r w:rsidRPr="00997011">
                  <w:t>1</w:t>
                </w:r>
              </w:p>
            </w:tc>
            <w:tc>
              <w:tcPr>
                <w:tcW w:w="854" w:type="dxa"/>
                <w:noWrap/>
                <w:hideMark/>
              </w:tcPr>
              <w:p w14:paraId="62712D9F" w14:textId="77777777" w:rsidR="00751460" w:rsidRPr="00997011" w:rsidRDefault="00751460" w:rsidP="008616A0">
                <w:pPr>
                  <w:tabs>
                    <w:tab w:val="left" w:pos="1910"/>
                  </w:tabs>
                </w:pPr>
                <w:r w:rsidRPr="00997011">
                  <w:t>100000</w:t>
                </w:r>
              </w:p>
            </w:tc>
            <w:tc>
              <w:tcPr>
                <w:tcW w:w="1128" w:type="dxa"/>
                <w:noWrap/>
                <w:hideMark/>
              </w:tcPr>
              <w:p w14:paraId="2AF02014" w14:textId="77777777" w:rsidR="00751460" w:rsidRPr="00997011" w:rsidRDefault="00751460" w:rsidP="008616A0">
                <w:pPr>
                  <w:tabs>
                    <w:tab w:val="left" w:pos="1910"/>
                  </w:tabs>
                </w:pPr>
                <w:r w:rsidRPr="00997011">
                  <w:t>120000</w:t>
                </w:r>
              </w:p>
            </w:tc>
            <w:tc>
              <w:tcPr>
                <w:tcW w:w="894" w:type="dxa"/>
                <w:noWrap/>
                <w:hideMark/>
              </w:tcPr>
              <w:p w14:paraId="590B67A5" w14:textId="77777777" w:rsidR="00751460" w:rsidRPr="00997011" w:rsidRDefault="00751460" w:rsidP="008616A0">
                <w:pPr>
                  <w:tabs>
                    <w:tab w:val="left" w:pos="1910"/>
                  </w:tabs>
                </w:pPr>
                <w:r w:rsidRPr="00997011">
                  <w:t>-20000</w:t>
                </w:r>
              </w:p>
            </w:tc>
            <w:tc>
              <w:tcPr>
                <w:tcW w:w="796" w:type="dxa"/>
                <w:noWrap/>
                <w:hideMark/>
              </w:tcPr>
              <w:p w14:paraId="2594109E" w14:textId="77777777" w:rsidR="00751460" w:rsidRPr="00997011" w:rsidRDefault="00751460" w:rsidP="008616A0">
                <w:pPr>
                  <w:tabs>
                    <w:tab w:val="left" w:pos="1910"/>
                  </w:tabs>
                </w:pPr>
                <w:r w:rsidRPr="00997011">
                  <w:t>-5000</w:t>
                </w:r>
              </w:p>
            </w:tc>
            <w:tc>
              <w:tcPr>
                <w:tcW w:w="796" w:type="dxa"/>
                <w:noWrap/>
                <w:hideMark/>
              </w:tcPr>
              <w:p w14:paraId="3C4E318D" w14:textId="77777777" w:rsidR="00751460" w:rsidRPr="00997011" w:rsidRDefault="00751460" w:rsidP="008616A0">
                <w:pPr>
                  <w:tabs>
                    <w:tab w:val="left" w:pos="1910"/>
                  </w:tabs>
                </w:pPr>
                <w:r w:rsidRPr="00997011">
                  <w:t>30000</w:t>
                </w:r>
              </w:p>
            </w:tc>
            <w:tc>
              <w:tcPr>
                <w:tcW w:w="854" w:type="dxa"/>
                <w:noWrap/>
                <w:hideMark/>
              </w:tcPr>
              <w:p w14:paraId="1ECFB1E3" w14:textId="77777777" w:rsidR="00751460" w:rsidRPr="00997011" w:rsidRDefault="00751460" w:rsidP="008616A0">
                <w:pPr>
                  <w:tabs>
                    <w:tab w:val="left" w:pos="1910"/>
                  </w:tabs>
                </w:pPr>
                <w:r w:rsidRPr="00997011">
                  <w:t>135000</w:t>
                </w:r>
              </w:p>
            </w:tc>
            <w:tc>
              <w:tcPr>
                <w:tcW w:w="1015" w:type="dxa"/>
                <w:noWrap/>
                <w:hideMark/>
              </w:tcPr>
              <w:p w14:paraId="20E805C4" w14:textId="77777777" w:rsidR="00751460" w:rsidRPr="00997011" w:rsidRDefault="00751460" w:rsidP="008616A0">
                <w:pPr>
                  <w:tabs>
                    <w:tab w:val="left" w:pos="1910"/>
                  </w:tabs>
                </w:pPr>
                <w:r w:rsidRPr="00997011">
                  <w:t>0.952381</w:t>
                </w:r>
              </w:p>
            </w:tc>
            <w:tc>
              <w:tcPr>
                <w:tcW w:w="1204" w:type="dxa"/>
                <w:noWrap/>
                <w:hideMark/>
              </w:tcPr>
              <w:p w14:paraId="003201CE" w14:textId="77777777" w:rsidR="00751460" w:rsidRPr="00997011" w:rsidRDefault="00751460" w:rsidP="008616A0">
                <w:pPr>
                  <w:tabs>
                    <w:tab w:val="left" w:pos="1910"/>
                  </w:tabs>
                </w:pPr>
                <w:r w:rsidRPr="00997011">
                  <w:t>128571.4</w:t>
                </w:r>
              </w:p>
            </w:tc>
            <w:tc>
              <w:tcPr>
                <w:tcW w:w="1211" w:type="dxa"/>
                <w:noWrap/>
                <w:hideMark/>
              </w:tcPr>
              <w:p w14:paraId="197BE7E5" w14:textId="77777777" w:rsidR="00751460" w:rsidRPr="00997011" w:rsidRDefault="00751460" w:rsidP="008616A0">
                <w:pPr>
                  <w:tabs>
                    <w:tab w:val="left" w:pos="1910"/>
                  </w:tabs>
                </w:pPr>
                <w:r w:rsidRPr="00997011">
                  <w:t>-471429</w:t>
                </w:r>
              </w:p>
            </w:tc>
          </w:tr>
          <w:tr w:rsidR="00751460" w:rsidRPr="00997011" w14:paraId="2D14010B" w14:textId="77777777" w:rsidTr="008616A0">
            <w:trPr>
              <w:trHeight w:val="311"/>
            </w:trPr>
            <w:tc>
              <w:tcPr>
                <w:tcW w:w="797" w:type="dxa"/>
                <w:noWrap/>
                <w:hideMark/>
              </w:tcPr>
              <w:p w14:paraId="4F469DE1" w14:textId="77777777" w:rsidR="00751460" w:rsidRPr="00997011" w:rsidRDefault="00751460" w:rsidP="008616A0">
                <w:pPr>
                  <w:tabs>
                    <w:tab w:val="left" w:pos="1910"/>
                  </w:tabs>
                </w:pPr>
                <w:r w:rsidRPr="00997011">
                  <w:t>2</w:t>
                </w:r>
              </w:p>
            </w:tc>
            <w:tc>
              <w:tcPr>
                <w:tcW w:w="854" w:type="dxa"/>
                <w:noWrap/>
                <w:hideMark/>
              </w:tcPr>
              <w:p w14:paraId="6323934F" w14:textId="77777777" w:rsidR="00751460" w:rsidRPr="00997011" w:rsidRDefault="00751460" w:rsidP="008616A0">
                <w:pPr>
                  <w:tabs>
                    <w:tab w:val="left" w:pos="1910"/>
                  </w:tabs>
                </w:pPr>
                <w:r w:rsidRPr="00997011">
                  <w:t>180000</w:t>
                </w:r>
              </w:p>
            </w:tc>
            <w:tc>
              <w:tcPr>
                <w:tcW w:w="1128" w:type="dxa"/>
                <w:noWrap/>
                <w:hideMark/>
              </w:tcPr>
              <w:p w14:paraId="66D71DFB" w14:textId="77777777" w:rsidR="00751460" w:rsidRPr="00997011" w:rsidRDefault="00751460" w:rsidP="008616A0">
                <w:pPr>
                  <w:tabs>
                    <w:tab w:val="left" w:pos="1910"/>
                  </w:tabs>
                </w:pPr>
                <w:r w:rsidRPr="00997011">
                  <w:t>120000</w:t>
                </w:r>
              </w:p>
            </w:tc>
            <w:tc>
              <w:tcPr>
                <w:tcW w:w="894" w:type="dxa"/>
                <w:noWrap/>
                <w:hideMark/>
              </w:tcPr>
              <w:p w14:paraId="65A60FAE" w14:textId="77777777" w:rsidR="00751460" w:rsidRPr="00997011" w:rsidRDefault="00751460" w:rsidP="008616A0">
                <w:pPr>
                  <w:tabs>
                    <w:tab w:val="left" w:pos="1910"/>
                  </w:tabs>
                </w:pPr>
                <w:r w:rsidRPr="00997011">
                  <w:t>60000</w:t>
                </w:r>
              </w:p>
            </w:tc>
            <w:tc>
              <w:tcPr>
                <w:tcW w:w="796" w:type="dxa"/>
                <w:noWrap/>
                <w:hideMark/>
              </w:tcPr>
              <w:p w14:paraId="2EB47CD3" w14:textId="77777777" w:rsidR="00751460" w:rsidRPr="00997011" w:rsidRDefault="00751460" w:rsidP="008616A0">
                <w:pPr>
                  <w:tabs>
                    <w:tab w:val="left" w:pos="1910"/>
                  </w:tabs>
                </w:pPr>
                <w:r w:rsidRPr="00997011">
                  <w:t>15000</w:t>
                </w:r>
              </w:p>
            </w:tc>
            <w:tc>
              <w:tcPr>
                <w:tcW w:w="796" w:type="dxa"/>
                <w:noWrap/>
                <w:hideMark/>
              </w:tcPr>
              <w:p w14:paraId="5D2572BB" w14:textId="77777777" w:rsidR="00751460" w:rsidRPr="00997011" w:rsidRDefault="00751460" w:rsidP="008616A0">
                <w:pPr>
                  <w:tabs>
                    <w:tab w:val="left" w:pos="1910"/>
                  </w:tabs>
                </w:pPr>
                <w:r w:rsidRPr="00997011">
                  <w:t>30000</w:t>
                </w:r>
              </w:p>
            </w:tc>
            <w:tc>
              <w:tcPr>
                <w:tcW w:w="854" w:type="dxa"/>
                <w:noWrap/>
                <w:hideMark/>
              </w:tcPr>
              <w:p w14:paraId="00AF661A" w14:textId="77777777" w:rsidR="00751460" w:rsidRPr="00997011" w:rsidRDefault="00751460" w:rsidP="008616A0">
                <w:pPr>
                  <w:tabs>
                    <w:tab w:val="left" w:pos="1910"/>
                  </w:tabs>
                </w:pPr>
                <w:r w:rsidRPr="00997011">
                  <w:t>195000</w:t>
                </w:r>
              </w:p>
            </w:tc>
            <w:tc>
              <w:tcPr>
                <w:tcW w:w="1015" w:type="dxa"/>
                <w:noWrap/>
                <w:hideMark/>
              </w:tcPr>
              <w:p w14:paraId="63EC91B7" w14:textId="77777777" w:rsidR="00751460" w:rsidRPr="00997011" w:rsidRDefault="00751460" w:rsidP="008616A0">
                <w:pPr>
                  <w:tabs>
                    <w:tab w:val="left" w:pos="1910"/>
                  </w:tabs>
                </w:pPr>
                <w:r w:rsidRPr="00997011">
                  <w:t>0.907029</w:t>
                </w:r>
              </w:p>
            </w:tc>
            <w:tc>
              <w:tcPr>
                <w:tcW w:w="1204" w:type="dxa"/>
                <w:noWrap/>
                <w:hideMark/>
              </w:tcPr>
              <w:p w14:paraId="059F0203" w14:textId="77777777" w:rsidR="00751460" w:rsidRPr="00997011" w:rsidRDefault="00751460" w:rsidP="008616A0">
                <w:pPr>
                  <w:tabs>
                    <w:tab w:val="left" w:pos="1910"/>
                  </w:tabs>
                </w:pPr>
                <w:r w:rsidRPr="00997011">
                  <w:t>176870.7</w:t>
                </w:r>
              </w:p>
            </w:tc>
            <w:tc>
              <w:tcPr>
                <w:tcW w:w="1211" w:type="dxa"/>
                <w:noWrap/>
                <w:hideMark/>
              </w:tcPr>
              <w:p w14:paraId="401CD494" w14:textId="77777777" w:rsidR="00751460" w:rsidRPr="00997011" w:rsidRDefault="00751460" w:rsidP="008616A0">
                <w:pPr>
                  <w:tabs>
                    <w:tab w:val="left" w:pos="1910"/>
                  </w:tabs>
                </w:pPr>
                <w:r w:rsidRPr="00997011">
                  <w:t>-294558</w:t>
                </w:r>
              </w:p>
            </w:tc>
          </w:tr>
          <w:tr w:rsidR="00751460" w:rsidRPr="00997011" w14:paraId="384FF4F1" w14:textId="77777777" w:rsidTr="008616A0">
            <w:trPr>
              <w:trHeight w:val="311"/>
            </w:trPr>
            <w:tc>
              <w:tcPr>
                <w:tcW w:w="797" w:type="dxa"/>
                <w:noWrap/>
                <w:hideMark/>
              </w:tcPr>
              <w:p w14:paraId="7378BD36" w14:textId="77777777" w:rsidR="00751460" w:rsidRPr="00997011" w:rsidRDefault="00751460" w:rsidP="008616A0">
                <w:pPr>
                  <w:tabs>
                    <w:tab w:val="left" w:pos="1910"/>
                  </w:tabs>
                </w:pPr>
                <w:r w:rsidRPr="00997011">
                  <w:t>3</w:t>
                </w:r>
              </w:p>
            </w:tc>
            <w:tc>
              <w:tcPr>
                <w:tcW w:w="854" w:type="dxa"/>
                <w:noWrap/>
                <w:hideMark/>
              </w:tcPr>
              <w:p w14:paraId="79FFC5FD" w14:textId="77777777" w:rsidR="00751460" w:rsidRPr="00997011" w:rsidRDefault="00751460" w:rsidP="008616A0">
                <w:pPr>
                  <w:tabs>
                    <w:tab w:val="left" w:pos="1910"/>
                  </w:tabs>
                </w:pPr>
                <w:r w:rsidRPr="00997011">
                  <w:t>210000</w:t>
                </w:r>
              </w:p>
            </w:tc>
            <w:tc>
              <w:tcPr>
                <w:tcW w:w="1128" w:type="dxa"/>
                <w:noWrap/>
                <w:hideMark/>
              </w:tcPr>
              <w:p w14:paraId="645B6109" w14:textId="77777777" w:rsidR="00751460" w:rsidRPr="00997011" w:rsidRDefault="00751460" w:rsidP="008616A0">
                <w:pPr>
                  <w:tabs>
                    <w:tab w:val="left" w:pos="1910"/>
                  </w:tabs>
                </w:pPr>
                <w:r w:rsidRPr="00997011">
                  <w:t>120000</w:t>
                </w:r>
              </w:p>
            </w:tc>
            <w:tc>
              <w:tcPr>
                <w:tcW w:w="894" w:type="dxa"/>
                <w:noWrap/>
                <w:hideMark/>
              </w:tcPr>
              <w:p w14:paraId="20A6864A" w14:textId="77777777" w:rsidR="00751460" w:rsidRPr="00997011" w:rsidRDefault="00751460" w:rsidP="008616A0">
                <w:pPr>
                  <w:tabs>
                    <w:tab w:val="left" w:pos="1910"/>
                  </w:tabs>
                </w:pPr>
                <w:r w:rsidRPr="00997011">
                  <w:t>90000</w:t>
                </w:r>
              </w:p>
            </w:tc>
            <w:tc>
              <w:tcPr>
                <w:tcW w:w="796" w:type="dxa"/>
                <w:noWrap/>
                <w:hideMark/>
              </w:tcPr>
              <w:p w14:paraId="2F7A8D91" w14:textId="77777777" w:rsidR="00751460" w:rsidRPr="00997011" w:rsidRDefault="00751460" w:rsidP="008616A0">
                <w:pPr>
                  <w:tabs>
                    <w:tab w:val="left" w:pos="1910"/>
                  </w:tabs>
                </w:pPr>
                <w:r w:rsidRPr="00997011">
                  <w:t>22500</w:t>
                </w:r>
              </w:p>
            </w:tc>
            <w:tc>
              <w:tcPr>
                <w:tcW w:w="796" w:type="dxa"/>
                <w:noWrap/>
                <w:hideMark/>
              </w:tcPr>
              <w:p w14:paraId="0B95AE7F" w14:textId="77777777" w:rsidR="00751460" w:rsidRPr="00997011" w:rsidRDefault="00751460" w:rsidP="008616A0">
                <w:pPr>
                  <w:tabs>
                    <w:tab w:val="left" w:pos="1910"/>
                  </w:tabs>
                </w:pPr>
                <w:r w:rsidRPr="00997011">
                  <w:t>30000</w:t>
                </w:r>
              </w:p>
            </w:tc>
            <w:tc>
              <w:tcPr>
                <w:tcW w:w="854" w:type="dxa"/>
                <w:noWrap/>
                <w:hideMark/>
              </w:tcPr>
              <w:p w14:paraId="0854082B" w14:textId="77777777" w:rsidR="00751460" w:rsidRPr="00997011" w:rsidRDefault="00751460" w:rsidP="008616A0">
                <w:pPr>
                  <w:tabs>
                    <w:tab w:val="left" w:pos="1910"/>
                  </w:tabs>
                </w:pPr>
                <w:r w:rsidRPr="00997011">
                  <w:t>217500</w:t>
                </w:r>
              </w:p>
            </w:tc>
            <w:tc>
              <w:tcPr>
                <w:tcW w:w="1015" w:type="dxa"/>
                <w:noWrap/>
                <w:hideMark/>
              </w:tcPr>
              <w:p w14:paraId="1ACA1EC8" w14:textId="77777777" w:rsidR="00751460" w:rsidRPr="00997011" w:rsidRDefault="00751460" w:rsidP="008616A0">
                <w:pPr>
                  <w:tabs>
                    <w:tab w:val="left" w:pos="1910"/>
                  </w:tabs>
                </w:pPr>
                <w:r w:rsidRPr="00997011">
                  <w:t>0.863838</w:t>
                </w:r>
              </w:p>
            </w:tc>
            <w:tc>
              <w:tcPr>
                <w:tcW w:w="1204" w:type="dxa"/>
                <w:noWrap/>
                <w:hideMark/>
              </w:tcPr>
              <w:p w14:paraId="570BAB3B" w14:textId="77777777" w:rsidR="00751460" w:rsidRPr="00997011" w:rsidRDefault="00751460" w:rsidP="008616A0">
                <w:pPr>
                  <w:tabs>
                    <w:tab w:val="left" w:pos="1910"/>
                  </w:tabs>
                </w:pPr>
                <w:r w:rsidRPr="00997011">
                  <w:t>187884.7</w:t>
                </w:r>
              </w:p>
            </w:tc>
            <w:tc>
              <w:tcPr>
                <w:tcW w:w="1211" w:type="dxa"/>
                <w:noWrap/>
                <w:hideMark/>
              </w:tcPr>
              <w:p w14:paraId="75B4E8B2" w14:textId="77777777" w:rsidR="00751460" w:rsidRPr="00997011" w:rsidRDefault="00751460" w:rsidP="008616A0">
                <w:pPr>
                  <w:tabs>
                    <w:tab w:val="left" w:pos="1910"/>
                  </w:tabs>
                </w:pPr>
                <w:r w:rsidRPr="00997011">
                  <w:t>-106673</w:t>
                </w:r>
              </w:p>
            </w:tc>
          </w:tr>
          <w:tr w:rsidR="00751460" w:rsidRPr="00997011" w14:paraId="336AE201" w14:textId="77777777" w:rsidTr="008616A0">
            <w:trPr>
              <w:trHeight w:val="1089"/>
            </w:trPr>
            <w:tc>
              <w:tcPr>
                <w:tcW w:w="797" w:type="dxa"/>
                <w:noWrap/>
                <w:hideMark/>
              </w:tcPr>
              <w:p w14:paraId="6E749A30" w14:textId="77777777" w:rsidR="00751460" w:rsidRPr="00997011" w:rsidRDefault="00751460" w:rsidP="008616A0">
                <w:pPr>
                  <w:tabs>
                    <w:tab w:val="left" w:pos="1910"/>
                  </w:tabs>
                </w:pPr>
                <w:r w:rsidRPr="00997011">
                  <w:t>4</w:t>
                </w:r>
              </w:p>
            </w:tc>
            <w:tc>
              <w:tcPr>
                <w:tcW w:w="854" w:type="dxa"/>
                <w:noWrap/>
                <w:hideMark/>
              </w:tcPr>
              <w:p w14:paraId="0A4C1F13" w14:textId="77777777" w:rsidR="00751460" w:rsidRPr="00997011" w:rsidRDefault="00751460" w:rsidP="008616A0">
                <w:pPr>
                  <w:tabs>
                    <w:tab w:val="left" w:pos="1910"/>
                  </w:tabs>
                </w:pPr>
                <w:r w:rsidRPr="00997011">
                  <w:t>260000</w:t>
                </w:r>
              </w:p>
            </w:tc>
            <w:tc>
              <w:tcPr>
                <w:tcW w:w="1128" w:type="dxa"/>
                <w:noWrap/>
                <w:hideMark/>
              </w:tcPr>
              <w:p w14:paraId="2550C44A" w14:textId="77777777" w:rsidR="00751460" w:rsidRPr="00997011" w:rsidRDefault="00751460" w:rsidP="008616A0">
                <w:pPr>
                  <w:tabs>
                    <w:tab w:val="left" w:pos="1910"/>
                  </w:tabs>
                </w:pPr>
                <w:r w:rsidRPr="00997011">
                  <w:t>120000</w:t>
                </w:r>
              </w:p>
            </w:tc>
            <w:tc>
              <w:tcPr>
                <w:tcW w:w="894" w:type="dxa"/>
                <w:noWrap/>
                <w:hideMark/>
              </w:tcPr>
              <w:p w14:paraId="2687210D" w14:textId="77777777" w:rsidR="00751460" w:rsidRPr="00997011" w:rsidRDefault="00751460" w:rsidP="008616A0">
                <w:pPr>
                  <w:tabs>
                    <w:tab w:val="left" w:pos="1910"/>
                  </w:tabs>
                </w:pPr>
                <w:r w:rsidRPr="00997011">
                  <w:t>140000</w:t>
                </w:r>
              </w:p>
            </w:tc>
            <w:tc>
              <w:tcPr>
                <w:tcW w:w="796" w:type="dxa"/>
                <w:noWrap/>
                <w:hideMark/>
              </w:tcPr>
              <w:p w14:paraId="290BC538" w14:textId="77777777" w:rsidR="00751460" w:rsidRPr="00997011" w:rsidRDefault="00751460" w:rsidP="008616A0">
                <w:pPr>
                  <w:tabs>
                    <w:tab w:val="left" w:pos="1910"/>
                  </w:tabs>
                </w:pPr>
                <w:r w:rsidRPr="00997011">
                  <w:t>35000</w:t>
                </w:r>
              </w:p>
            </w:tc>
            <w:tc>
              <w:tcPr>
                <w:tcW w:w="796" w:type="dxa"/>
                <w:noWrap/>
                <w:hideMark/>
              </w:tcPr>
              <w:p w14:paraId="4399B27C" w14:textId="77777777" w:rsidR="00751460" w:rsidRPr="00997011" w:rsidRDefault="00751460" w:rsidP="008616A0">
                <w:pPr>
                  <w:tabs>
                    <w:tab w:val="left" w:pos="1910"/>
                  </w:tabs>
                </w:pPr>
                <w:r w:rsidRPr="00997011">
                  <w:t>30000</w:t>
                </w:r>
              </w:p>
            </w:tc>
            <w:tc>
              <w:tcPr>
                <w:tcW w:w="854" w:type="dxa"/>
                <w:noWrap/>
                <w:hideMark/>
              </w:tcPr>
              <w:p w14:paraId="7A612146" w14:textId="77777777" w:rsidR="00751460" w:rsidRPr="00997011" w:rsidRDefault="00751460" w:rsidP="008616A0">
                <w:pPr>
                  <w:tabs>
                    <w:tab w:val="left" w:pos="1910"/>
                  </w:tabs>
                </w:pPr>
                <w:r w:rsidRPr="00997011">
                  <w:t>255000</w:t>
                </w:r>
              </w:p>
            </w:tc>
            <w:tc>
              <w:tcPr>
                <w:tcW w:w="1015" w:type="dxa"/>
                <w:noWrap/>
                <w:hideMark/>
              </w:tcPr>
              <w:p w14:paraId="7B467FA6" w14:textId="77777777" w:rsidR="00751460" w:rsidRPr="00997011" w:rsidRDefault="00751460" w:rsidP="008616A0">
                <w:pPr>
                  <w:tabs>
                    <w:tab w:val="left" w:pos="1910"/>
                  </w:tabs>
                </w:pPr>
                <w:r w:rsidRPr="00997011">
                  <w:t>0.822702</w:t>
                </w:r>
              </w:p>
            </w:tc>
            <w:tc>
              <w:tcPr>
                <w:tcW w:w="1204" w:type="dxa"/>
                <w:noWrap/>
                <w:hideMark/>
              </w:tcPr>
              <w:p w14:paraId="5A9C0202" w14:textId="77777777" w:rsidR="00751460" w:rsidRPr="00997011" w:rsidRDefault="00751460" w:rsidP="008616A0">
                <w:pPr>
                  <w:tabs>
                    <w:tab w:val="left" w:pos="1910"/>
                  </w:tabs>
                </w:pPr>
                <w:r w:rsidRPr="00997011">
                  <w:t>209789.1</w:t>
                </w:r>
              </w:p>
            </w:tc>
            <w:tc>
              <w:tcPr>
                <w:tcW w:w="1211" w:type="dxa"/>
                <w:noWrap/>
                <w:hideMark/>
              </w:tcPr>
              <w:p w14:paraId="2E05E690" w14:textId="77777777" w:rsidR="00751460" w:rsidRPr="00997011" w:rsidRDefault="00751460" w:rsidP="008616A0">
                <w:pPr>
                  <w:tabs>
                    <w:tab w:val="left" w:pos="1910"/>
                  </w:tabs>
                </w:pPr>
                <w:r w:rsidRPr="00997011">
                  <w:t>103116</w:t>
                </w:r>
              </w:p>
            </w:tc>
          </w:tr>
        </w:tbl>
        <w:p w14:paraId="266D02FA" w14:textId="77777777" w:rsidR="00751460" w:rsidRDefault="00751460" w:rsidP="00751460">
          <w:pPr>
            <w:tabs>
              <w:tab w:val="left" w:pos="1910"/>
            </w:tabs>
          </w:pPr>
        </w:p>
        <w:p w14:paraId="3F17F6A7" w14:textId="77777777" w:rsidR="00751460" w:rsidRPr="0032385F" w:rsidRDefault="00751460" w:rsidP="00751460">
          <w:pPr>
            <w:pStyle w:val="Heading2"/>
            <w:rPr>
              <w:rFonts w:ascii="Times New Roman" w:hAnsi="Times New Roman" w:cs="Times New Roman"/>
              <w:b/>
              <w:bCs/>
              <w:color w:val="auto"/>
              <w:sz w:val="24"/>
              <w:szCs w:val="24"/>
            </w:rPr>
          </w:pPr>
          <w:bookmarkStart w:id="20" w:name="_Toc227613584"/>
          <w:r w:rsidRPr="0032385F">
            <w:rPr>
              <w:rFonts w:ascii="Times New Roman" w:hAnsi="Times New Roman" w:cs="Times New Roman"/>
              <w:b/>
              <w:bCs/>
              <w:color w:val="auto"/>
              <w:sz w:val="24"/>
              <w:szCs w:val="24"/>
            </w:rPr>
            <w:t>6.5 Appendix 5:  Option B</w:t>
          </w:r>
          <w:bookmarkEnd w:id="20"/>
        </w:p>
        <w:tbl>
          <w:tblPr>
            <w:tblStyle w:val="TableGrid"/>
            <w:tblW w:w="0" w:type="auto"/>
            <w:tblLook w:val="04A0" w:firstRow="1" w:lastRow="0" w:firstColumn="1" w:lastColumn="0" w:noHBand="0" w:noVBand="1"/>
          </w:tblPr>
          <w:tblGrid>
            <w:gridCol w:w="829"/>
            <w:gridCol w:w="829"/>
            <w:gridCol w:w="1002"/>
            <w:gridCol w:w="829"/>
            <w:gridCol w:w="828"/>
            <w:gridCol w:w="828"/>
            <w:gridCol w:w="828"/>
            <w:gridCol w:w="905"/>
            <w:gridCol w:w="1066"/>
            <w:gridCol w:w="1072"/>
          </w:tblGrid>
          <w:tr w:rsidR="00751460" w:rsidRPr="00414B46" w14:paraId="4A7FC937" w14:textId="77777777" w:rsidTr="008616A0">
            <w:trPr>
              <w:trHeight w:val="290"/>
            </w:trPr>
            <w:tc>
              <w:tcPr>
                <w:tcW w:w="960" w:type="dxa"/>
                <w:noWrap/>
                <w:hideMark/>
              </w:tcPr>
              <w:p w14:paraId="155E4999" w14:textId="77777777" w:rsidR="00751460" w:rsidRPr="00414B46" w:rsidRDefault="00751460" w:rsidP="008616A0">
                <w:pPr>
                  <w:tabs>
                    <w:tab w:val="left" w:pos="1910"/>
                  </w:tabs>
                  <w:rPr>
                    <w:b/>
                    <w:bCs/>
                  </w:rPr>
                </w:pPr>
                <w:r w:rsidRPr="00414B46">
                  <w:rPr>
                    <w:b/>
                    <w:bCs/>
                  </w:rPr>
                  <w:t>Year</w:t>
                </w:r>
              </w:p>
            </w:tc>
            <w:tc>
              <w:tcPr>
                <w:tcW w:w="960" w:type="dxa"/>
                <w:noWrap/>
                <w:hideMark/>
              </w:tcPr>
              <w:p w14:paraId="5D3A3FC2" w14:textId="77777777" w:rsidR="00751460" w:rsidRPr="00414B46" w:rsidRDefault="00751460" w:rsidP="008616A0">
                <w:pPr>
                  <w:tabs>
                    <w:tab w:val="left" w:pos="1910"/>
                  </w:tabs>
                  <w:rPr>
                    <w:b/>
                    <w:bCs/>
                  </w:rPr>
                </w:pPr>
                <w:r w:rsidRPr="00414B46">
                  <w:rPr>
                    <w:b/>
                    <w:bCs/>
                  </w:rPr>
                  <w:t>Cash Flow</w:t>
                </w:r>
              </w:p>
            </w:tc>
            <w:tc>
              <w:tcPr>
                <w:tcW w:w="984" w:type="dxa"/>
                <w:noWrap/>
                <w:hideMark/>
              </w:tcPr>
              <w:p w14:paraId="1EACD2C4" w14:textId="77777777" w:rsidR="00751460" w:rsidRPr="00414B46" w:rsidRDefault="00751460" w:rsidP="008616A0">
                <w:pPr>
                  <w:tabs>
                    <w:tab w:val="left" w:pos="1910"/>
                  </w:tabs>
                  <w:rPr>
                    <w:b/>
                    <w:bCs/>
                  </w:rPr>
                </w:pPr>
                <w:r w:rsidRPr="00414B46">
                  <w:rPr>
                    <w:b/>
                    <w:bCs/>
                  </w:rPr>
                  <w:t>Capital Allowance</w:t>
                </w:r>
              </w:p>
            </w:tc>
            <w:tc>
              <w:tcPr>
                <w:tcW w:w="960" w:type="dxa"/>
                <w:noWrap/>
                <w:hideMark/>
              </w:tcPr>
              <w:p w14:paraId="671E6226" w14:textId="77777777" w:rsidR="00751460" w:rsidRPr="00414B46" w:rsidRDefault="00751460" w:rsidP="008616A0">
                <w:pPr>
                  <w:tabs>
                    <w:tab w:val="left" w:pos="1910"/>
                  </w:tabs>
                  <w:rPr>
                    <w:b/>
                    <w:bCs/>
                  </w:rPr>
                </w:pPr>
                <w:r w:rsidRPr="00414B46">
                  <w:rPr>
                    <w:b/>
                    <w:bCs/>
                  </w:rPr>
                  <w:t>Taxable Profit</w:t>
                </w:r>
              </w:p>
            </w:tc>
            <w:tc>
              <w:tcPr>
                <w:tcW w:w="960" w:type="dxa"/>
                <w:noWrap/>
                <w:hideMark/>
              </w:tcPr>
              <w:p w14:paraId="13A82772" w14:textId="77777777" w:rsidR="00751460" w:rsidRPr="00414B46" w:rsidRDefault="00751460" w:rsidP="008616A0">
                <w:pPr>
                  <w:tabs>
                    <w:tab w:val="left" w:pos="1910"/>
                  </w:tabs>
                  <w:rPr>
                    <w:b/>
                    <w:bCs/>
                  </w:rPr>
                </w:pPr>
                <w:r w:rsidRPr="00414B46">
                  <w:rPr>
                    <w:b/>
                    <w:bCs/>
                  </w:rPr>
                  <w:t>Tax</w:t>
                </w:r>
              </w:p>
            </w:tc>
            <w:tc>
              <w:tcPr>
                <w:tcW w:w="960" w:type="dxa"/>
                <w:noWrap/>
                <w:hideMark/>
              </w:tcPr>
              <w:p w14:paraId="34FDF983" w14:textId="77777777" w:rsidR="00751460" w:rsidRPr="00414B46" w:rsidRDefault="00751460" w:rsidP="008616A0">
                <w:pPr>
                  <w:tabs>
                    <w:tab w:val="left" w:pos="1910"/>
                  </w:tabs>
                  <w:rPr>
                    <w:b/>
                    <w:bCs/>
                  </w:rPr>
                </w:pPr>
                <w:r w:rsidRPr="00414B46">
                  <w:rPr>
                    <w:b/>
                    <w:bCs/>
                  </w:rPr>
                  <w:t>Tax Shield</w:t>
                </w:r>
              </w:p>
            </w:tc>
            <w:tc>
              <w:tcPr>
                <w:tcW w:w="960" w:type="dxa"/>
                <w:noWrap/>
                <w:hideMark/>
              </w:tcPr>
              <w:p w14:paraId="0E59D9CE" w14:textId="77777777" w:rsidR="00751460" w:rsidRPr="00414B46" w:rsidRDefault="00751460" w:rsidP="008616A0">
                <w:pPr>
                  <w:tabs>
                    <w:tab w:val="left" w:pos="1910"/>
                  </w:tabs>
                  <w:rPr>
                    <w:b/>
                    <w:bCs/>
                  </w:rPr>
                </w:pPr>
                <w:r w:rsidRPr="00414B46">
                  <w:rPr>
                    <w:b/>
                    <w:bCs/>
                  </w:rPr>
                  <w:t>Net Cash Flow</w:t>
                </w:r>
              </w:p>
            </w:tc>
            <w:tc>
              <w:tcPr>
                <w:tcW w:w="960" w:type="dxa"/>
                <w:noWrap/>
                <w:hideMark/>
              </w:tcPr>
              <w:p w14:paraId="280564B1" w14:textId="77777777" w:rsidR="00751460" w:rsidRPr="00414B46" w:rsidRDefault="00751460" w:rsidP="008616A0">
                <w:pPr>
                  <w:tabs>
                    <w:tab w:val="left" w:pos="1910"/>
                  </w:tabs>
                  <w:rPr>
                    <w:b/>
                    <w:bCs/>
                  </w:rPr>
                </w:pPr>
                <w:r w:rsidRPr="00414B46">
                  <w:rPr>
                    <w:b/>
                    <w:bCs/>
                  </w:rPr>
                  <w:t>Discount Factor</w:t>
                </w:r>
              </w:p>
            </w:tc>
            <w:tc>
              <w:tcPr>
                <w:tcW w:w="1063" w:type="dxa"/>
                <w:noWrap/>
                <w:hideMark/>
              </w:tcPr>
              <w:p w14:paraId="71F49E42" w14:textId="77777777" w:rsidR="00751460" w:rsidRPr="00414B46" w:rsidRDefault="00751460" w:rsidP="008616A0">
                <w:pPr>
                  <w:tabs>
                    <w:tab w:val="left" w:pos="1910"/>
                  </w:tabs>
                  <w:rPr>
                    <w:b/>
                    <w:bCs/>
                  </w:rPr>
                </w:pPr>
                <w:r w:rsidRPr="00414B46">
                  <w:rPr>
                    <w:b/>
                    <w:bCs/>
                  </w:rPr>
                  <w:t>Discounted Cash Flow</w:t>
                </w:r>
              </w:p>
            </w:tc>
            <w:tc>
              <w:tcPr>
                <w:tcW w:w="1070" w:type="dxa"/>
                <w:noWrap/>
                <w:hideMark/>
              </w:tcPr>
              <w:p w14:paraId="50684083" w14:textId="77777777" w:rsidR="00751460" w:rsidRPr="00414B46" w:rsidRDefault="00751460" w:rsidP="008616A0">
                <w:pPr>
                  <w:tabs>
                    <w:tab w:val="left" w:pos="1910"/>
                  </w:tabs>
                  <w:rPr>
                    <w:b/>
                    <w:bCs/>
                  </w:rPr>
                </w:pPr>
                <w:r w:rsidRPr="00414B46">
                  <w:rPr>
                    <w:b/>
                    <w:bCs/>
                  </w:rPr>
                  <w:t>Cumulative NPV</w:t>
                </w:r>
              </w:p>
            </w:tc>
          </w:tr>
          <w:tr w:rsidR="00751460" w:rsidRPr="00414B46" w14:paraId="2F807DFF" w14:textId="77777777" w:rsidTr="008616A0">
            <w:trPr>
              <w:trHeight w:val="290"/>
            </w:trPr>
            <w:tc>
              <w:tcPr>
                <w:tcW w:w="960" w:type="dxa"/>
                <w:noWrap/>
                <w:hideMark/>
              </w:tcPr>
              <w:p w14:paraId="235724D7" w14:textId="77777777" w:rsidR="00751460" w:rsidRPr="00414B46" w:rsidRDefault="00751460" w:rsidP="008616A0">
                <w:pPr>
                  <w:tabs>
                    <w:tab w:val="left" w:pos="1910"/>
                  </w:tabs>
                </w:pPr>
                <w:r w:rsidRPr="00414B46">
                  <w:t>1</w:t>
                </w:r>
              </w:p>
            </w:tc>
            <w:tc>
              <w:tcPr>
                <w:tcW w:w="960" w:type="dxa"/>
                <w:noWrap/>
                <w:hideMark/>
              </w:tcPr>
              <w:p w14:paraId="612D081F" w14:textId="77777777" w:rsidR="00751460" w:rsidRPr="00414B46" w:rsidRDefault="00751460" w:rsidP="008616A0">
                <w:pPr>
                  <w:tabs>
                    <w:tab w:val="left" w:pos="1910"/>
                  </w:tabs>
                </w:pPr>
                <w:r w:rsidRPr="00414B46">
                  <w:t>220000</w:t>
                </w:r>
              </w:p>
            </w:tc>
            <w:tc>
              <w:tcPr>
                <w:tcW w:w="984" w:type="dxa"/>
                <w:noWrap/>
                <w:hideMark/>
              </w:tcPr>
              <w:p w14:paraId="179D7A0F" w14:textId="77777777" w:rsidR="00751460" w:rsidRPr="00414B46" w:rsidRDefault="00751460" w:rsidP="008616A0">
                <w:pPr>
                  <w:tabs>
                    <w:tab w:val="left" w:pos="1910"/>
                  </w:tabs>
                </w:pPr>
                <w:r w:rsidRPr="00414B46">
                  <w:t>180000</w:t>
                </w:r>
              </w:p>
            </w:tc>
            <w:tc>
              <w:tcPr>
                <w:tcW w:w="960" w:type="dxa"/>
                <w:noWrap/>
                <w:hideMark/>
              </w:tcPr>
              <w:p w14:paraId="0F606167" w14:textId="77777777" w:rsidR="00751460" w:rsidRPr="00414B46" w:rsidRDefault="00751460" w:rsidP="008616A0">
                <w:pPr>
                  <w:tabs>
                    <w:tab w:val="left" w:pos="1910"/>
                  </w:tabs>
                </w:pPr>
                <w:r w:rsidRPr="00414B46">
                  <w:t>40000</w:t>
                </w:r>
              </w:p>
            </w:tc>
            <w:tc>
              <w:tcPr>
                <w:tcW w:w="960" w:type="dxa"/>
                <w:noWrap/>
                <w:hideMark/>
              </w:tcPr>
              <w:p w14:paraId="7F85589F" w14:textId="77777777" w:rsidR="00751460" w:rsidRPr="00414B46" w:rsidRDefault="00751460" w:rsidP="008616A0">
                <w:pPr>
                  <w:tabs>
                    <w:tab w:val="left" w:pos="1910"/>
                  </w:tabs>
                </w:pPr>
                <w:r w:rsidRPr="00414B46">
                  <w:t>10000</w:t>
                </w:r>
              </w:p>
            </w:tc>
            <w:tc>
              <w:tcPr>
                <w:tcW w:w="960" w:type="dxa"/>
                <w:noWrap/>
                <w:hideMark/>
              </w:tcPr>
              <w:p w14:paraId="39A5D269" w14:textId="77777777" w:rsidR="00751460" w:rsidRPr="00414B46" w:rsidRDefault="00751460" w:rsidP="008616A0">
                <w:pPr>
                  <w:tabs>
                    <w:tab w:val="left" w:pos="1910"/>
                  </w:tabs>
                </w:pPr>
                <w:r w:rsidRPr="00414B46">
                  <w:t>45000</w:t>
                </w:r>
              </w:p>
            </w:tc>
            <w:tc>
              <w:tcPr>
                <w:tcW w:w="960" w:type="dxa"/>
                <w:noWrap/>
                <w:hideMark/>
              </w:tcPr>
              <w:p w14:paraId="2985C95B" w14:textId="77777777" w:rsidR="00751460" w:rsidRPr="00414B46" w:rsidRDefault="00751460" w:rsidP="008616A0">
                <w:pPr>
                  <w:tabs>
                    <w:tab w:val="left" w:pos="1910"/>
                  </w:tabs>
                </w:pPr>
                <w:r w:rsidRPr="00414B46">
                  <w:t>255000</w:t>
                </w:r>
              </w:p>
            </w:tc>
            <w:tc>
              <w:tcPr>
                <w:tcW w:w="960" w:type="dxa"/>
                <w:noWrap/>
                <w:hideMark/>
              </w:tcPr>
              <w:p w14:paraId="0C8A7F47" w14:textId="77777777" w:rsidR="00751460" w:rsidRPr="00414B46" w:rsidRDefault="00751460" w:rsidP="008616A0">
                <w:pPr>
                  <w:tabs>
                    <w:tab w:val="left" w:pos="1910"/>
                  </w:tabs>
                </w:pPr>
                <w:r w:rsidRPr="00414B46">
                  <w:t>0.952381</w:t>
                </w:r>
              </w:p>
            </w:tc>
            <w:tc>
              <w:tcPr>
                <w:tcW w:w="1063" w:type="dxa"/>
                <w:noWrap/>
                <w:hideMark/>
              </w:tcPr>
              <w:p w14:paraId="38418AC1" w14:textId="77777777" w:rsidR="00751460" w:rsidRPr="00414B46" w:rsidRDefault="00751460" w:rsidP="008616A0">
                <w:pPr>
                  <w:tabs>
                    <w:tab w:val="left" w:pos="1910"/>
                  </w:tabs>
                </w:pPr>
                <w:r w:rsidRPr="00414B46">
                  <w:t>242857.1</w:t>
                </w:r>
              </w:p>
            </w:tc>
            <w:tc>
              <w:tcPr>
                <w:tcW w:w="1070" w:type="dxa"/>
                <w:noWrap/>
                <w:hideMark/>
              </w:tcPr>
              <w:p w14:paraId="4574DE49" w14:textId="77777777" w:rsidR="00751460" w:rsidRPr="00414B46" w:rsidRDefault="00751460" w:rsidP="008616A0">
                <w:pPr>
                  <w:tabs>
                    <w:tab w:val="left" w:pos="1910"/>
                  </w:tabs>
                </w:pPr>
                <w:r w:rsidRPr="00414B46">
                  <w:t>-657143</w:t>
                </w:r>
              </w:p>
            </w:tc>
          </w:tr>
          <w:tr w:rsidR="00751460" w:rsidRPr="00414B46" w14:paraId="0F461E1E" w14:textId="77777777" w:rsidTr="008616A0">
            <w:trPr>
              <w:trHeight w:val="290"/>
            </w:trPr>
            <w:tc>
              <w:tcPr>
                <w:tcW w:w="960" w:type="dxa"/>
                <w:noWrap/>
                <w:hideMark/>
              </w:tcPr>
              <w:p w14:paraId="6F6E738E" w14:textId="77777777" w:rsidR="00751460" w:rsidRPr="00414B46" w:rsidRDefault="00751460" w:rsidP="008616A0">
                <w:pPr>
                  <w:tabs>
                    <w:tab w:val="left" w:pos="1910"/>
                  </w:tabs>
                </w:pPr>
                <w:r w:rsidRPr="00414B46">
                  <w:t>2</w:t>
                </w:r>
              </w:p>
            </w:tc>
            <w:tc>
              <w:tcPr>
                <w:tcW w:w="960" w:type="dxa"/>
                <w:noWrap/>
                <w:hideMark/>
              </w:tcPr>
              <w:p w14:paraId="7B53F935" w14:textId="77777777" w:rsidR="00751460" w:rsidRPr="00414B46" w:rsidRDefault="00751460" w:rsidP="008616A0">
                <w:pPr>
                  <w:tabs>
                    <w:tab w:val="left" w:pos="1910"/>
                  </w:tabs>
                </w:pPr>
                <w:r w:rsidRPr="00414B46">
                  <w:t>270000</w:t>
                </w:r>
              </w:p>
            </w:tc>
            <w:tc>
              <w:tcPr>
                <w:tcW w:w="984" w:type="dxa"/>
                <w:noWrap/>
                <w:hideMark/>
              </w:tcPr>
              <w:p w14:paraId="5F8C5260" w14:textId="77777777" w:rsidR="00751460" w:rsidRPr="00414B46" w:rsidRDefault="00751460" w:rsidP="008616A0">
                <w:pPr>
                  <w:tabs>
                    <w:tab w:val="left" w:pos="1910"/>
                  </w:tabs>
                </w:pPr>
                <w:r w:rsidRPr="00414B46">
                  <w:t>180000</w:t>
                </w:r>
              </w:p>
            </w:tc>
            <w:tc>
              <w:tcPr>
                <w:tcW w:w="960" w:type="dxa"/>
                <w:noWrap/>
                <w:hideMark/>
              </w:tcPr>
              <w:p w14:paraId="25410AE9" w14:textId="77777777" w:rsidR="00751460" w:rsidRPr="00414B46" w:rsidRDefault="00751460" w:rsidP="008616A0">
                <w:pPr>
                  <w:tabs>
                    <w:tab w:val="left" w:pos="1910"/>
                  </w:tabs>
                </w:pPr>
                <w:r w:rsidRPr="00414B46">
                  <w:t>90000</w:t>
                </w:r>
              </w:p>
            </w:tc>
            <w:tc>
              <w:tcPr>
                <w:tcW w:w="960" w:type="dxa"/>
                <w:noWrap/>
                <w:hideMark/>
              </w:tcPr>
              <w:p w14:paraId="4B4C64E9" w14:textId="77777777" w:rsidR="00751460" w:rsidRPr="00414B46" w:rsidRDefault="00751460" w:rsidP="008616A0">
                <w:pPr>
                  <w:tabs>
                    <w:tab w:val="left" w:pos="1910"/>
                  </w:tabs>
                </w:pPr>
                <w:r w:rsidRPr="00414B46">
                  <w:t>22500</w:t>
                </w:r>
              </w:p>
            </w:tc>
            <w:tc>
              <w:tcPr>
                <w:tcW w:w="960" w:type="dxa"/>
                <w:noWrap/>
                <w:hideMark/>
              </w:tcPr>
              <w:p w14:paraId="4CC8176F" w14:textId="77777777" w:rsidR="00751460" w:rsidRPr="00414B46" w:rsidRDefault="00751460" w:rsidP="008616A0">
                <w:pPr>
                  <w:tabs>
                    <w:tab w:val="left" w:pos="1910"/>
                  </w:tabs>
                </w:pPr>
                <w:r w:rsidRPr="00414B46">
                  <w:t>45000</w:t>
                </w:r>
              </w:p>
            </w:tc>
            <w:tc>
              <w:tcPr>
                <w:tcW w:w="960" w:type="dxa"/>
                <w:noWrap/>
                <w:hideMark/>
              </w:tcPr>
              <w:p w14:paraId="3337E088" w14:textId="77777777" w:rsidR="00751460" w:rsidRPr="00414B46" w:rsidRDefault="00751460" w:rsidP="008616A0">
                <w:pPr>
                  <w:tabs>
                    <w:tab w:val="left" w:pos="1910"/>
                  </w:tabs>
                </w:pPr>
                <w:r w:rsidRPr="00414B46">
                  <w:t>292500</w:t>
                </w:r>
              </w:p>
            </w:tc>
            <w:tc>
              <w:tcPr>
                <w:tcW w:w="960" w:type="dxa"/>
                <w:noWrap/>
                <w:hideMark/>
              </w:tcPr>
              <w:p w14:paraId="01AD87C5" w14:textId="77777777" w:rsidR="00751460" w:rsidRPr="00414B46" w:rsidRDefault="00751460" w:rsidP="008616A0">
                <w:pPr>
                  <w:tabs>
                    <w:tab w:val="left" w:pos="1910"/>
                  </w:tabs>
                </w:pPr>
                <w:r w:rsidRPr="00414B46">
                  <w:t>0.907029</w:t>
                </w:r>
              </w:p>
            </w:tc>
            <w:tc>
              <w:tcPr>
                <w:tcW w:w="1063" w:type="dxa"/>
                <w:noWrap/>
                <w:hideMark/>
              </w:tcPr>
              <w:p w14:paraId="793E332E" w14:textId="77777777" w:rsidR="00751460" w:rsidRPr="00414B46" w:rsidRDefault="00751460" w:rsidP="008616A0">
                <w:pPr>
                  <w:tabs>
                    <w:tab w:val="left" w:pos="1910"/>
                  </w:tabs>
                </w:pPr>
                <w:r w:rsidRPr="00414B46">
                  <w:t>265306.1</w:t>
                </w:r>
              </w:p>
            </w:tc>
            <w:tc>
              <w:tcPr>
                <w:tcW w:w="1070" w:type="dxa"/>
                <w:noWrap/>
                <w:hideMark/>
              </w:tcPr>
              <w:p w14:paraId="623E68C4" w14:textId="77777777" w:rsidR="00751460" w:rsidRPr="00414B46" w:rsidRDefault="00751460" w:rsidP="008616A0">
                <w:pPr>
                  <w:tabs>
                    <w:tab w:val="left" w:pos="1910"/>
                  </w:tabs>
                </w:pPr>
                <w:r w:rsidRPr="00414B46">
                  <w:t>-391837</w:t>
                </w:r>
              </w:p>
            </w:tc>
          </w:tr>
          <w:tr w:rsidR="00751460" w:rsidRPr="00414B46" w14:paraId="72DEDFDA" w14:textId="77777777" w:rsidTr="008616A0">
            <w:trPr>
              <w:trHeight w:val="290"/>
            </w:trPr>
            <w:tc>
              <w:tcPr>
                <w:tcW w:w="960" w:type="dxa"/>
                <w:noWrap/>
                <w:hideMark/>
              </w:tcPr>
              <w:p w14:paraId="0FFE227E" w14:textId="77777777" w:rsidR="00751460" w:rsidRPr="00414B46" w:rsidRDefault="00751460" w:rsidP="008616A0">
                <w:pPr>
                  <w:tabs>
                    <w:tab w:val="left" w:pos="1910"/>
                  </w:tabs>
                </w:pPr>
                <w:r w:rsidRPr="00414B46">
                  <w:lastRenderedPageBreak/>
                  <w:t>3</w:t>
                </w:r>
              </w:p>
            </w:tc>
            <w:tc>
              <w:tcPr>
                <w:tcW w:w="960" w:type="dxa"/>
                <w:noWrap/>
                <w:hideMark/>
              </w:tcPr>
              <w:p w14:paraId="237DFB17" w14:textId="77777777" w:rsidR="00751460" w:rsidRPr="00414B46" w:rsidRDefault="00751460" w:rsidP="008616A0">
                <w:pPr>
                  <w:tabs>
                    <w:tab w:val="left" w:pos="1910"/>
                  </w:tabs>
                </w:pPr>
                <w:r w:rsidRPr="00414B46">
                  <w:t>350000</w:t>
                </w:r>
              </w:p>
            </w:tc>
            <w:tc>
              <w:tcPr>
                <w:tcW w:w="984" w:type="dxa"/>
                <w:noWrap/>
                <w:hideMark/>
              </w:tcPr>
              <w:p w14:paraId="3316677D" w14:textId="77777777" w:rsidR="00751460" w:rsidRPr="00414B46" w:rsidRDefault="00751460" w:rsidP="008616A0">
                <w:pPr>
                  <w:tabs>
                    <w:tab w:val="left" w:pos="1910"/>
                  </w:tabs>
                </w:pPr>
                <w:r w:rsidRPr="00414B46">
                  <w:t>180000</w:t>
                </w:r>
              </w:p>
            </w:tc>
            <w:tc>
              <w:tcPr>
                <w:tcW w:w="960" w:type="dxa"/>
                <w:noWrap/>
                <w:hideMark/>
              </w:tcPr>
              <w:p w14:paraId="7D8D00D8" w14:textId="77777777" w:rsidR="00751460" w:rsidRPr="00414B46" w:rsidRDefault="00751460" w:rsidP="008616A0">
                <w:pPr>
                  <w:tabs>
                    <w:tab w:val="left" w:pos="1910"/>
                  </w:tabs>
                </w:pPr>
                <w:r w:rsidRPr="00414B46">
                  <w:t>170000</w:t>
                </w:r>
              </w:p>
            </w:tc>
            <w:tc>
              <w:tcPr>
                <w:tcW w:w="960" w:type="dxa"/>
                <w:noWrap/>
                <w:hideMark/>
              </w:tcPr>
              <w:p w14:paraId="256667E4" w14:textId="77777777" w:rsidR="00751460" w:rsidRPr="00414B46" w:rsidRDefault="00751460" w:rsidP="008616A0">
                <w:pPr>
                  <w:tabs>
                    <w:tab w:val="left" w:pos="1910"/>
                  </w:tabs>
                </w:pPr>
                <w:r w:rsidRPr="00414B46">
                  <w:t>42500</w:t>
                </w:r>
              </w:p>
            </w:tc>
            <w:tc>
              <w:tcPr>
                <w:tcW w:w="960" w:type="dxa"/>
                <w:noWrap/>
                <w:hideMark/>
              </w:tcPr>
              <w:p w14:paraId="64AC4E66" w14:textId="77777777" w:rsidR="00751460" w:rsidRPr="00414B46" w:rsidRDefault="00751460" w:rsidP="008616A0">
                <w:pPr>
                  <w:tabs>
                    <w:tab w:val="left" w:pos="1910"/>
                  </w:tabs>
                </w:pPr>
                <w:r w:rsidRPr="00414B46">
                  <w:t>45000</w:t>
                </w:r>
              </w:p>
            </w:tc>
            <w:tc>
              <w:tcPr>
                <w:tcW w:w="960" w:type="dxa"/>
                <w:noWrap/>
                <w:hideMark/>
              </w:tcPr>
              <w:p w14:paraId="41487E37" w14:textId="77777777" w:rsidR="00751460" w:rsidRPr="00414B46" w:rsidRDefault="00751460" w:rsidP="008616A0">
                <w:pPr>
                  <w:tabs>
                    <w:tab w:val="left" w:pos="1910"/>
                  </w:tabs>
                </w:pPr>
                <w:r w:rsidRPr="00414B46">
                  <w:t>352500</w:t>
                </w:r>
              </w:p>
            </w:tc>
            <w:tc>
              <w:tcPr>
                <w:tcW w:w="960" w:type="dxa"/>
                <w:noWrap/>
                <w:hideMark/>
              </w:tcPr>
              <w:p w14:paraId="151ED1AF" w14:textId="77777777" w:rsidR="00751460" w:rsidRPr="00414B46" w:rsidRDefault="00751460" w:rsidP="008616A0">
                <w:pPr>
                  <w:tabs>
                    <w:tab w:val="left" w:pos="1910"/>
                  </w:tabs>
                </w:pPr>
                <w:r w:rsidRPr="00414B46">
                  <w:t>0.863838</w:t>
                </w:r>
              </w:p>
            </w:tc>
            <w:tc>
              <w:tcPr>
                <w:tcW w:w="1063" w:type="dxa"/>
                <w:noWrap/>
                <w:hideMark/>
              </w:tcPr>
              <w:p w14:paraId="5A5EE7E9" w14:textId="77777777" w:rsidR="00751460" w:rsidRPr="00414B46" w:rsidRDefault="00751460" w:rsidP="008616A0">
                <w:pPr>
                  <w:tabs>
                    <w:tab w:val="left" w:pos="1910"/>
                  </w:tabs>
                </w:pPr>
                <w:r w:rsidRPr="00414B46">
                  <w:t>304502.8</w:t>
                </w:r>
              </w:p>
            </w:tc>
            <w:tc>
              <w:tcPr>
                <w:tcW w:w="1070" w:type="dxa"/>
                <w:noWrap/>
                <w:hideMark/>
              </w:tcPr>
              <w:p w14:paraId="05F3BE79" w14:textId="77777777" w:rsidR="00751460" w:rsidRPr="00414B46" w:rsidRDefault="00751460" w:rsidP="008616A0">
                <w:pPr>
                  <w:tabs>
                    <w:tab w:val="left" w:pos="1910"/>
                  </w:tabs>
                </w:pPr>
                <w:r w:rsidRPr="00414B46">
                  <w:t>-87334</w:t>
                </w:r>
              </w:p>
            </w:tc>
          </w:tr>
          <w:tr w:rsidR="00751460" w:rsidRPr="00414B46" w14:paraId="795C43A9" w14:textId="77777777" w:rsidTr="008616A0">
            <w:trPr>
              <w:trHeight w:val="290"/>
            </w:trPr>
            <w:tc>
              <w:tcPr>
                <w:tcW w:w="960" w:type="dxa"/>
                <w:noWrap/>
                <w:hideMark/>
              </w:tcPr>
              <w:p w14:paraId="6B3E9B5D" w14:textId="77777777" w:rsidR="00751460" w:rsidRPr="00414B46" w:rsidRDefault="00751460" w:rsidP="008616A0">
                <w:pPr>
                  <w:tabs>
                    <w:tab w:val="left" w:pos="1910"/>
                  </w:tabs>
                </w:pPr>
                <w:r w:rsidRPr="00414B46">
                  <w:t>4</w:t>
                </w:r>
              </w:p>
            </w:tc>
            <w:tc>
              <w:tcPr>
                <w:tcW w:w="960" w:type="dxa"/>
                <w:noWrap/>
                <w:hideMark/>
              </w:tcPr>
              <w:p w14:paraId="5BDB31A6" w14:textId="77777777" w:rsidR="00751460" w:rsidRPr="00414B46" w:rsidRDefault="00751460" w:rsidP="008616A0">
                <w:pPr>
                  <w:tabs>
                    <w:tab w:val="left" w:pos="1910"/>
                  </w:tabs>
                </w:pPr>
                <w:r w:rsidRPr="00414B46">
                  <w:t>400000</w:t>
                </w:r>
              </w:p>
            </w:tc>
            <w:tc>
              <w:tcPr>
                <w:tcW w:w="984" w:type="dxa"/>
                <w:noWrap/>
                <w:hideMark/>
              </w:tcPr>
              <w:p w14:paraId="030C98AE" w14:textId="77777777" w:rsidR="00751460" w:rsidRPr="00414B46" w:rsidRDefault="00751460" w:rsidP="008616A0">
                <w:pPr>
                  <w:tabs>
                    <w:tab w:val="left" w:pos="1910"/>
                  </w:tabs>
                </w:pPr>
                <w:r w:rsidRPr="00414B46">
                  <w:t>180000</w:t>
                </w:r>
              </w:p>
            </w:tc>
            <w:tc>
              <w:tcPr>
                <w:tcW w:w="960" w:type="dxa"/>
                <w:noWrap/>
                <w:hideMark/>
              </w:tcPr>
              <w:p w14:paraId="154A09DB" w14:textId="77777777" w:rsidR="00751460" w:rsidRPr="00414B46" w:rsidRDefault="00751460" w:rsidP="008616A0">
                <w:pPr>
                  <w:tabs>
                    <w:tab w:val="left" w:pos="1910"/>
                  </w:tabs>
                </w:pPr>
                <w:r w:rsidRPr="00414B46">
                  <w:t>220000</w:t>
                </w:r>
              </w:p>
            </w:tc>
            <w:tc>
              <w:tcPr>
                <w:tcW w:w="960" w:type="dxa"/>
                <w:noWrap/>
                <w:hideMark/>
              </w:tcPr>
              <w:p w14:paraId="5468C457" w14:textId="77777777" w:rsidR="00751460" w:rsidRPr="00414B46" w:rsidRDefault="00751460" w:rsidP="008616A0">
                <w:pPr>
                  <w:tabs>
                    <w:tab w:val="left" w:pos="1910"/>
                  </w:tabs>
                </w:pPr>
                <w:r w:rsidRPr="00414B46">
                  <w:t>55000</w:t>
                </w:r>
              </w:p>
            </w:tc>
            <w:tc>
              <w:tcPr>
                <w:tcW w:w="960" w:type="dxa"/>
                <w:noWrap/>
                <w:hideMark/>
              </w:tcPr>
              <w:p w14:paraId="52412DC6" w14:textId="77777777" w:rsidR="00751460" w:rsidRPr="00414B46" w:rsidRDefault="00751460" w:rsidP="008616A0">
                <w:pPr>
                  <w:tabs>
                    <w:tab w:val="left" w:pos="1910"/>
                  </w:tabs>
                </w:pPr>
                <w:r w:rsidRPr="00414B46">
                  <w:t>45000</w:t>
                </w:r>
              </w:p>
            </w:tc>
            <w:tc>
              <w:tcPr>
                <w:tcW w:w="960" w:type="dxa"/>
                <w:noWrap/>
                <w:hideMark/>
              </w:tcPr>
              <w:p w14:paraId="2985DB8C" w14:textId="77777777" w:rsidR="00751460" w:rsidRPr="00414B46" w:rsidRDefault="00751460" w:rsidP="008616A0">
                <w:pPr>
                  <w:tabs>
                    <w:tab w:val="left" w:pos="1910"/>
                  </w:tabs>
                </w:pPr>
                <w:r w:rsidRPr="00414B46">
                  <w:t>390000</w:t>
                </w:r>
              </w:p>
            </w:tc>
            <w:tc>
              <w:tcPr>
                <w:tcW w:w="960" w:type="dxa"/>
                <w:noWrap/>
                <w:hideMark/>
              </w:tcPr>
              <w:p w14:paraId="0F4462CD" w14:textId="77777777" w:rsidR="00751460" w:rsidRPr="00414B46" w:rsidRDefault="00751460" w:rsidP="008616A0">
                <w:pPr>
                  <w:tabs>
                    <w:tab w:val="left" w:pos="1910"/>
                  </w:tabs>
                </w:pPr>
                <w:r w:rsidRPr="00414B46">
                  <w:t>0.822702</w:t>
                </w:r>
              </w:p>
            </w:tc>
            <w:tc>
              <w:tcPr>
                <w:tcW w:w="1063" w:type="dxa"/>
                <w:noWrap/>
                <w:hideMark/>
              </w:tcPr>
              <w:p w14:paraId="4D8F1D40" w14:textId="77777777" w:rsidR="00751460" w:rsidRPr="00414B46" w:rsidRDefault="00751460" w:rsidP="008616A0">
                <w:pPr>
                  <w:tabs>
                    <w:tab w:val="left" w:pos="1910"/>
                  </w:tabs>
                </w:pPr>
                <w:r w:rsidRPr="00414B46">
                  <w:t>320854</w:t>
                </w:r>
              </w:p>
            </w:tc>
            <w:tc>
              <w:tcPr>
                <w:tcW w:w="1070" w:type="dxa"/>
                <w:noWrap/>
                <w:hideMark/>
              </w:tcPr>
              <w:p w14:paraId="066204BC" w14:textId="77777777" w:rsidR="00751460" w:rsidRPr="00414B46" w:rsidRDefault="00751460" w:rsidP="008616A0">
                <w:pPr>
                  <w:tabs>
                    <w:tab w:val="left" w:pos="1910"/>
                  </w:tabs>
                </w:pPr>
                <w:r w:rsidRPr="00414B46">
                  <w:t>233520</w:t>
                </w:r>
              </w:p>
            </w:tc>
          </w:tr>
        </w:tbl>
        <w:p w14:paraId="639CA068" w14:textId="77777777" w:rsidR="00751460" w:rsidRDefault="00751460" w:rsidP="00751460">
          <w:pPr>
            <w:tabs>
              <w:tab w:val="left" w:pos="1910"/>
            </w:tabs>
          </w:pPr>
        </w:p>
        <w:p w14:paraId="0AC292EC" w14:textId="77777777" w:rsidR="00751460" w:rsidRPr="0032385F" w:rsidRDefault="00751460" w:rsidP="00751460">
          <w:pPr>
            <w:pStyle w:val="Heading2"/>
            <w:rPr>
              <w:rFonts w:ascii="Times New Roman" w:hAnsi="Times New Roman" w:cs="Times New Roman"/>
              <w:b/>
              <w:bCs/>
              <w:color w:val="auto"/>
              <w:sz w:val="24"/>
              <w:szCs w:val="24"/>
            </w:rPr>
          </w:pPr>
          <w:bookmarkStart w:id="21" w:name="_Toc227613585"/>
          <w:r w:rsidRPr="0032385F">
            <w:rPr>
              <w:rFonts w:ascii="Times New Roman" w:hAnsi="Times New Roman" w:cs="Times New Roman"/>
              <w:b/>
              <w:bCs/>
              <w:color w:val="auto"/>
              <w:sz w:val="24"/>
              <w:szCs w:val="24"/>
            </w:rPr>
            <w:t>6.6 Appendix 6: Option C</w:t>
          </w:r>
          <w:bookmarkEnd w:id="21"/>
        </w:p>
        <w:tbl>
          <w:tblPr>
            <w:tblStyle w:val="TableGrid"/>
            <w:tblW w:w="9516" w:type="dxa"/>
            <w:tblLook w:val="04A0" w:firstRow="1" w:lastRow="0" w:firstColumn="1" w:lastColumn="0" w:noHBand="0" w:noVBand="1"/>
          </w:tblPr>
          <w:tblGrid>
            <w:gridCol w:w="712"/>
            <w:gridCol w:w="886"/>
            <w:gridCol w:w="1170"/>
            <w:gridCol w:w="927"/>
            <w:gridCol w:w="774"/>
            <w:gridCol w:w="775"/>
            <w:gridCol w:w="886"/>
            <w:gridCol w:w="1053"/>
            <w:gridCol w:w="1249"/>
            <w:gridCol w:w="1256"/>
          </w:tblGrid>
          <w:tr w:rsidR="00751460" w:rsidRPr="00414B46" w14:paraId="45666F6D" w14:textId="77777777" w:rsidTr="008616A0">
            <w:trPr>
              <w:trHeight w:val="454"/>
            </w:trPr>
            <w:tc>
              <w:tcPr>
                <w:tcW w:w="712" w:type="dxa"/>
                <w:noWrap/>
                <w:hideMark/>
              </w:tcPr>
              <w:p w14:paraId="658B12BE" w14:textId="77777777" w:rsidR="00751460" w:rsidRPr="00414B46" w:rsidRDefault="00751460" w:rsidP="008616A0">
                <w:pPr>
                  <w:tabs>
                    <w:tab w:val="left" w:pos="1910"/>
                  </w:tabs>
                  <w:rPr>
                    <w:b/>
                    <w:bCs/>
                  </w:rPr>
                </w:pPr>
                <w:r w:rsidRPr="00414B46">
                  <w:rPr>
                    <w:b/>
                    <w:bCs/>
                  </w:rPr>
                  <w:t>Year</w:t>
                </w:r>
              </w:p>
            </w:tc>
            <w:tc>
              <w:tcPr>
                <w:tcW w:w="869" w:type="dxa"/>
                <w:noWrap/>
                <w:hideMark/>
              </w:tcPr>
              <w:p w14:paraId="235AE6E8" w14:textId="77777777" w:rsidR="00751460" w:rsidRPr="00414B46" w:rsidRDefault="00751460" w:rsidP="008616A0">
                <w:pPr>
                  <w:tabs>
                    <w:tab w:val="left" w:pos="1910"/>
                  </w:tabs>
                  <w:rPr>
                    <w:b/>
                    <w:bCs/>
                  </w:rPr>
                </w:pPr>
                <w:r w:rsidRPr="00414B46">
                  <w:rPr>
                    <w:b/>
                    <w:bCs/>
                  </w:rPr>
                  <w:t>Cash Flow</w:t>
                </w:r>
              </w:p>
            </w:tc>
            <w:tc>
              <w:tcPr>
                <w:tcW w:w="1148" w:type="dxa"/>
                <w:noWrap/>
                <w:hideMark/>
              </w:tcPr>
              <w:p w14:paraId="71590AA0" w14:textId="77777777" w:rsidR="00751460" w:rsidRPr="00414B46" w:rsidRDefault="00751460" w:rsidP="008616A0">
                <w:pPr>
                  <w:tabs>
                    <w:tab w:val="left" w:pos="1910"/>
                  </w:tabs>
                  <w:rPr>
                    <w:b/>
                    <w:bCs/>
                  </w:rPr>
                </w:pPr>
                <w:r w:rsidRPr="00414B46">
                  <w:rPr>
                    <w:b/>
                    <w:bCs/>
                  </w:rPr>
                  <w:t>Capital Allowance</w:t>
                </w:r>
              </w:p>
            </w:tc>
            <w:tc>
              <w:tcPr>
                <w:tcW w:w="909" w:type="dxa"/>
                <w:noWrap/>
                <w:hideMark/>
              </w:tcPr>
              <w:p w14:paraId="7FF98CBD" w14:textId="77777777" w:rsidR="00751460" w:rsidRPr="00414B46" w:rsidRDefault="00751460" w:rsidP="008616A0">
                <w:pPr>
                  <w:tabs>
                    <w:tab w:val="left" w:pos="1910"/>
                  </w:tabs>
                  <w:rPr>
                    <w:b/>
                    <w:bCs/>
                  </w:rPr>
                </w:pPr>
                <w:r w:rsidRPr="00414B46">
                  <w:rPr>
                    <w:b/>
                    <w:bCs/>
                  </w:rPr>
                  <w:t>Taxable Profit</w:t>
                </w:r>
              </w:p>
            </w:tc>
            <w:tc>
              <w:tcPr>
                <w:tcW w:w="759" w:type="dxa"/>
                <w:noWrap/>
                <w:hideMark/>
              </w:tcPr>
              <w:p w14:paraId="23992F2A" w14:textId="77777777" w:rsidR="00751460" w:rsidRPr="00414B46" w:rsidRDefault="00751460" w:rsidP="008616A0">
                <w:pPr>
                  <w:tabs>
                    <w:tab w:val="left" w:pos="1910"/>
                  </w:tabs>
                  <w:rPr>
                    <w:b/>
                    <w:bCs/>
                  </w:rPr>
                </w:pPr>
                <w:r w:rsidRPr="00414B46">
                  <w:rPr>
                    <w:b/>
                    <w:bCs/>
                  </w:rPr>
                  <w:t>Tax</w:t>
                </w:r>
              </w:p>
            </w:tc>
            <w:tc>
              <w:tcPr>
                <w:tcW w:w="760" w:type="dxa"/>
                <w:noWrap/>
                <w:hideMark/>
              </w:tcPr>
              <w:p w14:paraId="46B32584" w14:textId="77777777" w:rsidR="00751460" w:rsidRPr="00414B46" w:rsidRDefault="00751460" w:rsidP="008616A0">
                <w:pPr>
                  <w:tabs>
                    <w:tab w:val="left" w:pos="1910"/>
                  </w:tabs>
                  <w:rPr>
                    <w:b/>
                    <w:bCs/>
                  </w:rPr>
                </w:pPr>
                <w:r w:rsidRPr="00414B46">
                  <w:rPr>
                    <w:b/>
                    <w:bCs/>
                  </w:rPr>
                  <w:t>Tax Shield</w:t>
                </w:r>
              </w:p>
            </w:tc>
            <w:tc>
              <w:tcPr>
                <w:tcW w:w="869" w:type="dxa"/>
                <w:noWrap/>
                <w:hideMark/>
              </w:tcPr>
              <w:p w14:paraId="61B308D3" w14:textId="77777777" w:rsidR="00751460" w:rsidRPr="00414B46" w:rsidRDefault="00751460" w:rsidP="008616A0">
                <w:pPr>
                  <w:tabs>
                    <w:tab w:val="left" w:pos="1910"/>
                  </w:tabs>
                  <w:rPr>
                    <w:b/>
                    <w:bCs/>
                  </w:rPr>
                </w:pPr>
                <w:r w:rsidRPr="00414B46">
                  <w:rPr>
                    <w:b/>
                    <w:bCs/>
                  </w:rPr>
                  <w:t>Net Cash Flow</w:t>
                </w:r>
              </w:p>
            </w:tc>
            <w:tc>
              <w:tcPr>
                <w:tcW w:w="1033" w:type="dxa"/>
                <w:noWrap/>
                <w:hideMark/>
              </w:tcPr>
              <w:p w14:paraId="2C66789F" w14:textId="77777777" w:rsidR="00751460" w:rsidRPr="00414B46" w:rsidRDefault="00751460" w:rsidP="008616A0">
                <w:pPr>
                  <w:tabs>
                    <w:tab w:val="left" w:pos="1910"/>
                  </w:tabs>
                  <w:rPr>
                    <w:b/>
                    <w:bCs/>
                  </w:rPr>
                </w:pPr>
                <w:r w:rsidRPr="00414B46">
                  <w:rPr>
                    <w:b/>
                    <w:bCs/>
                  </w:rPr>
                  <w:t>Discount Factor</w:t>
                </w:r>
              </w:p>
            </w:tc>
            <w:tc>
              <w:tcPr>
                <w:tcW w:w="1225" w:type="dxa"/>
                <w:noWrap/>
                <w:hideMark/>
              </w:tcPr>
              <w:p w14:paraId="722E29CD" w14:textId="77777777" w:rsidR="00751460" w:rsidRPr="00414B46" w:rsidRDefault="00751460" w:rsidP="008616A0">
                <w:pPr>
                  <w:tabs>
                    <w:tab w:val="left" w:pos="1910"/>
                  </w:tabs>
                  <w:rPr>
                    <w:b/>
                    <w:bCs/>
                  </w:rPr>
                </w:pPr>
                <w:r w:rsidRPr="00414B46">
                  <w:rPr>
                    <w:b/>
                    <w:bCs/>
                  </w:rPr>
                  <w:t>Discounted Cash Flow</w:t>
                </w:r>
              </w:p>
            </w:tc>
            <w:tc>
              <w:tcPr>
                <w:tcW w:w="1232" w:type="dxa"/>
                <w:noWrap/>
                <w:hideMark/>
              </w:tcPr>
              <w:p w14:paraId="70068698" w14:textId="77777777" w:rsidR="00751460" w:rsidRPr="00414B46" w:rsidRDefault="00751460" w:rsidP="008616A0">
                <w:pPr>
                  <w:tabs>
                    <w:tab w:val="left" w:pos="1910"/>
                  </w:tabs>
                  <w:rPr>
                    <w:b/>
                    <w:bCs/>
                  </w:rPr>
                </w:pPr>
                <w:r w:rsidRPr="00414B46">
                  <w:rPr>
                    <w:b/>
                    <w:bCs/>
                  </w:rPr>
                  <w:t>Cumulative NPV</w:t>
                </w:r>
              </w:p>
            </w:tc>
          </w:tr>
          <w:tr w:rsidR="00751460" w:rsidRPr="00414B46" w14:paraId="58BF19DC" w14:textId="77777777" w:rsidTr="008616A0">
            <w:trPr>
              <w:trHeight w:val="454"/>
            </w:trPr>
            <w:tc>
              <w:tcPr>
                <w:tcW w:w="712" w:type="dxa"/>
                <w:noWrap/>
                <w:hideMark/>
              </w:tcPr>
              <w:p w14:paraId="05CD8C55" w14:textId="77777777" w:rsidR="00751460" w:rsidRPr="00414B46" w:rsidRDefault="00751460" w:rsidP="008616A0">
                <w:pPr>
                  <w:tabs>
                    <w:tab w:val="left" w:pos="1910"/>
                  </w:tabs>
                </w:pPr>
                <w:r w:rsidRPr="00414B46">
                  <w:t>1</w:t>
                </w:r>
              </w:p>
            </w:tc>
            <w:tc>
              <w:tcPr>
                <w:tcW w:w="869" w:type="dxa"/>
                <w:noWrap/>
                <w:hideMark/>
              </w:tcPr>
              <w:p w14:paraId="398D434A" w14:textId="77777777" w:rsidR="00751460" w:rsidRPr="00414B46" w:rsidRDefault="00751460" w:rsidP="008616A0">
                <w:pPr>
                  <w:tabs>
                    <w:tab w:val="left" w:pos="1910"/>
                  </w:tabs>
                </w:pPr>
                <w:r w:rsidRPr="00414B46">
                  <w:t>250000</w:t>
                </w:r>
              </w:p>
            </w:tc>
            <w:tc>
              <w:tcPr>
                <w:tcW w:w="1148" w:type="dxa"/>
                <w:noWrap/>
                <w:hideMark/>
              </w:tcPr>
              <w:p w14:paraId="7B5B4060" w14:textId="77777777" w:rsidR="00751460" w:rsidRPr="00414B46" w:rsidRDefault="00751460" w:rsidP="008616A0">
                <w:pPr>
                  <w:tabs>
                    <w:tab w:val="left" w:pos="1910"/>
                  </w:tabs>
                </w:pPr>
                <w:r w:rsidRPr="00414B46">
                  <w:t>200000</w:t>
                </w:r>
              </w:p>
            </w:tc>
            <w:tc>
              <w:tcPr>
                <w:tcW w:w="909" w:type="dxa"/>
                <w:noWrap/>
                <w:hideMark/>
              </w:tcPr>
              <w:p w14:paraId="76C1A28D" w14:textId="77777777" w:rsidR="00751460" w:rsidRPr="00414B46" w:rsidRDefault="00751460" w:rsidP="008616A0">
                <w:pPr>
                  <w:tabs>
                    <w:tab w:val="left" w:pos="1910"/>
                  </w:tabs>
                </w:pPr>
                <w:r w:rsidRPr="00414B46">
                  <w:t>50000</w:t>
                </w:r>
              </w:p>
            </w:tc>
            <w:tc>
              <w:tcPr>
                <w:tcW w:w="759" w:type="dxa"/>
                <w:noWrap/>
                <w:hideMark/>
              </w:tcPr>
              <w:p w14:paraId="7D85E8D7" w14:textId="77777777" w:rsidR="00751460" w:rsidRPr="00414B46" w:rsidRDefault="00751460" w:rsidP="008616A0">
                <w:pPr>
                  <w:tabs>
                    <w:tab w:val="left" w:pos="1910"/>
                  </w:tabs>
                </w:pPr>
                <w:r w:rsidRPr="00414B46">
                  <w:t>12500</w:t>
                </w:r>
              </w:p>
            </w:tc>
            <w:tc>
              <w:tcPr>
                <w:tcW w:w="760" w:type="dxa"/>
                <w:noWrap/>
                <w:hideMark/>
              </w:tcPr>
              <w:p w14:paraId="1542766C" w14:textId="77777777" w:rsidR="00751460" w:rsidRPr="00414B46" w:rsidRDefault="00751460" w:rsidP="008616A0">
                <w:pPr>
                  <w:tabs>
                    <w:tab w:val="left" w:pos="1910"/>
                  </w:tabs>
                </w:pPr>
                <w:r w:rsidRPr="00414B46">
                  <w:t>50000</w:t>
                </w:r>
              </w:p>
            </w:tc>
            <w:tc>
              <w:tcPr>
                <w:tcW w:w="869" w:type="dxa"/>
                <w:noWrap/>
                <w:hideMark/>
              </w:tcPr>
              <w:p w14:paraId="31C5B985" w14:textId="77777777" w:rsidR="00751460" w:rsidRPr="00414B46" w:rsidRDefault="00751460" w:rsidP="008616A0">
                <w:pPr>
                  <w:tabs>
                    <w:tab w:val="left" w:pos="1910"/>
                  </w:tabs>
                </w:pPr>
                <w:r w:rsidRPr="00414B46">
                  <w:t>287500</w:t>
                </w:r>
              </w:p>
            </w:tc>
            <w:tc>
              <w:tcPr>
                <w:tcW w:w="1033" w:type="dxa"/>
                <w:noWrap/>
                <w:hideMark/>
              </w:tcPr>
              <w:p w14:paraId="096AE435" w14:textId="77777777" w:rsidR="00751460" w:rsidRPr="00414B46" w:rsidRDefault="00751460" w:rsidP="008616A0">
                <w:pPr>
                  <w:tabs>
                    <w:tab w:val="left" w:pos="1910"/>
                  </w:tabs>
                </w:pPr>
                <w:r w:rsidRPr="00414B46">
                  <w:t>0.952381</w:t>
                </w:r>
              </w:p>
            </w:tc>
            <w:tc>
              <w:tcPr>
                <w:tcW w:w="1225" w:type="dxa"/>
                <w:noWrap/>
                <w:hideMark/>
              </w:tcPr>
              <w:p w14:paraId="64C18444" w14:textId="77777777" w:rsidR="00751460" w:rsidRPr="00414B46" w:rsidRDefault="00751460" w:rsidP="008616A0">
                <w:pPr>
                  <w:tabs>
                    <w:tab w:val="left" w:pos="1910"/>
                  </w:tabs>
                </w:pPr>
                <w:r w:rsidRPr="00414B46">
                  <w:t>273809.5</w:t>
                </w:r>
              </w:p>
            </w:tc>
            <w:tc>
              <w:tcPr>
                <w:tcW w:w="1232" w:type="dxa"/>
                <w:noWrap/>
                <w:hideMark/>
              </w:tcPr>
              <w:p w14:paraId="6EFC1BB0" w14:textId="77777777" w:rsidR="00751460" w:rsidRPr="00414B46" w:rsidRDefault="00751460" w:rsidP="008616A0">
                <w:pPr>
                  <w:tabs>
                    <w:tab w:val="left" w:pos="1910"/>
                  </w:tabs>
                </w:pPr>
                <w:r w:rsidRPr="00414B46">
                  <w:t>-726190</w:t>
                </w:r>
              </w:p>
            </w:tc>
          </w:tr>
          <w:tr w:rsidR="00751460" w:rsidRPr="00414B46" w14:paraId="197E755D" w14:textId="77777777" w:rsidTr="008616A0">
            <w:trPr>
              <w:trHeight w:val="454"/>
            </w:trPr>
            <w:tc>
              <w:tcPr>
                <w:tcW w:w="712" w:type="dxa"/>
                <w:noWrap/>
                <w:hideMark/>
              </w:tcPr>
              <w:p w14:paraId="364FEE8E" w14:textId="77777777" w:rsidR="00751460" w:rsidRPr="00414B46" w:rsidRDefault="00751460" w:rsidP="008616A0">
                <w:pPr>
                  <w:tabs>
                    <w:tab w:val="left" w:pos="1910"/>
                  </w:tabs>
                </w:pPr>
                <w:r w:rsidRPr="00414B46">
                  <w:t>2</w:t>
                </w:r>
              </w:p>
            </w:tc>
            <w:tc>
              <w:tcPr>
                <w:tcW w:w="869" w:type="dxa"/>
                <w:noWrap/>
                <w:hideMark/>
              </w:tcPr>
              <w:p w14:paraId="337F8B10" w14:textId="77777777" w:rsidR="00751460" w:rsidRPr="00414B46" w:rsidRDefault="00751460" w:rsidP="008616A0">
                <w:pPr>
                  <w:tabs>
                    <w:tab w:val="left" w:pos="1910"/>
                  </w:tabs>
                </w:pPr>
                <w:r w:rsidRPr="00414B46">
                  <w:t>310000</w:t>
                </w:r>
              </w:p>
            </w:tc>
            <w:tc>
              <w:tcPr>
                <w:tcW w:w="1148" w:type="dxa"/>
                <w:noWrap/>
                <w:hideMark/>
              </w:tcPr>
              <w:p w14:paraId="3F06B79C" w14:textId="77777777" w:rsidR="00751460" w:rsidRPr="00414B46" w:rsidRDefault="00751460" w:rsidP="008616A0">
                <w:pPr>
                  <w:tabs>
                    <w:tab w:val="left" w:pos="1910"/>
                  </w:tabs>
                </w:pPr>
                <w:r w:rsidRPr="00414B46">
                  <w:t>200000</w:t>
                </w:r>
              </w:p>
            </w:tc>
            <w:tc>
              <w:tcPr>
                <w:tcW w:w="909" w:type="dxa"/>
                <w:noWrap/>
                <w:hideMark/>
              </w:tcPr>
              <w:p w14:paraId="7FBEAA7E" w14:textId="77777777" w:rsidR="00751460" w:rsidRPr="00414B46" w:rsidRDefault="00751460" w:rsidP="008616A0">
                <w:pPr>
                  <w:tabs>
                    <w:tab w:val="left" w:pos="1910"/>
                  </w:tabs>
                </w:pPr>
                <w:r w:rsidRPr="00414B46">
                  <w:t>110000</w:t>
                </w:r>
              </w:p>
            </w:tc>
            <w:tc>
              <w:tcPr>
                <w:tcW w:w="759" w:type="dxa"/>
                <w:noWrap/>
                <w:hideMark/>
              </w:tcPr>
              <w:p w14:paraId="509FA746" w14:textId="77777777" w:rsidR="00751460" w:rsidRPr="00414B46" w:rsidRDefault="00751460" w:rsidP="008616A0">
                <w:pPr>
                  <w:tabs>
                    <w:tab w:val="left" w:pos="1910"/>
                  </w:tabs>
                </w:pPr>
                <w:r w:rsidRPr="00414B46">
                  <w:t>27500</w:t>
                </w:r>
              </w:p>
            </w:tc>
            <w:tc>
              <w:tcPr>
                <w:tcW w:w="760" w:type="dxa"/>
                <w:noWrap/>
                <w:hideMark/>
              </w:tcPr>
              <w:p w14:paraId="17E0F9E1" w14:textId="77777777" w:rsidR="00751460" w:rsidRPr="00414B46" w:rsidRDefault="00751460" w:rsidP="008616A0">
                <w:pPr>
                  <w:tabs>
                    <w:tab w:val="left" w:pos="1910"/>
                  </w:tabs>
                </w:pPr>
                <w:r w:rsidRPr="00414B46">
                  <w:t>50000</w:t>
                </w:r>
              </w:p>
            </w:tc>
            <w:tc>
              <w:tcPr>
                <w:tcW w:w="869" w:type="dxa"/>
                <w:noWrap/>
                <w:hideMark/>
              </w:tcPr>
              <w:p w14:paraId="2CDEF139" w14:textId="77777777" w:rsidR="00751460" w:rsidRPr="00414B46" w:rsidRDefault="00751460" w:rsidP="008616A0">
                <w:pPr>
                  <w:tabs>
                    <w:tab w:val="left" w:pos="1910"/>
                  </w:tabs>
                </w:pPr>
                <w:r w:rsidRPr="00414B46">
                  <w:t>332500</w:t>
                </w:r>
              </w:p>
            </w:tc>
            <w:tc>
              <w:tcPr>
                <w:tcW w:w="1033" w:type="dxa"/>
                <w:noWrap/>
                <w:hideMark/>
              </w:tcPr>
              <w:p w14:paraId="7FD8F24B" w14:textId="77777777" w:rsidR="00751460" w:rsidRPr="00414B46" w:rsidRDefault="00751460" w:rsidP="008616A0">
                <w:pPr>
                  <w:tabs>
                    <w:tab w:val="left" w:pos="1910"/>
                  </w:tabs>
                </w:pPr>
                <w:r w:rsidRPr="00414B46">
                  <w:t>0.907029</w:t>
                </w:r>
              </w:p>
            </w:tc>
            <w:tc>
              <w:tcPr>
                <w:tcW w:w="1225" w:type="dxa"/>
                <w:noWrap/>
                <w:hideMark/>
              </w:tcPr>
              <w:p w14:paraId="40D4183D" w14:textId="77777777" w:rsidR="00751460" w:rsidRPr="00414B46" w:rsidRDefault="00751460" w:rsidP="008616A0">
                <w:pPr>
                  <w:tabs>
                    <w:tab w:val="left" w:pos="1910"/>
                  </w:tabs>
                </w:pPr>
                <w:r w:rsidRPr="00414B46">
                  <w:t>301587.3</w:t>
                </w:r>
              </w:p>
            </w:tc>
            <w:tc>
              <w:tcPr>
                <w:tcW w:w="1232" w:type="dxa"/>
                <w:noWrap/>
                <w:hideMark/>
              </w:tcPr>
              <w:p w14:paraId="23B2B2B4" w14:textId="77777777" w:rsidR="00751460" w:rsidRPr="00414B46" w:rsidRDefault="00751460" w:rsidP="008616A0">
                <w:pPr>
                  <w:tabs>
                    <w:tab w:val="left" w:pos="1910"/>
                  </w:tabs>
                </w:pPr>
                <w:r w:rsidRPr="00414B46">
                  <w:t>-424603</w:t>
                </w:r>
              </w:p>
            </w:tc>
          </w:tr>
          <w:tr w:rsidR="00751460" w:rsidRPr="00414B46" w14:paraId="28600391" w14:textId="77777777" w:rsidTr="008616A0">
            <w:trPr>
              <w:trHeight w:val="454"/>
            </w:trPr>
            <w:tc>
              <w:tcPr>
                <w:tcW w:w="712" w:type="dxa"/>
                <w:noWrap/>
                <w:hideMark/>
              </w:tcPr>
              <w:p w14:paraId="23693FB0" w14:textId="77777777" w:rsidR="00751460" w:rsidRPr="00414B46" w:rsidRDefault="00751460" w:rsidP="008616A0">
                <w:pPr>
                  <w:tabs>
                    <w:tab w:val="left" w:pos="1910"/>
                  </w:tabs>
                </w:pPr>
                <w:r w:rsidRPr="00414B46">
                  <w:t>3</w:t>
                </w:r>
              </w:p>
            </w:tc>
            <w:tc>
              <w:tcPr>
                <w:tcW w:w="869" w:type="dxa"/>
                <w:noWrap/>
                <w:hideMark/>
              </w:tcPr>
              <w:p w14:paraId="17BD00AE" w14:textId="77777777" w:rsidR="00751460" w:rsidRPr="00414B46" w:rsidRDefault="00751460" w:rsidP="008616A0">
                <w:pPr>
                  <w:tabs>
                    <w:tab w:val="left" w:pos="1910"/>
                  </w:tabs>
                </w:pPr>
                <w:r w:rsidRPr="00414B46">
                  <w:t>400000</w:t>
                </w:r>
              </w:p>
            </w:tc>
            <w:tc>
              <w:tcPr>
                <w:tcW w:w="1148" w:type="dxa"/>
                <w:noWrap/>
                <w:hideMark/>
              </w:tcPr>
              <w:p w14:paraId="48CFE076" w14:textId="77777777" w:rsidR="00751460" w:rsidRPr="00414B46" w:rsidRDefault="00751460" w:rsidP="008616A0">
                <w:pPr>
                  <w:tabs>
                    <w:tab w:val="left" w:pos="1910"/>
                  </w:tabs>
                </w:pPr>
                <w:r w:rsidRPr="00414B46">
                  <w:t>200000</w:t>
                </w:r>
              </w:p>
            </w:tc>
            <w:tc>
              <w:tcPr>
                <w:tcW w:w="909" w:type="dxa"/>
                <w:noWrap/>
                <w:hideMark/>
              </w:tcPr>
              <w:p w14:paraId="69E2F31E" w14:textId="77777777" w:rsidR="00751460" w:rsidRPr="00414B46" w:rsidRDefault="00751460" w:rsidP="008616A0">
                <w:pPr>
                  <w:tabs>
                    <w:tab w:val="left" w:pos="1910"/>
                  </w:tabs>
                </w:pPr>
                <w:r w:rsidRPr="00414B46">
                  <w:t>200000</w:t>
                </w:r>
              </w:p>
            </w:tc>
            <w:tc>
              <w:tcPr>
                <w:tcW w:w="759" w:type="dxa"/>
                <w:noWrap/>
                <w:hideMark/>
              </w:tcPr>
              <w:p w14:paraId="4295C773" w14:textId="77777777" w:rsidR="00751460" w:rsidRPr="00414B46" w:rsidRDefault="00751460" w:rsidP="008616A0">
                <w:pPr>
                  <w:tabs>
                    <w:tab w:val="left" w:pos="1910"/>
                  </w:tabs>
                </w:pPr>
                <w:r w:rsidRPr="00414B46">
                  <w:t>50000</w:t>
                </w:r>
              </w:p>
            </w:tc>
            <w:tc>
              <w:tcPr>
                <w:tcW w:w="760" w:type="dxa"/>
                <w:noWrap/>
                <w:hideMark/>
              </w:tcPr>
              <w:p w14:paraId="071162CB" w14:textId="77777777" w:rsidR="00751460" w:rsidRPr="00414B46" w:rsidRDefault="00751460" w:rsidP="008616A0">
                <w:pPr>
                  <w:tabs>
                    <w:tab w:val="left" w:pos="1910"/>
                  </w:tabs>
                </w:pPr>
                <w:r w:rsidRPr="00414B46">
                  <w:t>50000</w:t>
                </w:r>
              </w:p>
            </w:tc>
            <w:tc>
              <w:tcPr>
                <w:tcW w:w="869" w:type="dxa"/>
                <w:noWrap/>
                <w:hideMark/>
              </w:tcPr>
              <w:p w14:paraId="4107BB52" w14:textId="77777777" w:rsidR="00751460" w:rsidRPr="00414B46" w:rsidRDefault="00751460" w:rsidP="008616A0">
                <w:pPr>
                  <w:tabs>
                    <w:tab w:val="left" w:pos="1910"/>
                  </w:tabs>
                </w:pPr>
                <w:r w:rsidRPr="00414B46">
                  <w:t>400000</w:t>
                </w:r>
              </w:p>
            </w:tc>
            <w:tc>
              <w:tcPr>
                <w:tcW w:w="1033" w:type="dxa"/>
                <w:noWrap/>
                <w:hideMark/>
              </w:tcPr>
              <w:p w14:paraId="60AA0DC2" w14:textId="77777777" w:rsidR="00751460" w:rsidRPr="00414B46" w:rsidRDefault="00751460" w:rsidP="008616A0">
                <w:pPr>
                  <w:tabs>
                    <w:tab w:val="left" w:pos="1910"/>
                  </w:tabs>
                </w:pPr>
                <w:r w:rsidRPr="00414B46">
                  <w:t>0.863838</w:t>
                </w:r>
              </w:p>
            </w:tc>
            <w:tc>
              <w:tcPr>
                <w:tcW w:w="1225" w:type="dxa"/>
                <w:noWrap/>
                <w:hideMark/>
              </w:tcPr>
              <w:p w14:paraId="76DEA490" w14:textId="77777777" w:rsidR="00751460" w:rsidRPr="00414B46" w:rsidRDefault="00751460" w:rsidP="008616A0">
                <w:pPr>
                  <w:tabs>
                    <w:tab w:val="left" w:pos="1910"/>
                  </w:tabs>
                </w:pPr>
                <w:r w:rsidRPr="00414B46">
                  <w:t>345535</w:t>
                </w:r>
              </w:p>
            </w:tc>
            <w:tc>
              <w:tcPr>
                <w:tcW w:w="1232" w:type="dxa"/>
                <w:noWrap/>
                <w:hideMark/>
              </w:tcPr>
              <w:p w14:paraId="565C2764" w14:textId="77777777" w:rsidR="00751460" w:rsidRPr="00414B46" w:rsidRDefault="00751460" w:rsidP="008616A0">
                <w:pPr>
                  <w:tabs>
                    <w:tab w:val="left" w:pos="1910"/>
                  </w:tabs>
                </w:pPr>
                <w:r w:rsidRPr="00414B46">
                  <w:t>-79068.1</w:t>
                </w:r>
              </w:p>
            </w:tc>
          </w:tr>
          <w:tr w:rsidR="00751460" w:rsidRPr="00414B46" w14:paraId="777DB7D6" w14:textId="77777777" w:rsidTr="008616A0">
            <w:trPr>
              <w:trHeight w:val="454"/>
            </w:trPr>
            <w:tc>
              <w:tcPr>
                <w:tcW w:w="712" w:type="dxa"/>
                <w:noWrap/>
                <w:hideMark/>
              </w:tcPr>
              <w:p w14:paraId="06759C29" w14:textId="77777777" w:rsidR="00751460" w:rsidRPr="00414B46" w:rsidRDefault="00751460" w:rsidP="008616A0">
                <w:pPr>
                  <w:tabs>
                    <w:tab w:val="left" w:pos="1910"/>
                  </w:tabs>
                </w:pPr>
                <w:r w:rsidRPr="00414B46">
                  <w:t>4</w:t>
                </w:r>
              </w:p>
            </w:tc>
            <w:tc>
              <w:tcPr>
                <w:tcW w:w="869" w:type="dxa"/>
                <w:noWrap/>
                <w:hideMark/>
              </w:tcPr>
              <w:p w14:paraId="68F47322" w14:textId="77777777" w:rsidR="00751460" w:rsidRPr="00414B46" w:rsidRDefault="00751460" w:rsidP="008616A0">
                <w:pPr>
                  <w:tabs>
                    <w:tab w:val="left" w:pos="1910"/>
                  </w:tabs>
                </w:pPr>
                <w:r w:rsidRPr="00414B46">
                  <w:t>430000</w:t>
                </w:r>
              </w:p>
            </w:tc>
            <w:tc>
              <w:tcPr>
                <w:tcW w:w="1148" w:type="dxa"/>
                <w:noWrap/>
                <w:hideMark/>
              </w:tcPr>
              <w:p w14:paraId="04F1DFEF" w14:textId="77777777" w:rsidR="00751460" w:rsidRPr="00414B46" w:rsidRDefault="00751460" w:rsidP="008616A0">
                <w:pPr>
                  <w:tabs>
                    <w:tab w:val="left" w:pos="1910"/>
                  </w:tabs>
                </w:pPr>
                <w:r w:rsidRPr="00414B46">
                  <w:t>200000</w:t>
                </w:r>
              </w:p>
            </w:tc>
            <w:tc>
              <w:tcPr>
                <w:tcW w:w="909" w:type="dxa"/>
                <w:noWrap/>
                <w:hideMark/>
              </w:tcPr>
              <w:p w14:paraId="4E287B9C" w14:textId="77777777" w:rsidR="00751460" w:rsidRPr="00414B46" w:rsidRDefault="00751460" w:rsidP="008616A0">
                <w:pPr>
                  <w:tabs>
                    <w:tab w:val="left" w:pos="1910"/>
                  </w:tabs>
                </w:pPr>
                <w:r w:rsidRPr="00414B46">
                  <w:t>230000</w:t>
                </w:r>
              </w:p>
            </w:tc>
            <w:tc>
              <w:tcPr>
                <w:tcW w:w="759" w:type="dxa"/>
                <w:noWrap/>
                <w:hideMark/>
              </w:tcPr>
              <w:p w14:paraId="021AFAD3" w14:textId="77777777" w:rsidR="00751460" w:rsidRPr="00414B46" w:rsidRDefault="00751460" w:rsidP="008616A0">
                <w:pPr>
                  <w:tabs>
                    <w:tab w:val="left" w:pos="1910"/>
                  </w:tabs>
                </w:pPr>
                <w:r w:rsidRPr="00414B46">
                  <w:t>57500</w:t>
                </w:r>
              </w:p>
            </w:tc>
            <w:tc>
              <w:tcPr>
                <w:tcW w:w="760" w:type="dxa"/>
                <w:noWrap/>
                <w:hideMark/>
              </w:tcPr>
              <w:p w14:paraId="60151A63" w14:textId="77777777" w:rsidR="00751460" w:rsidRPr="00414B46" w:rsidRDefault="00751460" w:rsidP="008616A0">
                <w:pPr>
                  <w:tabs>
                    <w:tab w:val="left" w:pos="1910"/>
                  </w:tabs>
                </w:pPr>
                <w:r w:rsidRPr="00414B46">
                  <w:t>50000</w:t>
                </w:r>
              </w:p>
            </w:tc>
            <w:tc>
              <w:tcPr>
                <w:tcW w:w="869" w:type="dxa"/>
                <w:noWrap/>
                <w:hideMark/>
              </w:tcPr>
              <w:p w14:paraId="24A2287A" w14:textId="77777777" w:rsidR="00751460" w:rsidRPr="00414B46" w:rsidRDefault="00751460" w:rsidP="008616A0">
                <w:pPr>
                  <w:tabs>
                    <w:tab w:val="left" w:pos="1910"/>
                  </w:tabs>
                </w:pPr>
                <w:r w:rsidRPr="00414B46">
                  <w:t>422500</w:t>
                </w:r>
              </w:p>
            </w:tc>
            <w:tc>
              <w:tcPr>
                <w:tcW w:w="1033" w:type="dxa"/>
                <w:noWrap/>
                <w:hideMark/>
              </w:tcPr>
              <w:p w14:paraId="7BF798FF" w14:textId="77777777" w:rsidR="00751460" w:rsidRPr="00414B46" w:rsidRDefault="00751460" w:rsidP="008616A0">
                <w:pPr>
                  <w:tabs>
                    <w:tab w:val="left" w:pos="1910"/>
                  </w:tabs>
                </w:pPr>
                <w:r w:rsidRPr="00414B46">
                  <w:t>0.822702</w:t>
                </w:r>
              </w:p>
            </w:tc>
            <w:tc>
              <w:tcPr>
                <w:tcW w:w="1225" w:type="dxa"/>
                <w:noWrap/>
                <w:hideMark/>
              </w:tcPr>
              <w:p w14:paraId="64B5762E" w14:textId="77777777" w:rsidR="00751460" w:rsidRPr="00414B46" w:rsidRDefault="00751460" w:rsidP="008616A0">
                <w:pPr>
                  <w:tabs>
                    <w:tab w:val="left" w:pos="1910"/>
                  </w:tabs>
                </w:pPr>
                <w:r w:rsidRPr="00414B46">
                  <w:t>347591.8</w:t>
                </w:r>
              </w:p>
            </w:tc>
            <w:tc>
              <w:tcPr>
                <w:tcW w:w="1232" w:type="dxa"/>
                <w:noWrap/>
                <w:hideMark/>
              </w:tcPr>
              <w:p w14:paraId="2083B32E" w14:textId="77777777" w:rsidR="00751460" w:rsidRPr="00414B46" w:rsidRDefault="00751460" w:rsidP="008616A0">
                <w:pPr>
                  <w:tabs>
                    <w:tab w:val="left" w:pos="1910"/>
                  </w:tabs>
                </w:pPr>
                <w:r w:rsidRPr="00414B46">
                  <w:t>268523.7</w:t>
                </w:r>
              </w:p>
            </w:tc>
          </w:tr>
        </w:tbl>
        <w:p w14:paraId="2D027B90" w14:textId="77777777" w:rsidR="00751460" w:rsidRDefault="00751460" w:rsidP="00751460">
          <w:pPr>
            <w:tabs>
              <w:tab w:val="left" w:pos="1910"/>
            </w:tabs>
          </w:pPr>
        </w:p>
        <w:p w14:paraId="534B0FAA" w14:textId="77777777" w:rsidR="00751460" w:rsidRPr="0032385F" w:rsidRDefault="00751460" w:rsidP="00751460">
          <w:pPr>
            <w:pStyle w:val="Heading2"/>
            <w:rPr>
              <w:rFonts w:ascii="Times New Roman" w:hAnsi="Times New Roman" w:cs="Times New Roman"/>
              <w:b/>
              <w:bCs/>
              <w:color w:val="auto"/>
              <w:sz w:val="24"/>
              <w:szCs w:val="24"/>
            </w:rPr>
          </w:pPr>
          <w:bookmarkStart w:id="22" w:name="_Toc227613586"/>
          <w:r w:rsidRPr="0032385F">
            <w:rPr>
              <w:rFonts w:ascii="Times New Roman" w:hAnsi="Times New Roman" w:cs="Times New Roman"/>
              <w:b/>
              <w:bCs/>
              <w:color w:val="auto"/>
              <w:sz w:val="24"/>
              <w:szCs w:val="24"/>
            </w:rPr>
            <w:t>6.7 Appendix 7: Capital Rationing</w:t>
          </w:r>
          <w:bookmarkEnd w:id="22"/>
        </w:p>
        <w:tbl>
          <w:tblPr>
            <w:tblStyle w:val="TableGrid"/>
            <w:tblW w:w="0" w:type="auto"/>
            <w:tblLook w:val="04A0" w:firstRow="1" w:lastRow="0" w:firstColumn="1" w:lastColumn="0" w:noHBand="0" w:noVBand="1"/>
          </w:tblPr>
          <w:tblGrid>
            <w:gridCol w:w="960"/>
            <w:gridCol w:w="1299"/>
            <w:gridCol w:w="1143"/>
            <w:gridCol w:w="1256"/>
            <w:gridCol w:w="1082"/>
          </w:tblGrid>
          <w:tr w:rsidR="00751460" w:rsidRPr="00414B46" w14:paraId="23BCF379" w14:textId="77777777" w:rsidTr="008616A0">
            <w:trPr>
              <w:trHeight w:val="290"/>
            </w:trPr>
            <w:tc>
              <w:tcPr>
                <w:tcW w:w="960" w:type="dxa"/>
                <w:noWrap/>
                <w:hideMark/>
              </w:tcPr>
              <w:p w14:paraId="01A4CA1F" w14:textId="77777777" w:rsidR="00751460" w:rsidRPr="00414B46" w:rsidRDefault="00751460" w:rsidP="008616A0">
                <w:pPr>
                  <w:tabs>
                    <w:tab w:val="left" w:pos="1910"/>
                  </w:tabs>
                  <w:rPr>
                    <w:b/>
                    <w:bCs/>
                  </w:rPr>
                </w:pPr>
                <w:r w:rsidRPr="00414B46">
                  <w:rPr>
                    <w:b/>
                    <w:bCs/>
                  </w:rPr>
                  <w:t>Project</w:t>
                </w:r>
              </w:p>
            </w:tc>
            <w:tc>
              <w:tcPr>
                <w:tcW w:w="1113" w:type="dxa"/>
                <w:noWrap/>
                <w:hideMark/>
              </w:tcPr>
              <w:p w14:paraId="29EAC72D" w14:textId="77777777" w:rsidR="00751460" w:rsidRPr="00414B46" w:rsidRDefault="00751460" w:rsidP="008616A0">
                <w:pPr>
                  <w:tabs>
                    <w:tab w:val="left" w:pos="1910"/>
                  </w:tabs>
                  <w:rPr>
                    <w:b/>
                    <w:bCs/>
                  </w:rPr>
                </w:pPr>
                <w:r w:rsidRPr="00414B46">
                  <w:rPr>
                    <w:b/>
                    <w:bCs/>
                  </w:rPr>
                  <w:t>Profitability Index</w:t>
                </w:r>
              </w:p>
            </w:tc>
            <w:tc>
              <w:tcPr>
                <w:tcW w:w="960" w:type="dxa"/>
                <w:noWrap/>
                <w:hideMark/>
              </w:tcPr>
              <w:p w14:paraId="2EE7E0DE" w14:textId="77777777" w:rsidR="00751460" w:rsidRPr="00414B46" w:rsidRDefault="00751460" w:rsidP="008616A0">
                <w:pPr>
                  <w:tabs>
                    <w:tab w:val="left" w:pos="1910"/>
                  </w:tabs>
                  <w:rPr>
                    <w:b/>
                    <w:bCs/>
                  </w:rPr>
                </w:pPr>
                <w:r w:rsidRPr="00414B46">
                  <w:rPr>
                    <w:b/>
                    <w:bCs/>
                  </w:rPr>
                  <w:t>Allocation (%)</w:t>
                </w:r>
              </w:p>
            </w:tc>
            <w:tc>
              <w:tcPr>
                <w:tcW w:w="1070" w:type="dxa"/>
                <w:noWrap/>
                <w:hideMark/>
              </w:tcPr>
              <w:p w14:paraId="10AA69A0" w14:textId="77777777" w:rsidR="00751460" w:rsidRPr="00414B46" w:rsidRDefault="00751460" w:rsidP="008616A0">
                <w:pPr>
                  <w:tabs>
                    <w:tab w:val="left" w:pos="1910"/>
                  </w:tabs>
                  <w:rPr>
                    <w:b/>
                    <w:bCs/>
                  </w:rPr>
                </w:pPr>
                <w:r w:rsidRPr="00414B46">
                  <w:rPr>
                    <w:b/>
                    <w:bCs/>
                  </w:rPr>
                  <w:t>Allocated Investment (£)</w:t>
                </w:r>
              </w:p>
            </w:tc>
            <w:tc>
              <w:tcPr>
                <w:tcW w:w="960" w:type="dxa"/>
                <w:noWrap/>
                <w:hideMark/>
              </w:tcPr>
              <w:p w14:paraId="74A2C719" w14:textId="77777777" w:rsidR="00751460" w:rsidRPr="00414B46" w:rsidRDefault="00751460" w:rsidP="008616A0">
                <w:pPr>
                  <w:tabs>
                    <w:tab w:val="left" w:pos="1910"/>
                  </w:tabs>
                  <w:rPr>
                    <w:b/>
                    <w:bCs/>
                  </w:rPr>
                </w:pPr>
                <w:r w:rsidRPr="00414B46">
                  <w:rPr>
                    <w:b/>
                    <w:bCs/>
                  </w:rPr>
                  <w:t>Allocated NPV (£)</w:t>
                </w:r>
              </w:p>
            </w:tc>
          </w:tr>
          <w:tr w:rsidR="00751460" w:rsidRPr="00414B46" w14:paraId="4BFC2EB4" w14:textId="77777777" w:rsidTr="008616A0">
            <w:trPr>
              <w:trHeight w:val="290"/>
            </w:trPr>
            <w:tc>
              <w:tcPr>
                <w:tcW w:w="960" w:type="dxa"/>
                <w:noWrap/>
                <w:hideMark/>
              </w:tcPr>
              <w:p w14:paraId="22D51BB0" w14:textId="77777777" w:rsidR="00751460" w:rsidRPr="00414B46" w:rsidRDefault="00751460" w:rsidP="008616A0">
                <w:pPr>
                  <w:tabs>
                    <w:tab w:val="left" w:pos="1910"/>
                  </w:tabs>
                </w:pPr>
                <w:r w:rsidRPr="00414B46">
                  <w:t>A</w:t>
                </w:r>
              </w:p>
            </w:tc>
            <w:tc>
              <w:tcPr>
                <w:tcW w:w="1113" w:type="dxa"/>
                <w:noWrap/>
                <w:hideMark/>
              </w:tcPr>
              <w:p w14:paraId="6493E14A" w14:textId="77777777" w:rsidR="00751460" w:rsidRPr="00414B46" w:rsidRDefault="00751460" w:rsidP="008616A0">
                <w:pPr>
                  <w:tabs>
                    <w:tab w:val="left" w:pos="1910"/>
                  </w:tabs>
                </w:pPr>
                <w:r w:rsidRPr="00414B46">
                  <w:t>0.1719</w:t>
                </w:r>
              </w:p>
            </w:tc>
            <w:tc>
              <w:tcPr>
                <w:tcW w:w="960" w:type="dxa"/>
                <w:noWrap/>
                <w:hideMark/>
              </w:tcPr>
              <w:p w14:paraId="1836B01F" w14:textId="77777777" w:rsidR="00751460" w:rsidRPr="00414B46" w:rsidRDefault="00751460" w:rsidP="008616A0">
                <w:pPr>
                  <w:tabs>
                    <w:tab w:val="left" w:pos="1910"/>
                  </w:tabs>
                </w:pPr>
                <w:r w:rsidRPr="00414B46">
                  <w:t>0</w:t>
                </w:r>
              </w:p>
            </w:tc>
            <w:tc>
              <w:tcPr>
                <w:tcW w:w="1070" w:type="dxa"/>
                <w:noWrap/>
                <w:hideMark/>
              </w:tcPr>
              <w:p w14:paraId="050F5FBF" w14:textId="77777777" w:rsidR="00751460" w:rsidRPr="00414B46" w:rsidRDefault="00751460" w:rsidP="008616A0">
                <w:pPr>
                  <w:tabs>
                    <w:tab w:val="left" w:pos="1910"/>
                  </w:tabs>
                </w:pPr>
                <w:r w:rsidRPr="00414B46">
                  <w:t>0</w:t>
                </w:r>
              </w:p>
            </w:tc>
            <w:tc>
              <w:tcPr>
                <w:tcW w:w="960" w:type="dxa"/>
                <w:noWrap/>
                <w:hideMark/>
              </w:tcPr>
              <w:p w14:paraId="39D8C4A1" w14:textId="77777777" w:rsidR="00751460" w:rsidRPr="00414B46" w:rsidRDefault="00751460" w:rsidP="008616A0">
                <w:pPr>
                  <w:tabs>
                    <w:tab w:val="left" w:pos="1910"/>
                  </w:tabs>
                </w:pPr>
                <w:r w:rsidRPr="00414B46">
                  <w:t>0</w:t>
                </w:r>
              </w:p>
            </w:tc>
          </w:tr>
          <w:tr w:rsidR="00751460" w:rsidRPr="00414B46" w14:paraId="66238F38" w14:textId="77777777" w:rsidTr="008616A0">
            <w:trPr>
              <w:trHeight w:val="290"/>
            </w:trPr>
            <w:tc>
              <w:tcPr>
                <w:tcW w:w="960" w:type="dxa"/>
                <w:noWrap/>
                <w:hideMark/>
              </w:tcPr>
              <w:p w14:paraId="24987D8B" w14:textId="77777777" w:rsidR="00751460" w:rsidRPr="00414B46" w:rsidRDefault="00751460" w:rsidP="008616A0">
                <w:pPr>
                  <w:tabs>
                    <w:tab w:val="left" w:pos="1910"/>
                  </w:tabs>
                </w:pPr>
                <w:r w:rsidRPr="00414B46">
                  <w:t>B</w:t>
                </w:r>
              </w:p>
            </w:tc>
            <w:tc>
              <w:tcPr>
                <w:tcW w:w="1113" w:type="dxa"/>
                <w:noWrap/>
                <w:hideMark/>
              </w:tcPr>
              <w:p w14:paraId="09150249" w14:textId="77777777" w:rsidR="00751460" w:rsidRPr="00414B46" w:rsidRDefault="00751460" w:rsidP="008616A0">
                <w:pPr>
                  <w:tabs>
                    <w:tab w:val="left" w:pos="1910"/>
                  </w:tabs>
                </w:pPr>
                <w:r w:rsidRPr="00414B46">
                  <w:t>0.2595</w:t>
                </w:r>
              </w:p>
            </w:tc>
            <w:tc>
              <w:tcPr>
                <w:tcW w:w="960" w:type="dxa"/>
                <w:noWrap/>
                <w:hideMark/>
              </w:tcPr>
              <w:p w14:paraId="06055442" w14:textId="77777777" w:rsidR="00751460" w:rsidRPr="00414B46" w:rsidRDefault="00751460" w:rsidP="008616A0">
                <w:pPr>
                  <w:tabs>
                    <w:tab w:val="left" w:pos="1910"/>
                  </w:tabs>
                </w:pPr>
                <w:r w:rsidRPr="00414B46">
                  <w:t>55.56</w:t>
                </w:r>
              </w:p>
            </w:tc>
            <w:tc>
              <w:tcPr>
                <w:tcW w:w="1070" w:type="dxa"/>
                <w:noWrap/>
                <w:hideMark/>
              </w:tcPr>
              <w:p w14:paraId="157E2220" w14:textId="77777777" w:rsidR="00751460" w:rsidRPr="00414B46" w:rsidRDefault="00751460" w:rsidP="008616A0">
                <w:pPr>
                  <w:tabs>
                    <w:tab w:val="left" w:pos="1910"/>
                  </w:tabs>
                </w:pPr>
                <w:r w:rsidRPr="00414B46">
                  <w:t>500000</w:t>
                </w:r>
              </w:p>
            </w:tc>
            <w:tc>
              <w:tcPr>
                <w:tcW w:w="960" w:type="dxa"/>
                <w:noWrap/>
                <w:hideMark/>
              </w:tcPr>
              <w:p w14:paraId="22EFD74E" w14:textId="77777777" w:rsidR="00751460" w:rsidRPr="00414B46" w:rsidRDefault="00751460" w:rsidP="008616A0">
                <w:pPr>
                  <w:tabs>
                    <w:tab w:val="left" w:pos="1910"/>
                  </w:tabs>
                </w:pPr>
                <w:r w:rsidRPr="00414B46">
                  <w:t>129733.3</w:t>
                </w:r>
              </w:p>
            </w:tc>
          </w:tr>
          <w:tr w:rsidR="00751460" w:rsidRPr="00414B46" w14:paraId="6923CC62" w14:textId="77777777" w:rsidTr="008616A0">
            <w:trPr>
              <w:trHeight w:val="290"/>
            </w:trPr>
            <w:tc>
              <w:tcPr>
                <w:tcW w:w="960" w:type="dxa"/>
                <w:noWrap/>
                <w:hideMark/>
              </w:tcPr>
              <w:p w14:paraId="7D3A46E9" w14:textId="77777777" w:rsidR="00751460" w:rsidRPr="00414B46" w:rsidRDefault="00751460" w:rsidP="008616A0">
                <w:pPr>
                  <w:tabs>
                    <w:tab w:val="left" w:pos="1910"/>
                  </w:tabs>
                </w:pPr>
                <w:r w:rsidRPr="00414B46">
                  <w:t>C</w:t>
                </w:r>
              </w:p>
            </w:tc>
            <w:tc>
              <w:tcPr>
                <w:tcW w:w="1113" w:type="dxa"/>
                <w:noWrap/>
                <w:hideMark/>
              </w:tcPr>
              <w:p w14:paraId="3FBF443E" w14:textId="77777777" w:rsidR="00751460" w:rsidRPr="00414B46" w:rsidRDefault="00751460" w:rsidP="008616A0">
                <w:pPr>
                  <w:tabs>
                    <w:tab w:val="left" w:pos="1910"/>
                  </w:tabs>
                </w:pPr>
                <w:r w:rsidRPr="00414B46">
                  <w:t>0.2685</w:t>
                </w:r>
              </w:p>
            </w:tc>
            <w:tc>
              <w:tcPr>
                <w:tcW w:w="960" w:type="dxa"/>
                <w:noWrap/>
                <w:hideMark/>
              </w:tcPr>
              <w:p w14:paraId="27A9D212" w14:textId="77777777" w:rsidR="00751460" w:rsidRPr="00414B46" w:rsidRDefault="00751460" w:rsidP="008616A0">
                <w:pPr>
                  <w:tabs>
                    <w:tab w:val="left" w:pos="1910"/>
                  </w:tabs>
                </w:pPr>
                <w:r w:rsidRPr="00414B46">
                  <w:t>100</w:t>
                </w:r>
              </w:p>
            </w:tc>
            <w:tc>
              <w:tcPr>
                <w:tcW w:w="1070" w:type="dxa"/>
                <w:noWrap/>
                <w:hideMark/>
              </w:tcPr>
              <w:p w14:paraId="38ECC452" w14:textId="77777777" w:rsidR="00751460" w:rsidRPr="00414B46" w:rsidRDefault="00751460" w:rsidP="008616A0">
                <w:pPr>
                  <w:tabs>
                    <w:tab w:val="left" w:pos="1910"/>
                  </w:tabs>
                </w:pPr>
                <w:r w:rsidRPr="00414B46">
                  <w:t>1000000</w:t>
                </w:r>
              </w:p>
            </w:tc>
            <w:tc>
              <w:tcPr>
                <w:tcW w:w="960" w:type="dxa"/>
                <w:noWrap/>
                <w:hideMark/>
              </w:tcPr>
              <w:p w14:paraId="6E345813" w14:textId="77777777" w:rsidR="00751460" w:rsidRPr="00414B46" w:rsidRDefault="00751460" w:rsidP="008616A0">
                <w:pPr>
                  <w:tabs>
                    <w:tab w:val="left" w:pos="1910"/>
                  </w:tabs>
                </w:pPr>
                <w:r w:rsidRPr="00414B46">
                  <w:t>268523.7</w:t>
                </w:r>
              </w:p>
            </w:tc>
          </w:tr>
          <w:tr w:rsidR="00751460" w:rsidRPr="00414B46" w14:paraId="67241A39" w14:textId="77777777" w:rsidTr="008616A0">
            <w:trPr>
              <w:trHeight w:val="290"/>
            </w:trPr>
            <w:tc>
              <w:tcPr>
                <w:tcW w:w="960" w:type="dxa"/>
                <w:noWrap/>
                <w:hideMark/>
              </w:tcPr>
              <w:p w14:paraId="1D64B2A1" w14:textId="77777777" w:rsidR="00751460" w:rsidRPr="00414B46" w:rsidRDefault="00751460" w:rsidP="008616A0">
                <w:pPr>
                  <w:tabs>
                    <w:tab w:val="left" w:pos="1910"/>
                  </w:tabs>
                </w:pPr>
                <w:r w:rsidRPr="00414B46">
                  <w:t>Total</w:t>
                </w:r>
              </w:p>
            </w:tc>
            <w:tc>
              <w:tcPr>
                <w:tcW w:w="1113" w:type="dxa"/>
                <w:noWrap/>
                <w:hideMark/>
              </w:tcPr>
              <w:p w14:paraId="3B259AF6" w14:textId="77777777" w:rsidR="00751460" w:rsidRPr="00414B46" w:rsidRDefault="00751460" w:rsidP="008616A0">
                <w:pPr>
                  <w:tabs>
                    <w:tab w:val="left" w:pos="1910"/>
                  </w:tabs>
                </w:pPr>
              </w:p>
            </w:tc>
            <w:tc>
              <w:tcPr>
                <w:tcW w:w="960" w:type="dxa"/>
                <w:noWrap/>
                <w:hideMark/>
              </w:tcPr>
              <w:p w14:paraId="2CB6AC5B" w14:textId="77777777" w:rsidR="00751460" w:rsidRPr="00414B46" w:rsidRDefault="00751460" w:rsidP="008616A0">
                <w:pPr>
                  <w:tabs>
                    <w:tab w:val="left" w:pos="1910"/>
                  </w:tabs>
                </w:pPr>
              </w:p>
            </w:tc>
            <w:tc>
              <w:tcPr>
                <w:tcW w:w="1070" w:type="dxa"/>
                <w:noWrap/>
                <w:hideMark/>
              </w:tcPr>
              <w:p w14:paraId="76FEE27E" w14:textId="77777777" w:rsidR="00751460" w:rsidRPr="00414B46" w:rsidRDefault="00751460" w:rsidP="008616A0">
                <w:pPr>
                  <w:tabs>
                    <w:tab w:val="left" w:pos="1910"/>
                  </w:tabs>
                </w:pPr>
                <w:r w:rsidRPr="00414B46">
                  <w:t>1000000</w:t>
                </w:r>
              </w:p>
            </w:tc>
            <w:tc>
              <w:tcPr>
                <w:tcW w:w="960" w:type="dxa"/>
                <w:noWrap/>
                <w:hideMark/>
              </w:tcPr>
              <w:p w14:paraId="2B43E7E6" w14:textId="77777777" w:rsidR="00751460" w:rsidRPr="00414B46" w:rsidRDefault="00751460" w:rsidP="008616A0">
                <w:pPr>
                  <w:tabs>
                    <w:tab w:val="left" w:pos="1910"/>
                  </w:tabs>
                </w:pPr>
                <w:r w:rsidRPr="00414B46">
                  <w:t>398257</w:t>
                </w:r>
              </w:p>
            </w:tc>
          </w:tr>
        </w:tbl>
        <w:p w14:paraId="6F0EFB55" w14:textId="77777777" w:rsidR="00751460" w:rsidRDefault="00751460" w:rsidP="00751460">
          <w:pPr>
            <w:tabs>
              <w:tab w:val="left" w:pos="1910"/>
            </w:tabs>
          </w:pPr>
        </w:p>
        <w:p w14:paraId="4F8F730C" w14:textId="6D88CEC7" w:rsidR="007D1947" w:rsidRPr="00B37AF3" w:rsidRDefault="00B37AF3" w:rsidP="00B37AF3">
          <w:pPr>
            <w:pStyle w:val="Heading2"/>
            <w:rPr>
              <w:rFonts w:ascii="Times New Roman" w:hAnsi="Times New Roman" w:cs="Times New Roman"/>
              <w:b/>
              <w:bCs/>
              <w:color w:val="auto"/>
              <w:sz w:val="24"/>
              <w:szCs w:val="24"/>
            </w:rPr>
          </w:pPr>
          <w:bookmarkStart w:id="23" w:name="_Toc227613587"/>
          <w:r w:rsidRPr="00B37AF3">
            <w:rPr>
              <w:rFonts w:ascii="Times New Roman" w:hAnsi="Times New Roman" w:cs="Times New Roman"/>
              <w:b/>
              <w:bCs/>
              <w:color w:val="auto"/>
              <w:sz w:val="24"/>
              <w:szCs w:val="24"/>
            </w:rPr>
            <w:t>6.8 Appendix 8: Ratio Calculations</w:t>
          </w:r>
          <w:bookmarkEnd w:id="23"/>
        </w:p>
        <w:p w14:paraId="4D606D81" w14:textId="626A1AD1" w:rsidR="00B37AF3" w:rsidRPr="00B37AF3" w:rsidRDefault="00B37AF3" w:rsidP="00B37AF3">
          <w:pPr>
            <w:pStyle w:val="Heading3"/>
            <w:rPr>
              <w:rFonts w:ascii="Times New Roman" w:hAnsi="Times New Roman" w:cs="Times New Roman"/>
              <w:i/>
              <w:iCs/>
              <w:color w:val="auto"/>
            </w:rPr>
          </w:pPr>
          <w:bookmarkStart w:id="24" w:name="_Toc227613588"/>
          <w:r w:rsidRPr="00B37AF3">
            <w:rPr>
              <w:rFonts w:ascii="Times New Roman" w:hAnsi="Times New Roman" w:cs="Times New Roman"/>
              <w:i/>
              <w:iCs/>
              <w:color w:val="auto"/>
            </w:rPr>
            <w:t>6.8.1 Profitability Ratios</w:t>
          </w:r>
          <w:bookmarkEnd w:id="24"/>
        </w:p>
        <w:tbl>
          <w:tblPr>
            <w:tblStyle w:val="TableGrid"/>
            <w:tblW w:w="9725" w:type="dxa"/>
            <w:tblLook w:val="04A0" w:firstRow="1" w:lastRow="0" w:firstColumn="1" w:lastColumn="0" w:noHBand="0" w:noVBand="1"/>
          </w:tblPr>
          <w:tblGrid>
            <w:gridCol w:w="2547"/>
            <w:gridCol w:w="2340"/>
            <w:gridCol w:w="2262"/>
            <w:gridCol w:w="2576"/>
          </w:tblGrid>
          <w:tr w:rsidR="00B37AF3" w:rsidRPr="00980627" w14:paraId="77CC7AAE" w14:textId="77777777" w:rsidTr="008616A0">
            <w:trPr>
              <w:trHeight w:val="340"/>
            </w:trPr>
            <w:tc>
              <w:tcPr>
                <w:tcW w:w="2547" w:type="dxa"/>
                <w:noWrap/>
                <w:hideMark/>
              </w:tcPr>
              <w:p w14:paraId="0755D245" w14:textId="77777777" w:rsidR="00B37AF3" w:rsidRPr="00980627" w:rsidRDefault="00B37AF3" w:rsidP="008616A0">
                <w:pPr>
                  <w:rPr>
                    <w:rFonts w:ascii="Times New Roman" w:hAnsi="Times New Roman" w:cs="Times New Roman"/>
                    <w:b/>
                    <w:bCs/>
                    <w:sz w:val="24"/>
                    <w:szCs w:val="24"/>
                  </w:rPr>
                </w:pPr>
                <w:r w:rsidRPr="00980627">
                  <w:rPr>
                    <w:rFonts w:ascii="Times New Roman" w:hAnsi="Times New Roman" w:cs="Times New Roman"/>
                    <w:b/>
                    <w:bCs/>
                    <w:sz w:val="24"/>
                    <w:szCs w:val="24"/>
                  </w:rPr>
                  <w:t>Ratio</w:t>
                </w:r>
              </w:p>
            </w:tc>
            <w:tc>
              <w:tcPr>
                <w:tcW w:w="2340" w:type="dxa"/>
                <w:noWrap/>
                <w:hideMark/>
              </w:tcPr>
              <w:p w14:paraId="027063D5" w14:textId="77777777" w:rsidR="00B37AF3" w:rsidRPr="00980627" w:rsidRDefault="00B37AF3" w:rsidP="008616A0">
                <w:pPr>
                  <w:rPr>
                    <w:rFonts w:ascii="Times New Roman" w:hAnsi="Times New Roman" w:cs="Times New Roman"/>
                    <w:b/>
                    <w:bCs/>
                    <w:sz w:val="24"/>
                    <w:szCs w:val="24"/>
                  </w:rPr>
                </w:pPr>
                <w:r w:rsidRPr="00980627">
                  <w:rPr>
                    <w:rFonts w:ascii="Times New Roman" w:hAnsi="Times New Roman" w:cs="Times New Roman"/>
                    <w:b/>
                    <w:bCs/>
                    <w:sz w:val="24"/>
                    <w:szCs w:val="24"/>
                  </w:rPr>
                  <w:t>Formula</w:t>
                </w:r>
              </w:p>
            </w:tc>
            <w:tc>
              <w:tcPr>
                <w:tcW w:w="2262" w:type="dxa"/>
                <w:noWrap/>
                <w:hideMark/>
              </w:tcPr>
              <w:p w14:paraId="2CB28FC9" w14:textId="77777777" w:rsidR="00B37AF3" w:rsidRPr="00980627" w:rsidRDefault="00B37AF3" w:rsidP="008616A0">
                <w:pPr>
                  <w:rPr>
                    <w:rFonts w:ascii="Times New Roman" w:hAnsi="Times New Roman" w:cs="Times New Roman"/>
                    <w:b/>
                    <w:bCs/>
                    <w:sz w:val="24"/>
                    <w:szCs w:val="24"/>
                  </w:rPr>
                </w:pPr>
                <w:r w:rsidRPr="00980627">
                  <w:rPr>
                    <w:rFonts w:ascii="Times New Roman" w:hAnsi="Times New Roman" w:cs="Times New Roman"/>
                    <w:b/>
                    <w:bCs/>
                    <w:sz w:val="24"/>
                    <w:szCs w:val="24"/>
                  </w:rPr>
                  <w:t>2024</w:t>
                </w:r>
              </w:p>
            </w:tc>
            <w:tc>
              <w:tcPr>
                <w:tcW w:w="2576" w:type="dxa"/>
                <w:noWrap/>
                <w:hideMark/>
              </w:tcPr>
              <w:p w14:paraId="5942EEB5" w14:textId="77777777" w:rsidR="00B37AF3" w:rsidRPr="00980627" w:rsidRDefault="00B37AF3" w:rsidP="008616A0">
                <w:pPr>
                  <w:rPr>
                    <w:rFonts w:ascii="Times New Roman" w:hAnsi="Times New Roman" w:cs="Times New Roman"/>
                    <w:b/>
                    <w:bCs/>
                    <w:sz w:val="24"/>
                    <w:szCs w:val="24"/>
                  </w:rPr>
                </w:pPr>
                <w:r w:rsidRPr="00980627">
                  <w:rPr>
                    <w:rFonts w:ascii="Times New Roman" w:hAnsi="Times New Roman" w:cs="Times New Roman"/>
                    <w:b/>
                    <w:bCs/>
                    <w:sz w:val="24"/>
                    <w:szCs w:val="24"/>
                  </w:rPr>
                  <w:t>2025</w:t>
                </w:r>
              </w:p>
            </w:tc>
          </w:tr>
          <w:tr w:rsidR="00B37AF3" w:rsidRPr="00980627" w14:paraId="28E09D2D" w14:textId="77777777" w:rsidTr="008616A0">
            <w:trPr>
              <w:trHeight w:val="340"/>
            </w:trPr>
            <w:tc>
              <w:tcPr>
                <w:tcW w:w="2547" w:type="dxa"/>
                <w:noWrap/>
                <w:hideMark/>
              </w:tcPr>
              <w:p w14:paraId="7A8B58BF" w14:textId="77777777" w:rsidR="00B37AF3" w:rsidRPr="00980627" w:rsidRDefault="00B37AF3" w:rsidP="008616A0">
                <w:pPr>
                  <w:rPr>
                    <w:rFonts w:ascii="Times New Roman" w:hAnsi="Times New Roman" w:cs="Times New Roman"/>
                    <w:sz w:val="24"/>
                    <w:szCs w:val="24"/>
                  </w:rPr>
                </w:pPr>
                <w:r w:rsidRPr="00980627">
                  <w:rPr>
                    <w:rFonts w:ascii="Times New Roman" w:hAnsi="Times New Roman" w:cs="Times New Roman"/>
                    <w:sz w:val="24"/>
                    <w:szCs w:val="24"/>
                  </w:rPr>
                  <w:t>Net Interest Margin</w:t>
                </w:r>
              </w:p>
            </w:tc>
            <w:tc>
              <w:tcPr>
                <w:tcW w:w="2340" w:type="dxa"/>
                <w:noWrap/>
                <w:hideMark/>
              </w:tcPr>
              <w:p w14:paraId="4ED89B2F" w14:textId="77777777" w:rsidR="00B37AF3" w:rsidRPr="00980627" w:rsidRDefault="00B37AF3" w:rsidP="008616A0">
                <w:pPr>
                  <w:rPr>
                    <w:rFonts w:ascii="Times New Roman" w:hAnsi="Times New Roman" w:cs="Times New Roman"/>
                    <w:sz w:val="24"/>
                    <w:szCs w:val="24"/>
                  </w:rPr>
                </w:pPr>
                <w:r w:rsidRPr="00346EF5">
                  <w:rPr>
                    <w:rFonts w:ascii="Times New Roman" w:hAnsi="Times New Roman" w:cs="Times New Roman"/>
                    <w:sz w:val="24"/>
                    <w:szCs w:val="24"/>
                  </w:rPr>
                  <w:t xml:space="preserve">Net Interest Income </w:t>
                </w:r>
                <w:r>
                  <w:rPr>
                    <w:rFonts w:ascii="Times New Roman" w:hAnsi="Times New Roman" w:cs="Times New Roman"/>
                    <w:sz w:val="24"/>
                    <w:szCs w:val="24"/>
                  </w:rPr>
                  <w:t xml:space="preserve">/ </w:t>
                </w:r>
                <w:r w:rsidRPr="00346EF5">
                  <w:rPr>
                    <w:rFonts w:ascii="Times New Roman" w:hAnsi="Times New Roman" w:cs="Times New Roman"/>
                    <w:sz w:val="24"/>
                    <w:szCs w:val="24"/>
                  </w:rPr>
                  <w:t>Interest Income</w:t>
                </w:r>
              </w:p>
            </w:tc>
            <w:tc>
              <w:tcPr>
                <w:tcW w:w="2262" w:type="dxa"/>
                <w:noWrap/>
                <w:hideMark/>
              </w:tcPr>
              <w:p w14:paraId="66C64764" w14:textId="77777777" w:rsidR="00B37AF3" w:rsidRPr="00980627" w:rsidRDefault="00B37AF3" w:rsidP="008616A0">
                <w:pPr>
                  <w:rPr>
                    <w:rFonts w:ascii="Times New Roman" w:hAnsi="Times New Roman" w:cs="Times New Roman"/>
                    <w:sz w:val="24"/>
                    <w:szCs w:val="24"/>
                  </w:rPr>
                </w:pPr>
                <w:r w:rsidRPr="00980627">
                  <w:rPr>
                    <w:rFonts w:ascii="Times New Roman" w:hAnsi="Times New Roman" w:cs="Times New Roman"/>
                    <w:sz w:val="24"/>
                    <w:szCs w:val="24"/>
                  </w:rPr>
                  <w:t>6,745 ÷ 25,780 = 26.2%</w:t>
                </w:r>
              </w:p>
            </w:tc>
            <w:tc>
              <w:tcPr>
                <w:tcW w:w="2576" w:type="dxa"/>
                <w:noWrap/>
                <w:hideMark/>
              </w:tcPr>
              <w:p w14:paraId="5FADC80E" w14:textId="77777777" w:rsidR="00B37AF3" w:rsidRPr="00980627" w:rsidRDefault="00B37AF3" w:rsidP="008616A0">
                <w:pPr>
                  <w:rPr>
                    <w:rFonts w:ascii="Times New Roman" w:hAnsi="Times New Roman" w:cs="Times New Roman"/>
                    <w:sz w:val="24"/>
                    <w:szCs w:val="24"/>
                  </w:rPr>
                </w:pPr>
                <w:r w:rsidRPr="00980627">
                  <w:rPr>
                    <w:rFonts w:ascii="Times New Roman" w:hAnsi="Times New Roman" w:cs="Times New Roman"/>
                    <w:sz w:val="24"/>
                    <w:szCs w:val="24"/>
                  </w:rPr>
                  <w:t>7,294 ÷ 23,409 = 31.2%</w:t>
                </w:r>
              </w:p>
            </w:tc>
          </w:tr>
          <w:tr w:rsidR="00B37AF3" w:rsidRPr="00980627" w14:paraId="1D23459C" w14:textId="77777777" w:rsidTr="008616A0">
            <w:trPr>
              <w:trHeight w:val="340"/>
            </w:trPr>
            <w:tc>
              <w:tcPr>
                <w:tcW w:w="2547" w:type="dxa"/>
                <w:noWrap/>
                <w:hideMark/>
              </w:tcPr>
              <w:p w14:paraId="4BFA83E4" w14:textId="77777777" w:rsidR="00B37AF3" w:rsidRPr="00980627" w:rsidRDefault="00B37AF3" w:rsidP="008616A0">
                <w:pPr>
                  <w:rPr>
                    <w:rFonts w:ascii="Times New Roman" w:hAnsi="Times New Roman" w:cs="Times New Roman"/>
                    <w:sz w:val="24"/>
                    <w:szCs w:val="24"/>
                  </w:rPr>
                </w:pPr>
                <w:r w:rsidRPr="00980627">
                  <w:rPr>
                    <w:rFonts w:ascii="Times New Roman" w:hAnsi="Times New Roman" w:cs="Times New Roman"/>
                    <w:sz w:val="24"/>
                    <w:szCs w:val="24"/>
                  </w:rPr>
                  <w:t>Return on Equity (ROE)</w:t>
                </w:r>
              </w:p>
            </w:tc>
            <w:tc>
              <w:tcPr>
                <w:tcW w:w="2340" w:type="dxa"/>
                <w:noWrap/>
                <w:hideMark/>
              </w:tcPr>
              <w:p w14:paraId="64A292AD" w14:textId="77777777" w:rsidR="00B37AF3" w:rsidRPr="00980627" w:rsidRDefault="00B37AF3" w:rsidP="008616A0">
                <w:pPr>
                  <w:rPr>
                    <w:rFonts w:ascii="Times New Roman" w:hAnsi="Times New Roman" w:cs="Times New Roman"/>
                    <w:sz w:val="24"/>
                    <w:szCs w:val="24"/>
                  </w:rPr>
                </w:pPr>
                <w:r w:rsidRPr="00346EF5">
                  <w:rPr>
                    <w:rFonts w:ascii="Times New Roman" w:hAnsi="Times New Roman" w:cs="Times New Roman"/>
                    <w:sz w:val="24"/>
                    <w:szCs w:val="24"/>
                  </w:rPr>
                  <w:t xml:space="preserve">Profit Attributable </w:t>
                </w:r>
                <w:r>
                  <w:rPr>
                    <w:rFonts w:ascii="Times New Roman" w:hAnsi="Times New Roman" w:cs="Times New Roman"/>
                    <w:sz w:val="24"/>
                    <w:szCs w:val="24"/>
                  </w:rPr>
                  <w:t>/</w:t>
                </w:r>
                <w:r w:rsidRPr="00346EF5">
                  <w:rPr>
                    <w:rFonts w:ascii="Times New Roman" w:hAnsi="Times New Roman" w:cs="Times New Roman"/>
                    <w:sz w:val="24"/>
                    <w:szCs w:val="24"/>
                  </w:rPr>
                  <w:t xml:space="preserve"> Equity</w:t>
                </w:r>
              </w:p>
            </w:tc>
            <w:tc>
              <w:tcPr>
                <w:tcW w:w="2262" w:type="dxa"/>
                <w:noWrap/>
                <w:hideMark/>
              </w:tcPr>
              <w:p w14:paraId="4BE1D050" w14:textId="77777777" w:rsidR="00B37AF3" w:rsidRPr="00980627" w:rsidRDefault="00B37AF3" w:rsidP="008616A0">
                <w:pPr>
                  <w:rPr>
                    <w:rFonts w:ascii="Times New Roman" w:hAnsi="Times New Roman" w:cs="Times New Roman"/>
                    <w:sz w:val="24"/>
                    <w:szCs w:val="24"/>
                  </w:rPr>
                </w:pPr>
                <w:r w:rsidRPr="00980627">
                  <w:rPr>
                    <w:rFonts w:ascii="Times New Roman" w:hAnsi="Times New Roman" w:cs="Times New Roman"/>
                    <w:sz w:val="24"/>
                    <w:szCs w:val="24"/>
                  </w:rPr>
                  <w:t>2,956 ÷ 59,220 = 5.0%</w:t>
                </w:r>
              </w:p>
            </w:tc>
            <w:tc>
              <w:tcPr>
                <w:tcW w:w="2576" w:type="dxa"/>
                <w:noWrap/>
                <w:hideMark/>
              </w:tcPr>
              <w:p w14:paraId="31016242" w14:textId="77777777" w:rsidR="00B37AF3" w:rsidRPr="00980627" w:rsidRDefault="00B37AF3" w:rsidP="008616A0">
                <w:pPr>
                  <w:rPr>
                    <w:rFonts w:ascii="Times New Roman" w:hAnsi="Times New Roman" w:cs="Times New Roman"/>
                    <w:sz w:val="24"/>
                    <w:szCs w:val="24"/>
                  </w:rPr>
                </w:pPr>
                <w:r w:rsidRPr="00980627">
                  <w:rPr>
                    <w:rFonts w:ascii="Times New Roman" w:hAnsi="Times New Roman" w:cs="Times New Roman"/>
                    <w:sz w:val="24"/>
                    <w:szCs w:val="24"/>
                  </w:rPr>
                  <w:t>3,875 ÷ 62,313 = 6.2%</w:t>
                </w:r>
              </w:p>
            </w:tc>
          </w:tr>
          <w:tr w:rsidR="00B37AF3" w:rsidRPr="00980627" w14:paraId="301B0F03" w14:textId="77777777" w:rsidTr="008616A0">
            <w:trPr>
              <w:trHeight w:val="340"/>
            </w:trPr>
            <w:tc>
              <w:tcPr>
                <w:tcW w:w="2547" w:type="dxa"/>
                <w:noWrap/>
                <w:hideMark/>
              </w:tcPr>
              <w:p w14:paraId="6D323E05" w14:textId="77777777" w:rsidR="00B37AF3" w:rsidRPr="00980627" w:rsidRDefault="00B37AF3" w:rsidP="008616A0">
                <w:pPr>
                  <w:rPr>
                    <w:rFonts w:ascii="Times New Roman" w:hAnsi="Times New Roman" w:cs="Times New Roman"/>
                    <w:sz w:val="24"/>
                    <w:szCs w:val="24"/>
                  </w:rPr>
                </w:pPr>
                <w:r w:rsidRPr="00980627">
                  <w:rPr>
                    <w:rFonts w:ascii="Times New Roman" w:hAnsi="Times New Roman" w:cs="Times New Roman"/>
                    <w:sz w:val="24"/>
                    <w:szCs w:val="24"/>
                  </w:rPr>
                  <w:t>Return on Capital Employed (ROCE)</w:t>
                </w:r>
              </w:p>
            </w:tc>
            <w:tc>
              <w:tcPr>
                <w:tcW w:w="2340" w:type="dxa"/>
                <w:noWrap/>
                <w:hideMark/>
              </w:tcPr>
              <w:p w14:paraId="3B82498A" w14:textId="77777777" w:rsidR="00B37AF3" w:rsidRPr="00980627" w:rsidRDefault="00B37AF3" w:rsidP="008616A0">
                <w:pPr>
                  <w:rPr>
                    <w:rFonts w:ascii="Times New Roman" w:hAnsi="Times New Roman" w:cs="Times New Roman"/>
                    <w:sz w:val="24"/>
                    <w:szCs w:val="24"/>
                  </w:rPr>
                </w:pPr>
                <w:r w:rsidRPr="00346EF5">
                  <w:rPr>
                    <w:rFonts w:ascii="Times New Roman" w:hAnsi="Times New Roman" w:cs="Times New Roman"/>
                    <w:sz w:val="24"/>
                    <w:szCs w:val="24"/>
                  </w:rPr>
                  <w:t xml:space="preserve">Profit Before Tax </w:t>
                </w:r>
                <w:r>
                  <w:rPr>
                    <w:rFonts w:ascii="Times New Roman" w:hAnsi="Times New Roman" w:cs="Times New Roman"/>
                    <w:sz w:val="24"/>
                    <w:szCs w:val="24"/>
                  </w:rPr>
                  <w:t xml:space="preserve">/ </w:t>
                </w:r>
                <w:r w:rsidRPr="00346EF5">
                  <w:rPr>
                    <w:rFonts w:ascii="Times New Roman" w:hAnsi="Times New Roman" w:cs="Times New Roman"/>
                    <w:sz w:val="24"/>
                    <w:szCs w:val="24"/>
                  </w:rPr>
                  <w:t>(Equity + Debt)</w:t>
                </w:r>
              </w:p>
            </w:tc>
            <w:tc>
              <w:tcPr>
                <w:tcW w:w="2262" w:type="dxa"/>
                <w:noWrap/>
                <w:hideMark/>
              </w:tcPr>
              <w:p w14:paraId="104C1990" w14:textId="77777777" w:rsidR="00B37AF3" w:rsidRPr="00980627" w:rsidRDefault="00B37AF3" w:rsidP="008616A0">
                <w:pPr>
                  <w:rPr>
                    <w:rFonts w:ascii="Times New Roman" w:hAnsi="Times New Roman" w:cs="Times New Roman"/>
                    <w:sz w:val="24"/>
                    <w:szCs w:val="24"/>
                  </w:rPr>
                </w:pPr>
                <w:r w:rsidRPr="00980627">
                  <w:rPr>
                    <w:rFonts w:ascii="Times New Roman" w:hAnsi="Times New Roman" w:cs="Times New Roman"/>
                    <w:sz w:val="24"/>
                    <w:szCs w:val="24"/>
                  </w:rPr>
                  <w:t>4,747 ÷ 95,023 = 5.0%</w:t>
                </w:r>
              </w:p>
            </w:tc>
            <w:tc>
              <w:tcPr>
                <w:tcW w:w="2576" w:type="dxa"/>
                <w:noWrap/>
                <w:hideMark/>
              </w:tcPr>
              <w:p w14:paraId="527D6867" w14:textId="77777777" w:rsidR="00B37AF3" w:rsidRPr="00980627" w:rsidRDefault="00B37AF3" w:rsidP="008616A0">
                <w:pPr>
                  <w:rPr>
                    <w:rFonts w:ascii="Times New Roman" w:hAnsi="Times New Roman" w:cs="Times New Roman"/>
                    <w:sz w:val="24"/>
                    <w:szCs w:val="24"/>
                  </w:rPr>
                </w:pPr>
                <w:r w:rsidRPr="00980627">
                  <w:rPr>
                    <w:rFonts w:ascii="Times New Roman" w:hAnsi="Times New Roman" w:cs="Times New Roman"/>
                    <w:sz w:val="24"/>
                    <w:szCs w:val="24"/>
                  </w:rPr>
                  <w:t>5,943 ÷ 107,552 = 5.5%</w:t>
                </w:r>
              </w:p>
            </w:tc>
          </w:tr>
        </w:tbl>
        <w:p w14:paraId="0DD55D13" w14:textId="77777777" w:rsidR="00B37AF3" w:rsidRDefault="00B37AF3"/>
        <w:p w14:paraId="64AFCECA" w14:textId="3C08504E" w:rsidR="00B37AF3" w:rsidRPr="00B37AF3" w:rsidRDefault="00B37AF3" w:rsidP="00B37AF3">
          <w:pPr>
            <w:pStyle w:val="Heading3"/>
            <w:rPr>
              <w:rFonts w:ascii="Times New Roman" w:hAnsi="Times New Roman" w:cs="Times New Roman"/>
              <w:i/>
              <w:iCs/>
              <w:color w:val="auto"/>
            </w:rPr>
          </w:pPr>
          <w:bookmarkStart w:id="25" w:name="_Toc227613589"/>
          <w:r w:rsidRPr="00B37AF3">
            <w:rPr>
              <w:rFonts w:ascii="Times New Roman" w:hAnsi="Times New Roman" w:cs="Times New Roman"/>
              <w:i/>
              <w:iCs/>
              <w:color w:val="auto"/>
            </w:rPr>
            <w:t>6.8.2 Liquidity Ratios</w:t>
          </w:r>
          <w:bookmarkEnd w:id="25"/>
        </w:p>
        <w:tbl>
          <w:tblPr>
            <w:tblStyle w:val="TableGrid"/>
            <w:tblW w:w="0" w:type="auto"/>
            <w:tblLook w:val="04A0" w:firstRow="1" w:lastRow="0" w:firstColumn="1" w:lastColumn="0" w:noHBand="0" w:noVBand="1"/>
          </w:tblPr>
          <w:tblGrid>
            <w:gridCol w:w="2405"/>
            <w:gridCol w:w="1865"/>
            <w:gridCol w:w="2373"/>
            <w:gridCol w:w="2373"/>
          </w:tblGrid>
          <w:tr w:rsidR="00B37AF3" w:rsidRPr="00346EF5" w14:paraId="3E8731CA" w14:textId="77777777" w:rsidTr="008616A0">
            <w:trPr>
              <w:trHeight w:val="290"/>
            </w:trPr>
            <w:tc>
              <w:tcPr>
                <w:tcW w:w="2405" w:type="dxa"/>
                <w:noWrap/>
                <w:hideMark/>
              </w:tcPr>
              <w:p w14:paraId="479D0362" w14:textId="77777777" w:rsidR="00B37AF3" w:rsidRPr="00346EF5" w:rsidRDefault="00B37AF3" w:rsidP="00B37AF3">
                <w:pPr>
                  <w:rPr>
                    <w:rFonts w:ascii="Times New Roman" w:hAnsi="Times New Roman" w:cs="Times New Roman"/>
                    <w:b/>
                    <w:bCs/>
                    <w:sz w:val="24"/>
                    <w:szCs w:val="24"/>
                  </w:rPr>
                </w:pPr>
                <w:r w:rsidRPr="00346EF5">
                  <w:rPr>
                    <w:rFonts w:ascii="Times New Roman" w:hAnsi="Times New Roman" w:cs="Times New Roman"/>
                    <w:b/>
                    <w:bCs/>
                    <w:sz w:val="24"/>
                    <w:szCs w:val="24"/>
                  </w:rPr>
                  <w:t>Ratio Name</w:t>
                </w:r>
              </w:p>
            </w:tc>
            <w:tc>
              <w:tcPr>
                <w:tcW w:w="1865" w:type="dxa"/>
                <w:noWrap/>
                <w:hideMark/>
              </w:tcPr>
              <w:p w14:paraId="6D97A4EF" w14:textId="77777777" w:rsidR="00B37AF3" w:rsidRPr="00346EF5" w:rsidRDefault="00B37AF3" w:rsidP="00B37AF3">
                <w:pPr>
                  <w:rPr>
                    <w:rFonts w:ascii="Times New Roman" w:hAnsi="Times New Roman" w:cs="Times New Roman"/>
                    <w:b/>
                    <w:bCs/>
                    <w:sz w:val="24"/>
                    <w:szCs w:val="24"/>
                  </w:rPr>
                </w:pPr>
                <w:r w:rsidRPr="00346EF5">
                  <w:rPr>
                    <w:rFonts w:ascii="Times New Roman" w:hAnsi="Times New Roman" w:cs="Times New Roman"/>
                    <w:b/>
                    <w:bCs/>
                    <w:sz w:val="24"/>
                    <w:szCs w:val="24"/>
                  </w:rPr>
                  <w:t>Formula</w:t>
                </w:r>
              </w:p>
            </w:tc>
            <w:tc>
              <w:tcPr>
                <w:tcW w:w="2373" w:type="dxa"/>
                <w:noWrap/>
                <w:hideMark/>
              </w:tcPr>
              <w:p w14:paraId="6D9F58F6" w14:textId="77777777" w:rsidR="00B37AF3" w:rsidRPr="00346EF5" w:rsidRDefault="00B37AF3" w:rsidP="00B37AF3">
                <w:pPr>
                  <w:rPr>
                    <w:rFonts w:ascii="Times New Roman" w:hAnsi="Times New Roman" w:cs="Times New Roman"/>
                    <w:b/>
                    <w:bCs/>
                    <w:sz w:val="24"/>
                    <w:szCs w:val="24"/>
                  </w:rPr>
                </w:pPr>
                <w:r w:rsidRPr="00346EF5">
                  <w:rPr>
                    <w:rFonts w:ascii="Times New Roman" w:hAnsi="Times New Roman" w:cs="Times New Roman"/>
                    <w:b/>
                    <w:bCs/>
                    <w:sz w:val="24"/>
                    <w:szCs w:val="24"/>
                  </w:rPr>
                  <w:t>2024</w:t>
                </w:r>
              </w:p>
            </w:tc>
            <w:tc>
              <w:tcPr>
                <w:tcW w:w="2373" w:type="dxa"/>
                <w:noWrap/>
                <w:hideMark/>
              </w:tcPr>
              <w:p w14:paraId="1524C430" w14:textId="77777777" w:rsidR="00B37AF3" w:rsidRPr="00346EF5" w:rsidRDefault="00B37AF3" w:rsidP="00B37AF3">
                <w:pPr>
                  <w:rPr>
                    <w:rFonts w:ascii="Times New Roman" w:hAnsi="Times New Roman" w:cs="Times New Roman"/>
                    <w:b/>
                    <w:bCs/>
                    <w:sz w:val="24"/>
                    <w:szCs w:val="24"/>
                  </w:rPr>
                </w:pPr>
                <w:r w:rsidRPr="00346EF5">
                  <w:rPr>
                    <w:rFonts w:ascii="Times New Roman" w:hAnsi="Times New Roman" w:cs="Times New Roman"/>
                    <w:b/>
                    <w:bCs/>
                    <w:sz w:val="24"/>
                    <w:szCs w:val="24"/>
                  </w:rPr>
                  <w:t>2025</w:t>
                </w:r>
              </w:p>
            </w:tc>
          </w:tr>
          <w:tr w:rsidR="00B37AF3" w:rsidRPr="00346EF5" w14:paraId="3464A294" w14:textId="77777777" w:rsidTr="008616A0">
            <w:trPr>
              <w:trHeight w:val="290"/>
            </w:trPr>
            <w:tc>
              <w:tcPr>
                <w:tcW w:w="2405" w:type="dxa"/>
                <w:noWrap/>
                <w:hideMark/>
              </w:tcPr>
              <w:p w14:paraId="638DEFBE" w14:textId="77777777" w:rsidR="00B37AF3" w:rsidRPr="00346EF5" w:rsidRDefault="00B37AF3" w:rsidP="00B37AF3">
                <w:pPr>
                  <w:rPr>
                    <w:rFonts w:ascii="Times New Roman" w:hAnsi="Times New Roman" w:cs="Times New Roman"/>
                    <w:sz w:val="24"/>
                    <w:szCs w:val="24"/>
                  </w:rPr>
                </w:pPr>
                <w:r w:rsidRPr="00346EF5">
                  <w:rPr>
                    <w:rFonts w:ascii="Times New Roman" w:hAnsi="Times New Roman" w:cs="Times New Roman"/>
                    <w:sz w:val="24"/>
                    <w:szCs w:val="24"/>
                  </w:rPr>
                  <w:t>Loan-to-Deposit Ratio</w:t>
                </w:r>
              </w:p>
            </w:tc>
            <w:tc>
              <w:tcPr>
                <w:tcW w:w="1865" w:type="dxa"/>
                <w:noWrap/>
                <w:hideMark/>
              </w:tcPr>
              <w:p w14:paraId="5733324D" w14:textId="77777777" w:rsidR="00B37AF3" w:rsidRPr="00346EF5" w:rsidRDefault="00B37AF3" w:rsidP="00B37AF3">
                <w:pPr>
                  <w:rPr>
                    <w:rFonts w:ascii="Times New Roman" w:hAnsi="Times New Roman" w:cs="Times New Roman"/>
                    <w:sz w:val="24"/>
                    <w:szCs w:val="24"/>
                  </w:rPr>
                </w:pPr>
                <w:r w:rsidRPr="00346EF5">
                  <w:rPr>
                    <w:rFonts w:ascii="Times New Roman" w:hAnsi="Times New Roman" w:cs="Times New Roman"/>
                    <w:sz w:val="24"/>
                    <w:szCs w:val="24"/>
                  </w:rPr>
                  <w:t>Loans / Customer Deposits</w:t>
                </w:r>
              </w:p>
            </w:tc>
            <w:tc>
              <w:tcPr>
                <w:tcW w:w="2373" w:type="dxa"/>
                <w:noWrap/>
                <w:hideMark/>
              </w:tcPr>
              <w:p w14:paraId="621D8B7D" w14:textId="77777777" w:rsidR="00B37AF3" w:rsidRPr="00346EF5" w:rsidRDefault="00B37AF3" w:rsidP="00B37AF3">
                <w:pPr>
                  <w:rPr>
                    <w:rFonts w:ascii="Times New Roman" w:hAnsi="Times New Roman" w:cs="Times New Roman"/>
                    <w:sz w:val="24"/>
                    <w:szCs w:val="24"/>
                  </w:rPr>
                </w:pPr>
                <w:r w:rsidRPr="00346EF5">
                  <w:rPr>
                    <w:rFonts w:ascii="Times New Roman" w:hAnsi="Times New Roman" w:cs="Times New Roman"/>
                    <w:sz w:val="24"/>
                    <w:szCs w:val="24"/>
                  </w:rPr>
                  <w:t>136,047 ÷ 306,124 = 44.4%</w:t>
                </w:r>
              </w:p>
            </w:tc>
            <w:tc>
              <w:tcPr>
                <w:tcW w:w="2373" w:type="dxa"/>
                <w:noWrap/>
                <w:hideMark/>
              </w:tcPr>
              <w:p w14:paraId="227D1A3F" w14:textId="77777777" w:rsidR="00B37AF3" w:rsidRPr="00346EF5" w:rsidRDefault="00B37AF3" w:rsidP="00B37AF3">
                <w:pPr>
                  <w:rPr>
                    <w:rFonts w:ascii="Times New Roman" w:hAnsi="Times New Roman" w:cs="Times New Roman"/>
                    <w:sz w:val="24"/>
                    <w:szCs w:val="24"/>
                  </w:rPr>
                </w:pPr>
                <w:r w:rsidRPr="00346EF5">
                  <w:rPr>
                    <w:rFonts w:ascii="Times New Roman" w:hAnsi="Times New Roman" w:cs="Times New Roman"/>
                    <w:sz w:val="24"/>
                    <w:szCs w:val="24"/>
                  </w:rPr>
                  <w:t>141,750 ÷ 324,358 = 43.7%</w:t>
                </w:r>
              </w:p>
            </w:tc>
          </w:tr>
          <w:tr w:rsidR="00B37AF3" w:rsidRPr="00346EF5" w14:paraId="263CEEBA" w14:textId="77777777" w:rsidTr="008616A0">
            <w:trPr>
              <w:trHeight w:val="290"/>
            </w:trPr>
            <w:tc>
              <w:tcPr>
                <w:tcW w:w="2405" w:type="dxa"/>
                <w:noWrap/>
                <w:hideMark/>
              </w:tcPr>
              <w:p w14:paraId="13BDCA61" w14:textId="77777777" w:rsidR="00B37AF3" w:rsidRPr="00346EF5" w:rsidRDefault="00B37AF3" w:rsidP="00B37AF3">
                <w:pPr>
                  <w:rPr>
                    <w:rFonts w:ascii="Times New Roman" w:hAnsi="Times New Roman" w:cs="Times New Roman"/>
                    <w:sz w:val="24"/>
                    <w:szCs w:val="24"/>
                  </w:rPr>
                </w:pPr>
                <w:r w:rsidRPr="00346EF5">
                  <w:rPr>
                    <w:rFonts w:ascii="Times New Roman" w:hAnsi="Times New Roman" w:cs="Times New Roman"/>
                    <w:sz w:val="24"/>
                    <w:szCs w:val="24"/>
                  </w:rPr>
                  <w:t>Current Ratio</w:t>
                </w:r>
              </w:p>
            </w:tc>
            <w:tc>
              <w:tcPr>
                <w:tcW w:w="1865" w:type="dxa"/>
                <w:noWrap/>
                <w:hideMark/>
              </w:tcPr>
              <w:p w14:paraId="7309B112" w14:textId="77777777" w:rsidR="00B37AF3" w:rsidRPr="00346EF5" w:rsidRDefault="00B37AF3" w:rsidP="00B37AF3">
                <w:pPr>
                  <w:rPr>
                    <w:rFonts w:ascii="Times New Roman" w:hAnsi="Times New Roman" w:cs="Times New Roman"/>
                    <w:sz w:val="24"/>
                    <w:szCs w:val="24"/>
                  </w:rPr>
                </w:pPr>
                <w:r w:rsidRPr="00346EF5">
                  <w:rPr>
                    <w:rFonts w:ascii="Times New Roman" w:hAnsi="Times New Roman" w:cs="Times New Roman"/>
                    <w:sz w:val="24"/>
                    <w:szCs w:val="24"/>
                  </w:rPr>
                  <w:t>Current Assets / Current Liabilities</w:t>
                </w:r>
              </w:p>
            </w:tc>
            <w:tc>
              <w:tcPr>
                <w:tcW w:w="2373" w:type="dxa"/>
                <w:noWrap/>
                <w:hideMark/>
              </w:tcPr>
              <w:p w14:paraId="55DAE477" w14:textId="77777777" w:rsidR="00B37AF3" w:rsidRPr="00346EF5" w:rsidRDefault="00B37AF3" w:rsidP="00B37AF3">
                <w:pPr>
                  <w:rPr>
                    <w:rFonts w:ascii="Times New Roman" w:hAnsi="Times New Roman" w:cs="Times New Roman"/>
                    <w:sz w:val="24"/>
                    <w:szCs w:val="24"/>
                  </w:rPr>
                </w:pPr>
                <w:r w:rsidRPr="00346EF5">
                  <w:rPr>
                    <w:rFonts w:ascii="Times New Roman" w:hAnsi="Times New Roman" w:cs="Times New Roman"/>
                    <w:sz w:val="24"/>
                    <w:szCs w:val="24"/>
                  </w:rPr>
                  <w:t>180,365 ÷ 13,252 = 13.6</w:t>
                </w:r>
              </w:p>
            </w:tc>
            <w:tc>
              <w:tcPr>
                <w:tcW w:w="2373" w:type="dxa"/>
                <w:noWrap/>
                <w:hideMark/>
              </w:tcPr>
              <w:p w14:paraId="497B9CD8" w14:textId="77777777" w:rsidR="00B37AF3" w:rsidRPr="00346EF5" w:rsidRDefault="00B37AF3" w:rsidP="00B37AF3">
                <w:pPr>
                  <w:rPr>
                    <w:rFonts w:ascii="Times New Roman" w:hAnsi="Times New Roman" w:cs="Times New Roman"/>
                    <w:sz w:val="24"/>
                    <w:szCs w:val="24"/>
                  </w:rPr>
                </w:pPr>
                <w:r w:rsidRPr="00346EF5">
                  <w:rPr>
                    <w:rFonts w:ascii="Times New Roman" w:hAnsi="Times New Roman" w:cs="Times New Roman"/>
                    <w:sz w:val="24"/>
                    <w:szCs w:val="24"/>
                  </w:rPr>
                  <w:t>208,544 ÷ 20,393 = 10.2</w:t>
                </w:r>
              </w:p>
            </w:tc>
          </w:tr>
          <w:tr w:rsidR="00B37AF3" w:rsidRPr="00346EF5" w14:paraId="079DAA24" w14:textId="77777777" w:rsidTr="008616A0">
            <w:trPr>
              <w:trHeight w:val="290"/>
            </w:trPr>
            <w:tc>
              <w:tcPr>
                <w:tcW w:w="2405" w:type="dxa"/>
                <w:noWrap/>
                <w:hideMark/>
              </w:tcPr>
              <w:p w14:paraId="0A9F0A66" w14:textId="77777777" w:rsidR="00B37AF3" w:rsidRPr="00346EF5" w:rsidRDefault="00B37AF3" w:rsidP="00B37AF3">
                <w:pPr>
                  <w:rPr>
                    <w:rFonts w:ascii="Times New Roman" w:hAnsi="Times New Roman" w:cs="Times New Roman"/>
                    <w:sz w:val="24"/>
                    <w:szCs w:val="24"/>
                  </w:rPr>
                </w:pPr>
                <w:r w:rsidRPr="00346EF5">
                  <w:rPr>
                    <w:rFonts w:ascii="Times New Roman" w:hAnsi="Times New Roman" w:cs="Times New Roman"/>
                    <w:sz w:val="24"/>
                    <w:szCs w:val="24"/>
                  </w:rPr>
                  <w:t>Liquidity Coverage Ratio (LCR)</w:t>
                </w:r>
              </w:p>
            </w:tc>
            <w:tc>
              <w:tcPr>
                <w:tcW w:w="1865" w:type="dxa"/>
                <w:noWrap/>
                <w:hideMark/>
              </w:tcPr>
              <w:p w14:paraId="125EA0B5" w14:textId="77777777" w:rsidR="00B37AF3" w:rsidRPr="00346EF5" w:rsidRDefault="00B37AF3" w:rsidP="00B37AF3">
                <w:pPr>
                  <w:rPr>
                    <w:rFonts w:ascii="Times New Roman" w:hAnsi="Times New Roman" w:cs="Times New Roman"/>
                    <w:sz w:val="24"/>
                    <w:szCs w:val="24"/>
                  </w:rPr>
                </w:pPr>
                <w:r w:rsidRPr="00346EF5">
                  <w:rPr>
                    <w:rFonts w:ascii="Times New Roman" w:hAnsi="Times New Roman" w:cs="Times New Roman"/>
                    <w:sz w:val="24"/>
                    <w:szCs w:val="24"/>
                  </w:rPr>
                  <w:t xml:space="preserve">High-Quality Liquid Assets/ </w:t>
                </w:r>
                <w:r w:rsidRPr="00346EF5">
                  <w:rPr>
                    <w:rFonts w:ascii="Times New Roman" w:hAnsi="Times New Roman" w:cs="Times New Roman"/>
                    <w:sz w:val="24"/>
                    <w:szCs w:val="24"/>
                  </w:rPr>
                  <w:lastRenderedPageBreak/>
                  <w:t>Net Cash Outflows</w:t>
                </w:r>
              </w:p>
            </w:tc>
            <w:tc>
              <w:tcPr>
                <w:tcW w:w="2373" w:type="dxa"/>
                <w:noWrap/>
                <w:hideMark/>
              </w:tcPr>
              <w:p w14:paraId="5347F554" w14:textId="77777777" w:rsidR="00B37AF3" w:rsidRPr="00346EF5" w:rsidRDefault="00B37AF3" w:rsidP="00B37AF3">
                <w:pPr>
                  <w:rPr>
                    <w:rFonts w:ascii="Times New Roman" w:hAnsi="Times New Roman" w:cs="Times New Roman"/>
                    <w:sz w:val="24"/>
                    <w:szCs w:val="24"/>
                  </w:rPr>
                </w:pPr>
                <w:r w:rsidRPr="00346EF5">
                  <w:rPr>
                    <w:rFonts w:ascii="Times New Roman" w:hAnsi="Times New Roman" w:cs="Times New Roman"/>
                    <w:sz w:val="24"/>
                    <w:szCs w:val="24"/>
                  </w:rPr>
                  <w:lastRenderedPageBreak/>
                  <w:t>&gt; 100%</w:t>
                </w:r>
              </w:p>
            </w:tc>
            <w:tc>
              <w:tcPr>
                <w:tcW w:w="2373" w:type="dxa"/>
                <w:noWrap/>
                <w:hideMark/>
              </w:tcPr>
              <w:p w14:paraId="0A9B6C7D" w14:textId="77777777" w:rsidR="00B37AF3" w:rsidRPr="00346EF5" w:rsidRDefault="00B37AF3" w:rsidP="00B37AF3">
                <w:pPr>
                  <w:rPr>
                    <w:rFonts w:ascii="Times New Roman" w:hAnsi="Times New Roman" w:cs="Times New Roman"/>
                    <w:sz w:val="24"/>
                    <w:szCs w:val="24"/>
                  </w:rPr>
                </w:pPr>
                <w:r w:rsidRPr="00346EF5">
                  <w:rPr>
                    <w:rFonts w:ascii="Times New Roman" w:hAnsi="Times New Roman" w:cs="Times New Roman"/>
                    <w:sz w:val="24"/>
                    <w:szCs w:val="24"/>
                  </w:rPr>
                  <w:t>&gt; 100%</w:t>
                </w:r>
              </w:p>
            </w:tc>
          </w:tr>
        </w:tbl>
        <w:p w14:paraId="47414E5B" w14:textId="77777777" w:rsidR="007D1947" w:rsidRDefault="007D1947"/>
        <w:p w14:paraId="1B332367" w14:textId="55918343" w:rsidR="00B37AF3" w:rsidRPr="00B37AF3" w:rsidRDefault="00B37AF3" w:rsidP="00B37AF3">
          <w:pPr>
            <w:pStyle w:val="Heading3"/>
            <w:rPr>
              <w:rFonts w:ascii="Times New Roman" w:hAnsi="Times New Roman" w:cs="Times New Roman"/>
              <w:i/>
              <w:iCs/>
              <w:color w:val="auto"/>
            </w:rPr>
          </w:pPr>
          <w:bookmarkStart w:id="26" w:name="_Toc227613590"/>
          <w:r w:rsidRPr="00B37AF3">
            <w:rPr>
              <w:rFonts w:ascii="Times New Roman" w:hAnsi="Times New Roman" w:cs="Times New Roman"/>
              <w:i/>
              <w:iCs/>
              <w:color w:val="auto"/>
            </w:rPr>
            <w:t>6.8.3 Gearing and Capital Structure Ratios.</w:t>
          </w:r>
          <w:bookmarkEnd w:id="26"/>
        </w:p>
        <w:tbl>
          <w:tblPr>
            <w:tblStyle w:val="TableGrid"/>
            <w:tblW w:w="0" w:type="auto"/>
            <w:tblLook w:val="04A0" w:firstRow="1" w:lastRow="0" w:firstColumn="1" w:lastColumn="0" w:noHBand="0" w:noVBand="1"/>
          </w:tblPr>
          <w:tblGrid>
            <w:gridCol w:w="1718"/>
            <w:gridCol w:w="1742"/>
            <w:gridCol w:w="2341"/>
            <w:gridCol w:w="2341"/>
          </w:tblGrid>
          <w:tr w:rsidR="00B37AF3" w:rsidRPr="002C60F9" w14:paraId="7E39AC23" w14:textId="77777777" w:rsidTr="008616A0">
            <w:trPr>
              <w:trHeight w:val="290"/>
            </w:trPr>
            <w:tc>
              <w:tcPr>
                <w:tcW w:w="1718" w:type="dxa"/>
                <w:noWrap/>
                <w:hideMark/>
              </w:tcPr>
              <w:p w14:paraId="13E1EFED" w14:textId="77777777" w:rsidR="00B37AF3" w:rsidRPr="002C60F9" w:rsidRDefault="00B37AF3" w:rsidP="008616A0">
                <w:pPr>
                  <w:rPr>
                    <w:rFonts w:ascii="Times New Roman" w:hAnsi="Times New Roman" w:cs="Times New Roman"/>
                    <w:b/>
                    <w:bCs/>
                    <w:sz w:val="24"/>
                    <w:szCs w:val="24"/>
                  </w:rPr>
                </w:pPr>
                <w:r w:rsidRPr="002C60F9">
                  <w:rPr>
                    <w:rFonts w:ascii="Times New Roman" w:hAnsi="Times New Roman" w:cs="Times New Roman"/>
                    <w:b/>
                    <w:bCs/>
                    <w:sz w:val="24"/>
                    <w:szCs w:val="24"/>
                  </w:rPr>
                  <w:t>Ratio Name</w:t>
                </w:r>
              </w:p>
            </w:tc>
            <w:tc>
              <w:tcPr>
                <w:tcW w:w="1742" w:type="dxa"/>
                <w:noWrap/>
                <w:hideMark/>
              </w:tcPr>
              <w:p w14:paraId="5DBE11D7" w14:textId="77777777" w:rsidR="00B37AF3" w:rsidRPr="002C60F9" w:rsidRDefault="00B37AF3" w:rsidP="008616A0">
                <w:pPr>
                  <w:rPr>
                    <w:rFonts w:ascii="Times New Roman" w:hAnsi="Times New Roman" w:cs="Times New Roman"/>
                    <w:b/>
                    <w:bCs/>
                    <w:sz w:val="24"/>
                    <w:szCs w:val="24"/>
                  </w:rPr>
                </w:pPr>
                <w:r w:rsidRPr="002C60F9">
                  <w:rPr>
                    <w:rFonts w:ascii="Times New Roman" w:hAnsi="Times New Roman" w:cs="Times New Roman"/>
                    <w:b/>
                    <w:bCs/>
                    <w:sz w:val="24"/>
                    <w:szCs w:val="24"/>
                  </w:rPr>
                  <w:t>Formula</w:t>
                </w:r>
              </w:p>
            </w:tc>
            <w:tc>
              <w:tcPr>
                <w:tcW w:w="2341" w:type="dxa"/>
                <w:noWrap/>
                <w:hideMark/>
              </w:tcPr>
              <w:p w14:paraId="5FBF4E87" w14:textId="77777777" w:rsidR="00B37AF3" w:rsidRPr="002C60F9" w:rsidRDefault="00B37AF3" w:rsidP="008616A0">
                <w:pPr>
                  <w:rPr>
                    <w:rFonts w:ascii="Times New Roman" w:hAnsi="Times New Roman" w:cs="Times New Roman"/>
                    <w:b/>
                    <w:bCs/>
                    <w:sz w:val="24"/>
                    <w:szCs w:val="24"/>
                  </w:rPr>
                </w:pPr>
                <w:r w:rsidRPr="002C60F9">
                  <w:rPr>
                    <w:rFonts w:ascii="Times New Roman" w:hAnsi="Times New Roman" w:cs="Times New Roman"/>
                    <w:b/>
                    <w:bCs/>
                    <w:sz w:val="24"/>
                    <w:szCs w:val="24"/>
                  </w:rPr>
                  <w:t>2024 Calculation</w:t>
                </w:r>
              </w:p>
            </w:tc>
            <w:tc>
              <w:tcPr>
                <w:tcW w:w="2341" w:type="dxa"/>
                <w:noWrap/>
                <w:hideMark/>
              </w:tcPr>
              <w:p w14:paraId="493480B0" w14:textId="77777777" w:rsidR="00B37AF3" w:rsidRPr="002C60F9" w:rsidRDefault="00B37AF3" w:rsidP="008616A0">
                <w:pPr>
                  <w:rPr>
                    <w:rFonts w:ascii="Times New Roman" w:hAnsi="Times New Roman" w:cs="Times New Roman"/>
                    <w:b/>
                    <w:bCs/>
                    <w:sz w:val="24"/>
                    <w:szCs w:val="24"/>
                  </w:rPr>
                </w:pPr>
                <w:r w:rsidRPr="002C60F9">
                  <w:rPr>
                    <w:rFonts w:ascii="Times New Roman" w:hAnsi="Times New Roman" w:cs="Times New Roman"/>
                    <w:b/>
                    <w:bCs/>
                    <w:sz w:val="24"/>
                    <w:szCs w:val="24"/>
                  </w:rPr>
                  <w:t>2025 Calculation</w:t>
                </w:r>
              </w:p>
            </w:tc>
          </w:tr>
          <w:tr w:rsidR="00B37AF3" w:rsidRPr="002C60F9" w14:paraId="70C98543" w14:textId="77777777" w:rsidTr="008616A0">
            <w:trPr>
              <w:trHeight w:val="290"/>
            </w:trPr>
            <w:tc>
              <w:tcPr>
                <w:tcW w:w="1718" w:type="dxa"/>
                <w:noWrap/>
                <w:hideMark/>
              </w:tcPr>
              <w:p w14:paraId="058DB082"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Debt-to-Equity</w:t>
                </w:r>
              </w:p>
            </w:tc>
            <w:tc>
              <w:tcPr>
                <w:tcW w:w="1742" w:type="dxa"/>
                <w:noWrap/>
                <w:hideMark/>
              </w:tcPr>
              <w:p w14:paraId="27B90D05"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 xml:space="preserve">Total Liabilities </w:t>
                </w:r>
                <w:r>
                  <w:rPr>
                    <w:rFonts w:ascii="Times New Roman" w:hAnsi="Times New Roman" w:cs="Times New Roman"/>
                    <w:sz w:val="24"/>
                    <w:szCs w:val="24"/>
                  </w:rPr>
                  <w:t xml:space="preserve">/ </w:t>
                </w:r>
                <w:r w:rsidRPr="002C60F9">
                  <w:rPr>
                    <w:rFonts w:ascii="Times New Roman" w:hAnsi="Times New Roman" w:cs="Times New Roman"/>
                    <w:sz w:val="24"/>
                    <w:szCs w:val="24"/>
                  </w:rPr>
                  <w:t>Equity</w:t>
                </w:r>
              </w:p>
            </w:tc>
            <w:tc>
              <w:tcPr>
                <w:tcW w:w="2341" w:type="dxa"/>
                <w:noWrap/>
                <w:hideMark/>
              </w:tcPr>
              <w:p w14:paraId="01354F96"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1,159,304 ÷ 59,220 = 19.6</w:t>
                </w:r>
              </w:p>
            </w:tc>
            <w:tc>
              <w:tcPr>
                <w:tcW w:w="2341" w:type="dxa"/>
                <w:noWrap/>
                <w:hideMark/>
              </w:tcPr>
              <w:p w14:paraId="753AEE01"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1,183,160 ÷ 62,313 = 19.0</w:t>
                </w:r>
              </w:p>
            </w:tc>
          </w:tr>
          <w:tr w:rsidR="00B37AF3" w:rsidRPr="002C60F9" w14:paraId="0CA64422" w14:textId="77777777" w:rsidTr="008616A0">
            <w:trPr>
              <w:trHeight w:val="290"/>
            </w:trPr>
            <w:tc>
              <w:tcPr>
                <w:tcW w:w="1718" w:type="dxa"/>
                <w:noWrap/>
                <w:hideMark/>
              </w:tcPr>
              <w:p w14:paraId="7E0A4C1A"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Tier 1 Capital Ratio</w:t>
                </w:r>
              </w:p>
            </w:tc>
            <w:tc>
              <w:tcPr>
                <w:tcW w:w="1742" w:type="dxa"/>
                <w:noWrap/>
                <w:hideMark/>
              </w:tcPr>
              <w:p w14:paraId="6C168FE2"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CET1</w:t>
                </w:r>
                <w:r>
                  <w:rPr>
                    <w:rFonts w:ascii="Times New Roman" w:hAnsi="Times New Roman" w:cs="Times New Roman"/>
                    <w:sz w:val="24"/>
                    <w:szCs w:val="24"/>
                  </w:rPr>
                  <w:t>/</w:t>
                </w:r>
                <w:r w:rsidRPr="002C60F9">
                  <w:rPr>
                    <w:rFonts w:ascii="Times New Roman" w:hAnsi="Times New Roman" w:cs="Times New Roman"/>
                    <w:sz w:val="24"/>
                    <w:szCs w:val="24"/>
                  </w:rPr>
                  <w:t xml:space="preserve"> Risk-Weighted Assets</w:t>
                </w:r>
              </w:p>
            </w:tc>
            <w:tc>
              <w:tcPr>
                <w:tcW w:w="2341" w:type="dxa"/>
                <w:noWrap/>
                <w:hideMark/>
              </w:tcPr>
              <w:p w14:paraId="389AB67B"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13.8%</w:t>
                </w:r>
              </w:p>
            </w:tc>
            <w:tc>
              <w:tcPr>
                <w:tcW w:w="2341" w:type="dxa"/>
                <w:noWrap/>
                <w:hideMark/>
              </w:tcPr>
              <w:p w14:paraId="22575D62"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14.2%</w:t>
                </w:r>
              </w:p>
            </w:tc>
          </w:tr>
          <w:tr w:rsidR="00B37AF3" w:rsidRPr="002C60F9" w14:paraId="6D63661F" w14:textId="77777777" w:rsidTr="008616A0">
            <w:trPr>
              <w:trHeight w:val="290"/>
            </w:trPr>
            <w:tc>
              <w:tcPr>
                <w:tcW w:w="1718" w:type="dxa"/>
                <w:noWrap/>
                <w:hideMark/>
              </w:tcPr>
              <w:p w14:paraId="6190836C"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Interest Coverage</w:t>
                </w:r>
              </w:p>
            </w:tc>
            <w:tc>
              <w:tcPr>
                <w:tcW w:w="1742" w:type="dxa"/>
                <w:noWrap/>
                <w:hideMark/>
              </w:tcPr>
              <w:p w14:paraId="000EB37C"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EBIT</w:t>
                </w:r>
                <w:r>
                  <w:rPr>
                    <w:rFonts w:ascii="Times New Roman" w:hAnsi="Times New Roman" w:cs="Times New Roman"/>
                    <w:sz w:val="24"/>
                    <w:szCs w:val="24"/>
                  </w:rPr>
                  <w:t xml:space="preserve"> /</w:t>
                </w:r>
                <w:r w:rsidRPr="002C60F9">
                  <w:rPr>
                    <w:rFonts w:ascii="Times New Roman" w:hAnsi="Times New Roman" w:cs="Times New Roman"/>
                    <w:sz w:val="24"/>
                    <w:szCs w:val="24"/>
                  </w:rPr>
                  <w:t xml:space="preserve"> Interest Expense</w:t>
                </w:r>
              </w:p>
            </w:tc>
            <w:tc>
              <w:tcPr>
                <w:tcW w:w="2341" w:type="dxa"/>
                <w:noWrap/>
                <w:hideMark/>
              </w:tcPr>
              <w:p w14:paraId="4F084914"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6,364 ÷ 19,035 = 0.33</w:t>
                </w:r>
              </w:p>
            </w:tc>
            <w:tc>
              <w:tcPr>
                <w:tcW w:w="2341" w:type="dxa"/>
                <w:noWrap/>
                <w:hideMark/>
              </w:tcPr>
              <w:p w14:paraId="0BE8647A"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7,809 ÷ 16,115 = 0.48</w:t>
                </w:r>
              </w:p>
            </w:tc>
          </w:tr>
        </w:tbl>
        <w:p w14:paraId="2F67E6D4" w14:textId="77777777" w:rsidR="007D1947" w:rsidRDefault="007D1947"/>
        <w:p w14:paraId="66D8BC69" w14:textId="38E912CD" w:rsidR="00B37AF3" w:rsidRPr="00B37AF3" w:rsidRDefault="00B37AF3" w:rsidP="00B37AF3">
          <w:pPr>
            <w:pStyle w:val="Heading3"/>
            <w:rPr>
              <w:rFonts w:ascii="Times New Roman" w:hAnsi="Times New Roman" w:cs="Times New Roman"/>
              <w:i/>
              <w:iCs/>
              <w:color w:val="auto"/>
            </w:rPr>
          </w:pPr>
          <w:bookmarkStart w:id="27" w:name="_Toc227613591"/>
          <w:r w:rsidRPr="00B37AF3">
            <w:rPr>
              <w:rFonts w:ascii="Times New Roman" w:hAnsi="Times New Roman" w:cs="Times New Roman"/>
              <w:i/>
              <w:iCs/>
              <w:color w:val="auto"/>
            </w:rPr>
            <w:t>6.8.4 Efficiency Ratios</w:t>
          </w:r>
          <w:bookmarkEnd w:id="27"/>
        </w:p>
        <w:tbl>
          <w:tblPr>
            <w:tblStyle w:val="TableGrid"/>
            <w:tblW w:w="0" w:type="auto"/>
            <w:tblLook w:val="04A0" w:firstRow="1" w:lastRow="0" w:firstColumn="1" w:lastColumn="0" w:noHBand="0" w:noVBand="1"/>
          </w:tblPr>
          <w:tblGrid>
            <w:gridCol w:w="1928"/>
            <w:gridCol w:w="1742"/>
            <w:gridCol w:w="2387"/>
            <w:gridCol w:w="2387"/>
          </w:tblGrid>
          <w:tr w:rsidR="00B37AF3" w:rsidRPr="002C60F9" w14:paraId="1F174AD9" w14:textId="77777777" w:rsidTr="008616A0">
            <w:trPr>
              <w:trHeight w:val="290"/>
            </w:trPr>
            <w:tc>
              <w:tcPr>
                <w:tcW w:w="1928" w:type="dxa"/>
                <w:noWrap/>
                <w:hideMark/>
              </w:tcPr>
              <w:p w14:paraId="23C0F5C4" w14:textId="77777777" w:rsidR="00B37AF3" w:rsidRPr="002C60F9" w:rsidRDefault="00B37AF3" w:rsidP="008616A0">
                <w:pPr>
                  <w:rPr>
                    <w:rFonts w:ascii="Times New Roman" w:hAnsi="Times New Roman" w:cs="Times New Roman"/>
                    <w:b/>
                    <w:bCs/>
                    <w:sz w:val="24"/>
                    <w:szCs w:val="24"/>
                  </w:rPr>
                </w:pPr>
                <w:r w:rsidRPr="002C60F9">
                  <w:rPr>
                    <w:rFonts w:ascii="Times New Roman" w:hAnsi="Times New Roman" w:cs="Times New Roman"/>
                    <w:b/>
                    <w:bCs/>
                    <w:sz w:val="24"/>
                    <w:szCs w:val="24"/>
                  </w:rPr>
                  <w:t>Ratio Name</w:t>
                </w:r>
              </w:p>
            </w:tc>
            <w:tc>
              <w:tcPr>
                <w:tcW w:w="1742" w:type="dxa"/>
                <w:noWrap/>
                <w:hideMark/>
              </w:tcPr>
              <w:p w14:paraId="3CA13014" w14:textId="77777777" w:rsidR="00B37AF3" w:rsidRPr="002C60F9" w:rsidRDefault="00B37AF3" w:rsidP="008616A0">
                <w:pPr>
                  <w:rPr>
                    <w:rFonts w:ascii="Times New Roman" w:hAnsi="Times New Roman" w:cs="Times New Roman"/>
                    <w:b/>
                    <w:bCs/>
                    <w:sz w:val="24"/>
                    <w:szCs w:val="24"/>
                  </w:rPr>
                </w:pPr>
                <w:r w:rsidRPr="002C60F9">
                  <w:rPr>
                    <w:rFonts w:ascii="Times New Roman" w:hAnsi="Times New Roman" w:cs="Times New Roman"/>
                    <w:b/>
                    <w:bCs/>
                    <w:sz w:val="24"/>
                    <w:szCs w:val="24"/>
                  </w:rPr>
                  <w:t>Formula</w:t>
                </w:r>
              </w:p>
            </w:tc>
            <w:tc>
              <w:tcPr>
                <w:tcW w:w="2387" w:type="dxa"/>
                <w:noWrap/>
                <w:hideMark/>
              </w:tcPr>
              <w:p w14:paraId="0EBE3ADF" w14:textId="77777777" w:rsidR="00B37AF3" w:rsidRPr="002C60F9" w:rsidRDefault="00B37AF3" w:rsidP="008616A0">
                <w:pPr>
                  <w:rPr>
                    <w:rFonts w:ascii="Times New Roman" w:hAnsi="Times New Roman" w:cs="Times New Roman"/>
                    <w:b/>
                    <w:bCs/>
                    <w:sz w:val="24"/>
                    <w:szCs w:val="24"/>
                  </w:rPr>
                </w:pPr>
                <w:r w:rsidRPr="002C60F9">
                  <w:rPr>
                    <w:rFonts w:ascii="Times New Roman" w:hAnsi="Times New Roman" w:cs="Times New Roman"/>
                    <w:b/>
                    <w:bCs/>
                    <w:sz w:val="24"/>
                    <w:szCs w:val="24"/>
                  </w:rPr>
                  <w:t>2024 Calculation</w:t>
                </w:r>
              </w:p>
            </w:tc>
            <w:tc>
              <w:tcPr>
                <w:tcW w:w="2387" w:type="dxa"/>
                <w:noWrap/>
                <w:hideMark/>
              </w:tcPr>
              <w:p w14:paraId="32E53B0E" w14:textId="77777777" w:rsidR="00B37AF3" w:rsidRPr="002C60F9" w:rsidRDefault="00B37AF3" w:rsidP="008616A0">
                <w:pPr>
                  <w:rPr>
                    <w:rFonts w:ascii="Times New Roman" w:hAnsi="Times New Roman" w:cs="Times New Roman"/>
                    <w:b/>
                    <w:bCs/>
                    <w:sz w:val="24"/>
                    <w:szCs w:val="24"/>
                  </w:rPr>
                </w:pPr>
                <w:r w:rsidRPr="002C60F9">
                  <w:rPr>
                    <w:rFonts w:ascii="Times New Roman" w:hAnsi="Times New Roman" w:cs="Times New Roman"/>
                    <w:b/>
                    <w:bCs/>
                    <w:sz w:val="24"/>
                    <w:szCs w:val="24"/>
                  </w:rPr>
                  <w:t>2025 Calculation</w:t>
                </w:r>
              </w:p>
            </w:tc>
          </w:tr>
          <w:tr w:rsidR="00B37AF3" w:rsidRPr="002C60F9" w14:paraId="72F92A3A" w14:textId="77777777" w:rsidTr="008616A0">
            <w:trPr>
              <w:trHeight w:val="290"/>
            </w:trPr>
            <w:tc>
              <w:tcPr>
                <w:tcW w:w="1928" w:type="dxa"/>
                <w:noWrap/>
                <w:hideMark/>
              </w:tcPr>
              <w:p w14:paraId="5B9F3A9A"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Cost-to-Income Ratio</w:t>
                </w:r>
              </w:p>
            </w:tc>
            <w:tc>
              <w:tcPr>
                <w:tcW w:w="1742" w:type="dxa"/>
                <w:noWrap/>
                <w:hideMark/>
              </w:tcPr>
              <w:p w14:paraId="069802A3"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Operating Expenses</w:t>
                </w:r>
                <w:r>
                  <w:rPr>
                    <w:rFonts w:ascii="Times New Roman" w:hAnsi="Times New Roman" w:cs="Times New Roman"/>
                    <w:sz w:val="24"/>
                    <w:szCs w:val="24"/>
                  </w:rPr>
                  <w:t xml:space="preserve"> /</w:t>
                </w:r>
                <w:r w:rsidRPr="002C60F9">
                  <w:rPr>
                    <w:rFonts w:ascii="Times New Roman" w:hAnsi="Times New Roman" w:cs="Times New Roman"/>
                    <w:sz w:val="24"/>
                    <w:szCs w:val="24"/>
                  </w:rPr>
                  <w:t xml:space="preserve"> Total Income</w:t>
                </w:r>
              </w:p>
            </w:tc>
            <w:tc>
              <w:tcPr>
                <w:tcW w:w="2387" w:type="dxa"/>
                <w:noWrap/>
                <w:hideMark/>
              </w:tcPr>
              <w:p w14:paraId="10A9CEC8"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12,673 ÷ 19,037 = 66.6%</w:t>
                </w:r>
              </w:p>
            </w:tc>
            <w:tc>
              <w:tcPr>
                <w:tcW w:w="2387" w:type="dxa"/>
                <w:noWrap/>
                <w:hideMark/>
              </w:tcPr>
              <w:p w14:paraId="5D6E7E89"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13,105 ÷ 20,927 = 62.6%</w:t>
                </w:r>
              </w:p>
            </w:tc>
          </w:tr>
          <w:tr w:rsidR="00B37AF3" w:rsidRPr="002C60F9" w14:paraId="386BA65B" w14:textId="77777777" w:rsidTr="008616A0">
            <w:trPr>
              <w:trHeight w:val="290"/>
            </w:trPr>
            <w:tc>
              <w:tcPr>
                <w:tcW w:w="1928" w:type="dxa"/>
                <w:noWrap/>
                <w:hideMark/>
              </w:tcPr>
              <w:p w14:paraId="5BD5F8D1"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Asset Turnover</w:t>
                </w:r>
              </w:p>
            </w:tc>
            <w:tc>
              <w:tcPr>
                <w:tcW w:w="1742" w:type="dxa"/>
                <w:noWrap/>
                <w:hideMark/>
              </w:tcPr>
              <w:p w14:paraId="3AB74C9B"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Total Income</w:t>
                </w:r>
                <w:r>
                  <w:rPr>
                    <w:rFonts w:ascii="Times New Roman" w:hAnsi="Times New Roman" w:cs="Times New Roman"/>
                    <w:sz w:val="24"/>
                    <w:szCs w:val="24"/>
                  </w:rPr>
                  <w:t xml:space="preserve">/ </w:t>
                </w:r>
                <w:r w:rsidRPr="002C60F9">
                  <w:rPr>
                    <w:rFonts w:ascii="Times New Roman" w:hAnsi="Times New Roman" w:cs="Times New Roman"/>
                    <w:sz w:val="24"/>
                    <w:szCs w:val="24"/>
                  </w:rPr>
                  <w:t>Total Assets</w:t>
                </w:r>
              </w:p>
            </w:tc>
            <w:tc>
              <w:tcPr>
                <w:tcW w:w="2387" w:type="dxa"/>
                <w:noWrap/>
                <w:hideMark/>
              </w:tcPr>
              <w:p w14:paraId="2502B89E"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19,037 ÷ 1,218,524 = 1.6%</w:t>
                </w:r>
              </w:p>
            </w:tc>
            <w:tc>
              <w:tcPr>
                <w:tcW w:w="2387" w:type="dxa"/>
                <w:noWrap/>
                <w:hideMark/>
              </w:tcPr>
              <w:p w14:paraId="747144DC"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20,927 ÷ 1,245,473 = 1.7%</w:t>
                </w:r>
              </w:p>
            </w:tc>
          </w:tr>
          <w:tr w:rsidR="00B37AF3" w:rsidRPr="002C60F9" w14:paraId="0FB1690A" w14:textId="77777777" w:rsidTr="008616A0">
            <w:trPr>
              <w:trHeight w:val="290"/>
            </w:trPr>
            <w:tc>
              <w:tcPr>
                <w:tcW w:w="1928" w:type="dxa"/>
                <w:noWrap/>
                <w:hideMark/>
              </w:tcPr>
              <w:p w14:paraId="14D9C368"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Staff Cost Ratio</w:t>
                </w:r>
              </w:p>
            </w:tc>
            <w:tc>
              <w:tcPr>
                <w:tcW w:w="1742" w:type="dxa"/>
                <w:noWrap/>
                <w:hideMark/>
              </w:tcPr>
              <w:p w14:paraId="012A382A"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Staff Costs</w:t>
                </w:r>
                <w:r>
                  <w:rPr>
                    <w:rFonts w:ascii="Times New Roman" w:hAnsi="Times New Roman" w:cs="Times New Roman"/>
                    <w:sz w:val="24"/>
                    <w:szCs w:val="24"/>
                  </w:rPr>
                  <w:t xml:space="preserve"> /</w:t>
                </w:r>
                <w:r w:rsidRPr="002C60F9">
                  <w:rPr>
                    <w:rFonts w:ascii="Times New Roman" w:hAnsi="Times New Roman" w:cs="Times New Roman"/>
                    <w:sz w:val="24"/>
                    <w:szCs w:val="24"/>
                  </w:rPr>
                  <w:t xml:space="preserve"> Operating Expenses</w:t>
                </w:r>
              </w:p>
            </w:tc>
            <w:tc>
              <w:tcPr>
                <w:tcW w:w="2387" w:type="dxa"/>
                <w:noWrap/>
                <w:hideMark/>
              </w:tcPr>
              <w:p w14:paraId="4BB94C65"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5,556 ÷ 12,673 = 43.8%</w:t>
                </w:r>
              </w:p>
            </w:tc>
            <w:tc>
              <w:tcPr>
                <w:tcW w:w="2387" w:type="dxa"/>
                <w:noWrap/>
                <w:hideMark/>
              </w:tcPr>
              <w:p w14:paraId="1EB48DD2"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5,585 ÷ 13,105 = 42.6%</w:t>
                </w:r>
              </w:p>
            </w:tc>
          </w:tr>
        </w:tbl>
        <w:p w14:paraId="24175D81" w14:textId="77777777" w:rsidR="00B37AF3" w:rsidRDefault="00B37AF3" w:rsidP="00B37AF3"/>
        <w:p w14:paraId="69F461F9" w14:textId="67282587" w:rsidR="00B37AF3" w:rsidRPr="00B37AF3" w:rsidRDefault="00B37AF3" w:rsidP="00B37AF3">
          <w:pPr>
            <w:pStyle w:val="Heading3"/>
            <w:rPr>
              <w:rFonts w:ascii="Times New Roman" w:hAnsi="Times New Roman" w:cs="Times New Roman"/>
              <w:i/>
              <w:iCs/>
              <w:color w:val="auto"/>
            </w:rPr>
          </w:pPr>
          <w:bookmarkStart w:id="28" w:name="_Toc227613592"/>
          <w:r w:rsidRPr="00B37AF3">
            <w:rPr>
              <w:rFonts w:ascii="Times New Roman" w:hAnsi="Times New Roman" w:cs="Times New Roman"/>
              <w:i/>
              <w:iCs/>
              <w:color w:val="auto"/>
            </w:rPr>
            <w:t>6.8.5 Investor Ratios</w:t>
          </w:r>
          <w:bookmarkEnd w:id="28"/>
        </w:p>
        <w:tbl>
          <w:tblPr>
            <w:tblStyle w:val="TableGrid"/>
            <w:tblW w:w="0" w:type="auto"/>
            <w:tblLook w:val="04A0" w:firstRow="1" w:lastRow="0" w:firstColumn="1" w:lastColumn="0" w:noHBand="0" w:noVBand="1"/>
          </w:tblPr>
          <w:tblGrid>
            <w:gridCol w:w="2563"/>
            <w:gridCol w:w="1417"/>
            <w:gridCol w:w="2128"/>
            <w:gridCol w:w="2128"/>
          </w:tblGrid>
          <w:tr w:rsidR="00B37AF3" w:rsidRPr="002C60F9" w14:paraId="73BC41F8" w14:textId="77777777" w:rsidTr="008616A0">
            <w:trPr>
              <w:trHeight w:val="290"/>
            </w:trPr>
            <w:tc>
              <w:tcPr>
                <w:tcW w:w="2563" w:type="dxa"/>
                <w:noWrap/>
                <w:hideMark/>
              </w:tcPr>
              <w:p w14:paraId="5F5F8843" w14:textId="77777777" w:rsidR="00B37AF3" w:rsidRPr="002C60F9" w:rsidRDefault="00B37AF3" w:rsidP="008616A0">
                <w:pPr>
                  <w:rPr>
                    <w:rFonts w:ascii="Times New Roman" w:hAnsi="Times New Roman" w:cs="Times New Roman"/>
                    <w:b/>
                    <w:bCs/>
                    <w:sz w:val="24"/>
                    <w:szCs w:val="24"/>
                  </w:rPr>
                </w:pPr>
                <w:r w:rsidRPr="002C60F9">
                  <w:rPr>
                    <w:rFonts w:ascii="Times New Roman" w:hAnsi="Times New Roman" w:cs="Times New Roman"/>
                    <w:b/>
                    <w:bCs/>
                    <w:sz w:val="24"/>
                    <w:szCs w:val="24"/>
                  </w:rPr>
                  <w:t>Ratio Name</w:t>
                </w:r>
              </w:p>
            </w:tc>
            <w:tc>
              <w:tcPr>
                <w:tcW w:w="1417" w:type="dxa"/>
                <w:noWrap/>
                <w:hideMark/>
              </w:tcPr>
              <w:p w14:paraId="6EFB6760" w14:textId="77777777" w:rsidR="00B37AF3" w:rsidRPr="002C60F9" w:rsidRDefault="00B37AF3" w:rsidP="008616A0">
                <w:pPr>
                  <w:rPr>
                    <w:rFonts w:ascii="Times New Roman" w:hAnsi="Times New Roman" w:cs="Times New Roman"/>
                    <w:b/>
                    <w:bCs/>
                    <w:sz w:val="24"/>
                    <w:szCs w:val="24"/>
                  </w:rPr>
                </w:pPr>
                <w:r w:rsidRPr="002C60F9">
                  <w:rPr>
                    <w:rFonts w:ascii="Times New Roman" w:hAnsi="Times New Roman" w:cs="Times New Roman"/>
                    <w:b/>
                    <w:bCs/>
                    <w:sz w:val="24"/>
                    <w:szCs w:val="24"/>
                  </w:rPr>
                  <w:t>Formula</w:t>
                </w:r>
              </w:p>
            </w:tc>
            <w:tc>
              <w:tcPr>
                <w:tcW w:w="2128" w:type="dxa"/>
                <w:noWrap/>
                <w:hideMark/>
              </w:tcPr>
              <w:p w14:paraId="3DB9C370" w14:textId="77777777" w:rsidR="00B37AF3" w:rsidRPr="002C60F9" w:rsidRDefault="00B37AF3" w:rsidP="008616A0">
                <w:pPr>
                  <w:rPr>
                    <w:rFonts w:ascii="Times New Roman" w:hAnsi="Times New Roman" w:cs="Times New Roman"/>
                    <w:b/>
                    <w:bCs/>
                    <w:sz w:val="24"/>
                    <w:szCs w:val="24"/>
                  </w:rPr>
                </w:pPr>
                <w:r w:rsidRPr="002C60F9">
                  <w:rPr>
                    <w:rFonts w:ascii="Times New Roman" w:hAnsi="Times New Roman" w:cs="Times New Roman"/>
                    <w:b/>
                    <w:bCs/>
                    <w:sz w:val="24"/>
                    <w:szCs w:val="24"/>
                  </w:rPr>
                  <w:t>2024 Calculation</w:t>
                </w:r>
              </w:p>
            </w:tc>
            <w:tc>
              <w:tcPr>
                <w:tcW w:w="2128" w:type="dxa"/>
                <w:noWrap/>
                <w:hideMark/>
              </w:tcPr>
              <w:p w14:paraId="1A8B7961" w14:textId="77777777" w:rsidR="00B37AF3" w:rsidRPr="002C60F9" w:rsidRDefault="00B37AF3" w:rsidP="008616A0">
                <w:pPr>
                  <w:rPr>
                    <w:rFonts w:ascii="Times New Roman" w:hAnsi="Times New Roman" w:cs="Times New Roman"/>
                    <w:b/>
                    <w:bCs/>
                    <w:sz w:val="24"/>
                    <w:szCs w:val="24"/>
                  </w:rPr>
                </w:pPr>
                <w:r w:rsidRPr="002C60F9">
                  <w:rPr>
                    <w:rFonts w:ascii="Times New Roman" w:hAnsi="Times New Roman" w:cs="Times New Roman"/>
                    <w:b/>
                    <w:bCs/>
                    <w:sz w:val="24"/>
                    <w:szCs w:val="24"/>
                  </w:rPr>
                  <w:t>2025 Calculation</w:t>
                </w:r>
              </w:p>
            </w:tc>
          </w:tr>
          <w:tr w:rsidR="00B37AF3" w:rsidRPr="002C60F9" w14:paraId="5A756666" w14:textId="77777777" w:rsidTr="008616A0">
            <w:trPr>
              <w:trHeight w:val="290"/>
            </w:trPr>
            <w:tc>
              <w:tcPr>
                <w:tcW w:w="2563" w:type="dxa"/>
                <w:noWrap/>
                <w:hideMark/>
              </w:tcPr>
              <w:p w14:paraId="183BCF17"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Earnings Per Share (EPS)</w:t>
                </w:r>
              </w:p>
            </w:tc>
            <w:tc>
              <w:tcPr>
                <w:tcW w:w="1417" w:type="dxa"/>
                <w:noWrap/>
                <w:hideMark/>
              </w:tcPr>
              <w:p w14:paraId="498472E8"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Profit Attributable / Shares</w:t>
                </w:r>
              </w:p>
            </w:tc>
            <w:tc>
              <w:tcPr>
                <w:tcW w:w="2128" w:type="dxa"/>
                <w:noWrap/>
                <w:hideMark/>
              </w:tcPr>
              <w:p w14:paraId="7939080B"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 xml:space="preserve">2,956 ÷ 8,000m </w:t>
                </w:r>
                <w:r>
                  <w:rPr>
                    <w:rFonts w:ascii="Times New Roman" w:hAnsi="Times New Roman" w:cs="Times New Roman"/>
                    <w:sz w:val="24"/>
                    <w:szCs w:val="24"/>
                  </w:rPr>
                  <w:t>=</w:t>
                </w:r>
                <w:r w:rsidRPr="002C60F9">
                  <w:rPr>
                    <w:rFonts w:ascii="Times New Roman" w:hAnsi="Times New Roman" w:cs="Times New Roman"/>
                    <w:sz w:val="24"/>
                    <w:szCs w:val="24"/>
                  </w:rPr>
                  <w:t xml:space="preserve"> £0.37</w:t>
                </w:r>
              </w:p>
            </w:tc>
            <w:tc>
              <w:tcPr>
                <w:tcW w:w="2128" w:type="dxa"/>
                <w:noWrap/>
                <w:hideMark/>
              </w:tcPr>
              <w:p w14:paraId="1BF67F11"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3,875 ÷ 8,000m = £0.48</w:t>
                </w:r>
              </w:p>
            </w:tc>
          </w:tr>
          <w:tr w:rsidR="00B37AF3" w:rsidRPr="002C60F9" w14:paraId="68FBBEAC" w14:textId="77777777" w:rsidTr="008616A0">
            <w:trPr>
              <w:trHeight w:val="290"/>
            </w:trPr>
            <w:tc>
              <w:tcPr>
                <w:tcW w:w="2563" w:type="dxa"/>
                <w:noWrap/>
                <w:hideMark/>
              </w:tcPr>
              <w:p w14:paraId="64E62BDF"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Dividend Yield</w:t>
                </w:r>
              </w:p>
            </w:tc>
            <w:tc>
              <w:tcPr>
                <w:tcW w:w="1417" w:type="dxa"/>
                <w:noWrap/>
                <w:hideMark/>
              </w:tcPr>
              <w:p w14:paraId="6D2DFB87"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Dividend / Share Price</w:t>
                </w:r>
              </w:p>
            </w:tc>
            <w:tc>
              <w:tcPr>
                <w:tcW w:w="2128" w:type="dxa"/>
                <w:noWrap/>
                <w:hideMark/>
              </w:tcPr>
              <w:p w14:paraId="18174B01"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0.08 ÷ 6.0 = 1.3%</w:t>
                </w:r>
              </w:p>
            </w:tc>
            <w:tc>
              <w:tcPr>
                <w:tcW w:w="2128" w:type="dxa"/>
                <w:noWrap/>
                <w:hideMark/>
              </w:tcPr>
              <w:p w14:paraId="50A51AA3"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0.09 ÷ 6.5 = 1.4%</w:t>
                </w:r>
              </w:p>
            </w:tc>
          </w:tr>
          <w:tr w:rsidR="00B37AF3" w:rsidRPr="002C60F9" w14:paraId="75C628F2" w14:textId="77777777" w:rsidTr="008616A0">
            <w:trPr>
              <w:trHeight w:val="290"/>
            </w:trPr>
            <w:tc>
              <w:tcPr>
                <w:tcW w:w="2563" w:type="dxa"/>
                <w:noWrap/>
                <w:hideMark/>
              </w:tcPr>
              <w:p w14:paraId="1CCEB610"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Price-to-Earnings (P/E) Ratio</w:t>
                </w:r>
              </w:p>
            </w:tc>
            <w:tc>
              <w:tcPr>
                <w:tcW w:w="1417" w:type="dxa"/>
                <w:noWrap/>
                <w:hideMark/>
              </w:tcPr>
              <w:p w14:paraId="412B34AA"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Share Price/ EPS</w:t>
                </w:r>
              </w:p>
            </w:tc>
            <w:tc>
              <w:tcPr>
                <w:tcW w:w="2128" w:type="dxa"/>
                <w:noWrap/>
                <w:hideMark/>
              </w:tcPr>
              <w:p w14:paraId="31904815"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6.0 ÷ 0.37 = 16.2x</w:t>
                </w:r>
              </w:p>
            </w:tc>
            <w:tc>
              <w:tcPr>
                <w:tcW w:w="2128" w:type="dxa"/>
                <w:noWrap/>
                <w:hideMark/>
              </w:tcPr>
              <w:p w14:paraId="072A1DCE" w14:textId="77777777" w:rsidR="00B37AF3" w:rsidRPr="002C60F9" w:rsidRDefault="00B37AF3" w:rsidP="008616A0">
                <w:pPr>
                  <w:rPr>
                    <w:rFonts w:ascii="Times New Roman" w:hAnsi="Times New Roman" w:cs="Times New Roman"/>
                    <w:sz w:val="24"/>
                    <w:szCs w:val="24"/>
                  </w:rPr>
                </w:pPr>
                <w:r w:rsidRPr="002C60F9">
                  <w:rPr>
                    <w:rFonts w:ascii="Times New Roman" w:hAnsi="Times New Roman" w:cs="Times New Roman"/>
                    <w:sz w:val="24"/>
                    <w:szCs w:val="24"/>
                  </w:rPr>
                  <w:t>6.5 ÷ 0.48 = 13.5x</w:t>
                </w:r>
              </w:p>
            </w:tc>
          </w:tr>
        </w:tbl>
        <w:p w14:paraId="21D0F861" w14:textId="77777777" w:rsidR="007D1947" w:rsidRDefault="007D1947"/>
        <w:p w14:paraId="68D56007" w14:textId="25DC41A4" w:rsidR="007D1947" w:rsidRDefault="007D1947"/>
        <w:p w14:paraId="0DCF0194" w14:textId="70600FC3" w:rsidR="00084E65" w:rsidRDefault="00084E65"/>
        <w:p w14:paraId="30499783" w14:textId="1246572E" w:rsidR="00084E65" w:rsidRDefault="00084E65"/>
        <w:p w14:paraId="2F8B4A57" w14:textId="0DAFC227" w:rsidR="00084E65" w:rsidRDefault="00084E65"/>
        <w:p w14:paraId="2AB7FDC7" w14:textId="6F8F8A31" w:rsidR="00084E65" w:rsidRDefault="00084E65"/>
        <w:p w14:paraId="70B55DE7" w14:textId="77777777" w:rsidR="00084E65" w:rsidRDefault="00084E65"/>
        <w:p w14:paraId="5CD1CE9F" w14:textId="77777777" w:rsidR="007D1947" w:rsidRDefault="007D1947"/>
        <w:p w14:paraId="655F29CA" w14:textId="77F48104" w:rsidR="007D1947" w:rsidRDefault="00000000"/>
      </w:sdtContent>
    </w:sdt>
    <w:p w14:paraId="1F4145EA" w14:textId="0F01F6AC" w:rsidR="00CF0E48" w:rsidRDefault="00CF0E48" w:rsidP="00CF0E48">
      <w:pPr>
        <w:pStyle w:val="Heading1"/>
      </w:pPr>
    </w:p>
    <w:sectPr w:rsidR="00CF0E48" w:rsidSect="007D1947">
      <w:footerReference w:type="default" r:id="rId5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21DCF2" w14:textId="77777777" w:rsidR="00A52D27" w:rsidRDefault="00A52D27" w:rsidP="00F33B24">
      <w:pPr>
        <w:spacing w:after="0" w:line="240" w:lineRule="auto"/>
      </w:pPr>
      <w:r>
        <w:separator/>
      </w:r>
    </w:p>
  </w:endnote>
  <w:endnote w:type="continuationSeparator" w:id="0">
    <w:p w14:paraId="697123E4" w14:textId="77777777" w:rsidR="00A52D27" w:rsidRDefault="00A52D27" w:rsidP="00F33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5088306"/>
      <w:docPartObj>
        <w:docPartGallery w:val="Page Numbers (Bottom of Page)"/>
        <w:docPartUnique/>
      </w:docPartObj>
    </w:sdtPr>
    <w:sdtEndPr>
      <w:rPr>
        <w:noProof/>
      </w:rPr>
    </w:sdtEndPr>
    <w:sdtContent>
      <w:p w14:paraId="4C366E65" w14:textId="31925501" w:rsidR="00F33B24" w:rsidRDefault="00F33B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7ED3F4" w14:textId="77777777" w:rsidR="00F33B24" w:rsidRDefault="00F33B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73334C" w14:textId="77777777" w:rsidR="00A52D27" w:rsidRDefault="00A52D27" w:rsidP="00F33B24">
      <w:pPr>
        <w:spacing w:after="0" w:line="240" w:lineRule="auto"/>
      </w:pPr>
      <w:r>
        <w:separator/>
      </w:r>
    </w:p>
  </w:footnote>
  <w:footnote w:type="continuationSeparator" w:id="0">
    <w:p w14:paraId="2CE8A0DC" w14:textId="77777777" w:rsidR="00A52D27" w:rsidRDefault="00A52D27" w:rsidP="00F33B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B37E1C"/>
    <w:multiLevelType w:val="hybridMultilevel"/>
    <w:tmpl w:val="990846A2"/>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num w:numId="1" w16cid:durableId="17687692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84E65"/>
    <w:rsid w:val="00107936"/>
    <w:rsid w:val="00115B96"/>
    <w:rsid w:val="002D4A19"/>
    <w:rsid w:val="00324CCD"/>
    <w:rsid w:val="003C11E7"/>
    <w:rsid w:val="00480872"/>
    <w:rsid w:val="004A11F6"/>
    <w:rsid w:val="004D519C"/>
    <w:rsid w:val="0062698F"/>
    <w:rsid w:val="006C5668"/>
    <w:rsid w:val="00751460"/>
    <w:rsid w:val="007D1947"/>
    <w:rsid w:val="008D6CAE"/>
    <w:rsid w:val="00931CAA"/>
    <w:rsid w:val="009F6C63"/>
    <w:rsid w:val="00A11633"/>
    <w:rsid w:val="00A12B58"/>
    <w:rsid w:val="00A52D27"/>
    <w:rsid w:val="00AA2A91"/>
    <w:rsid w:val="00AB664F"/>
    <w:rsid w:val="00B37AF3"/>
    <w:rsid w:val="00C06376"/>
    <w:rsid w:val="00CA09F3"/>
    <w:rsid w:val="00CF0E48"/>
    <w:rsid w:val="00CF190B"/>
    <w:rsid w:val="00D67CAD"/>
    <w:rsid w:val="00D854A5"/>
    <w:rsid w:val="00E070D6"/>
    <w:rsid w:val="00ED20BA"/>
    <w:rsid w:val="00F33B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5146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751460"/>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751460"/>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7514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14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14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14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F33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B24"/>
  </w:style>
  <w:style w:type="paragraph" w:styleId="Footer">
    <w:name w:val="footer"/>
    <w:basedOn w:val="Normal"/>
    <w:link w:val="FooterChar"/>
    <w:uiPriority w:val="99"/>
    <w:unhideWhenUsed/>
    <w:rsid w:val="00F33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B24"/>
  </w:style>
  <w:style w:type="character" w:customStyle="1" w:styleId="Heading3Char">
    <w:name w:val="Heading 3 Char"/>
    <w:basedOn w:val="DefaultParagraphFont"/>
    <w:link w:val="Heading3"/>
    <w:uiPriority w:val="9"/>
    <w:rsid w:val="00751460"/>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751460"/>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751460"/>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7514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14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14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1460"/>
    <w:rPr>
      <w:rFonts w:eastAsiaTheme="majorEastAsia" w:cstheme="majorBidi"/>
      <w:color w:val="272727" w:themeColor="text1" w:themeTint="D8"/>
    </w:rPr>
  </w:style>
  <w:style w:type="paragraph" w:styleId="Title">
    <w:name w:val="Title"/>
    <w:basedOn w:val="Normal"/>
    <w:next w:val="Normal"/>
    <w:link w:val="TitleChar"/>
    <w:uiPriority w:val="10"/>
    <w:qFormat/>
    <w:rsid w:val="007514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14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14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14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1460"/>
    <w:pPr>
      <w:spacing w:before="160"/>
      <w:jc w:val="center"/>
    </w:pPr>
    <w:rPr>
      <w:i/>
      <w:iCs/>
      <w:color w:val="404040" w:themeColor="text1" w:themeTint="BF"/>
    </w:rPr>
  </w:style>
  <w:style w:type="character" w:customStyle="1" w:styleId="QuoteChar">
    <w:name w:val="Quote Char"/>
    <w:basedOn w:val="DefaultParagraphFont"/>
    <w:link w:val="Quote"/>
    <w:uiPriority w:val="29"/>
    <w:rsid w:val="00751460"/>
    <w:rPr>
      <w:i/>
      <w:iCs/>
      <w:color w:val="404040" w:themeColor="text1" w:themeTint="BF"/>
    </w:rPr>
  </w:style>
  <w:style w:type="paragraph" w:styleId="ListParagraph">
    <w:name w:val="List Paragraph"/>
    <w:basedOn w:val="Normal"/>
    <w:uiPriority w:val="34"/>
    <w:qFormat/>
    <w:rsid w:val="00751460"/>
    <w:pPr>
      <w:ind w:left="720"/>
      <w:contextualSpacing/>
    </w:pPr>
  </w:style>
  <w:style w:type="character" w:styleId="IntenseEmphasis">
    <w:name w:val="Intense Emphasis"/>
    <w:basedOn w:val="DefaultParagraphFont"/>
    <w:uiPriority w:val="21"/>
    <w:qFormat/>
    <w:rsid w:val="00751460"/>
    <w:rPr>
      <w:i/>
      <w:iCs/>
      <w:color w:val="2E74B5" w:themeColor="accent1" w:themeShade="BF"/>
    </w:rPr>
  </w:style>
  <w:style w:type="paragraph" w:styleId="IntenseQuote">
    <w:name w:val="Intense Quote"/>
    <w:basedOn w:val="Normal"/>
    <w:next w:val="Normal"/>
    <w:link w:val="IntenseQuoteChar"/>
    <w:uiPriority w:val="30"/>
    <w:qFormat/>
    <w:rsid w:val="00751460"/>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751460"/>
    <w:rPr>
      <w:i/>
      <w:iCs/>
      <w:color w:val="2E74B5" w:themeColor="accent1" w:themeShade="BF"/>
    </w:rPr>
  </w:style>
  <w:style w:type="character" w:styleId="IntenseReference">
    <w:name w:val="Intense Reference"/>
    <w:basedOn w:val="DefaultParagraphFont"/>
    <w:uiPriority w:val="32"/>
    <w:qFormat/>
    <w:rsid w:val="00751460"/>
    <w:rPr>
      <w:b/>
      <w:bCs/>
      <w:smallCaps/>
      <w:color w:val="2E74B5" w:themeColor="accent1" w:themeShade="BF"/>
      <w:spacing w:val="5"/>
    </w:rPr>
  </w:style>
  <w:style w:type="table" w:styleId="TableGrid">
    <w:name w:val="Table Grid"/>
    <w:basedOn w:val="TableNormal"/>
    <w:uiPriority w:val="39"/>
    <w:rsid w:val="007514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51460"/>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751460"/>
    <w:rPr>
      <w:color w:val="605E5C"/>
      <w:shd w:val="clear" w:color="auto" w:fill="E1DFDD"/>
    </w:rPr>
  </w:style>
  <w:style w:type="paragraph" w:styleId="TOC3">
    <w:name w:val="toc 3"/>
    <w:basedOn w:val="Normal"/>
    <w:next w:val="Normal"/>
    <w:autoRedefine/>
    <w:uiPriority w:val="39"/>
    <w:unhideWhenUsed/>
    <w:rsid w:val="00751460"/>
    <w:pPr>
      <w:spacing w:after="100"/>
      <w:ind w:left="440"/>
    </w:pPr>
  </w:style>
  <w:style w:type="paragraph" w:styleId="TableofFigures">
    <w:name w:val="table of figures"/>
    <w:basedOn w:val="Normal"/>
    <w:next w:val="Normal"/>
    <w:uiPriority w:val="99"/>
    <w:unhideWhenUsed/>
    <w:rsid w:val="00751460"/>
    <w:pPr>
      <w:spacing w:after="0"/>
    </w:pPr>
  </w:style>
  <w:style w:type="paragraph" w:styleId="NormalWeb">
    <w:name w:val="Normal (Web)"/>
    <w:basedOn w:val="Normal"/>
    <w:uiPriority w:val="99"/>
    <w:unhideWhenUsed/>
    <w:rsid w:val="009F6C63"/>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ome.barclays/content/dam/home-barclays/documents/investor-relations/reports-and-events/annual-reports/2025/Barclays-Bank-PLC-Annual-Report-2025.pdf" TargetMode="External"/><Relationship Id="rId18" Type="http://schemas.openxmlformats.org/officeDocument/2006/relationships/hyperlink" Target="https://doi.org/10.2139/ssrn.3397285" TargetMode="External"/><Relationship Id="rId26" Type="http://schemas.openxmlformats.org/officeDocument/2006/relationships/hyperlink" Target="https://doi.org/10.1109/tits.2024.3404923" TargetMode="External"/><Relationship Id="rId39" Type="http://schemas.openxmlformats.org/officeDocument/2006/relationships/hyperlink" Target="https://doi.org/10.1080/20430795.2021.1978919" TargetMode="External"/><Relationship Id="rId21" Type="http://schemas.openxmlformats.org/officeDocument/2006/relationships/hyperlink" Target="https://doi.org/10.1111/beer.12681" TargetMode="External"/><Relationship Id="rId34" Type="http://schemas.openxmlformats.org/officeDocument/2006/relationships/hyperlink" Target="http://hdl.handle.net/11531/88404" TargetMode="External"/><Relationship Id="rId42" Type="http://schemas.openxmlformats.org/officeDocument/2006/relationships/hyperlink" Target="https://doi.org/10.4324/9780429316746-9" TargetMode="External"/><Relationship Id="rId47" Type="http://schemas.openxmlformats.org/officeDocument/2006/relationships/hyperlink" Target="https://www.mheducation.com/unitas/highered/changes/saunders-financial-institutions-management-10e.pdf" TargetMode="External"/><Relationship Id="rId50" Type="http://schemas.openxmlformats.org/officeDocument/2006/relationships/hyperlink" Target="https://doi.org/10.2139/ssrn.5948035" TargetMode="External"/><Relationship Id="rId55" Type="http://schemas.openxmlformats.org/officeDocument/2006/relationships/hyperlink" Target="https://doi.org/10.1007/978-981-19-2336-4_7"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doi.org/10.2139/ssrn.1560038" TargetMode="External"/><Relationship Id="rId29" Type="http://schemas.openxmlformats.org/officeDocument/2006/relationships/hyperlink" Target="https://doi.org/10.2139/ssrn.5260002" TargetMode="External"/><Relationship Id="rId11" Type="http://schemas.openxmlformats.org/officeDocument/2006/relationships/hyperlink" Target="https://www.socialsignsreivew.com/index.php/12/article/view/316" TargetMode="External"/><Relationship Id="rId24" Type="http://schemas.openxmlformats.org/officeDocument/2006/relationships/hyperlink" Target="https://doi.org/10.1177/23197145251414575" TargetMode="External"/><Relationship Id="rId32" Type="http://schemas.openxmlformats.org/officeDocument/2006/relationships/hyperlink" Target="https://eaj.ebujournals.lu/index.php/EAJ/article/view/88" TargetMode="External"/><Relationship Id="rId37" Type="http://schemas.openxmlformats.org/officeDocument/2006/relationships/hyperlink" Target="https://doi.org/10.1016/j.heliyon.2023.e20974" TargetMode="External"/><Relationship Id="rId40" Type="http://schemas.openxmlformats.org/officeDocument/2006/relationships/hyperlink" Target="https://doi.org/10.3390/ijfs10030057" TargetMode="External"/><Relationship Id="rId45" Type="http://schemas.openxmlformats.org/officeDocument/2006/relationships/hyperlink" Target="https://doi.org/10.2139/ssrn.5261816" TargetMode="External"/><Relationship Id="rId53" Type="http://schemas.openxmlformats.org/officeDocument/2006/relationships/hyperlink" Target="https://doi.org/10.62225/2583049x.2024.4.6.4046" TargetMode="External"/><Relationship Id="rId58" Type="http://schemas.openxmlformats.org/officeDocument/2006/relationships/image" Target="media/image5.png"/><Relationship Id="rId5" Type="http://schemas.openxmlformats.org/officeDocument/2006/relationships/settings" Target="settings.xml"/><Relationship Id="rId61" Type="http://schemas.openxmlformats.org/officeDocument/2006/relationships/theme" Target="theme/theme1.xml"/><Relationship Id="rId19" Type="http://schemas.openxmlformats.org/officeDocument/2006/relationships/hyperlink" Target="https://www.academia.edu/download/120660626/ssrn_4943492.pdf" TargetMode="External"/><Relationship Id="rId14" Type="http://schemas.openxmlformats.org/officeDocument/2006/relationships/hyperlink" Target="https://doi.org/10.2139/ssrn.5004465" TargetMode="External"/><Relationship Id="rId22" Type="http://schemas.openxmlformats.org/officeDocument/2006/relationships/hyperlink" Target="https://doi.org/10.2139/ssrn.4512255" TargetMode="External"/><Relationship Id="rId27" Type="http://schemas.openxmlformats.org/officeDocument/2006/relationships/hyperlink" Target="https://doi.org/978-9975-168-26-7%20(PDF)" TargetMode="External"/><Relationship Id="rId30" Type="http://schemas.openxmlformats.org/officeDocument/2006/relationships/hyperlink" Target="https://doi.org/10.1007/978-3-031-53674-8_9" TargetMode="External"/><Relationship Id="rId35" Type="http://schemas.openxmlformats.org/officeDocument/2006/relationships/hyperlink" Target="https://doi.org/10.1007/s11846-022-00529-5" TargetMode="External"/><Relationship Id="rId43" Type="http://schemas.openxmlformats.org/officeDocument/2006/relationships/hyperlink" Target="https://doi.org/10.37899/journallabisecoman.v6i2.1970" TargetMode="External"/><Relationship Id="rId48" Type="http://schemas.openxmlformats.org/officeDocument/2006/relationships/hyperlink" Target="https://doi.org/10.1007/s10693-022-00393-0" TargetMode="External"/><Relationship Id="rId56" Type="http://schemas.openxmlformats.org/officeDocument/2006/relationships/image" Target="media/image3.png"/><Relationship Id="rId8" Type="http://schemas.openxmlformats.org/officeDocument/2006/relationships/endnotes" Target="endnotes.xml"/><Relationship Id="rId51" Type="http://schemas.openxmlformats.org/officeDocument/2006/relationships/hyperlink" Target="https://doi.org/10.1002/bse.70304" TargetMode="External"/><Relationship Id="rId3" Type="http://schemas.openxmlformats.org/officeDocument/2006/relationships/numbering" Target="numbering.xml"/><Relationship Id="rId12" Type="http://schemas.openxmlformats.org/officeDocument/2006/relationships/hyperlink" Target="https://home.barclays/content/dam/home-barclays/documents/investor-relations/reports-and-events/annual-reports/2025/Barclays-PLC-Annual-Report-2025.pdf" TargetMode="External"/><Relationship Id="rId17" Type="http://schemas.openxmlformats.org/officeDocument/2006/relationships/hyperlink" Target="https://doi.org/10.1016/j.jjimei.2024.100230" TargetMode="External"/><Relationship Id="rId25" Type="http://schemas.openxmlformats.org/officeDocument/2006/relationships/hyperlink" Target="https://doi.org/10.1016/j.procs.2022.08.081" TargetMode="External"/><Relationship Id="rId33" Type="http://schemas.openxmlformats.org/officeDocument/2006/relationships/hyperlink" Target="https://doi.org/10.61506/01.00201" TargetMode="External"/><Relationship Id="rId38" Type="http://schemas.openxmlformats.org/officeDocument/2006/relationships/hyperlink" Target="https://search.proquest.com/openview/a3b820079313fa09cea03e628a446852/1?pq-origsite=gscholar&amp;cbl=2026366&amp;diss=y" TargetMode="External"/><Relationship Id="rId46" Type="http://schemas.openxmlformats.org/officeDocument/2006/relationships/hyperlink" Target="https://doi.org/10.52970/grfm.v2i2.174" TargetMode="External"/><Relationship Id="rId59" Type="http://schemas.openxmlformats.org/officeDocument/2006/relationships/footer" Target="footer1.xml"/><Relationship Id="rId20" Type="http://schemas.openxmlformats.org/officeDocument/2006/relationships/hyperlink" Target="https://doi.org/10.54691/bcpbm.v30i.2517" TargetMode="External"/><Relationship Id="rId41" Type="http://schemas.openxmlformats.org/officeDocument/2006/relationships/hyperlink" Target="https://webthesis.biblio.polito.it/32044/1/tesi.pdf" TargetMode="External"/><Relationship Id="rId54" Type="http://schemas.openxmlformats.org/officeDocument/2006/relationships/hyperlink" Target="https://doi.org/10.1108/jfrc-02-2015-0011"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doi.org/10.3126/nutaj.v9i1-2.53833" TargetMode="External"/><Relationship Id="rId23" Type="http://schemas.openxmlformats.org/officeDocument/2006/relationships/hyperlink" Target="https://doi.org/10.62051/a4ybws71" TargetMode="External"/><Relationship Id="rId28" Type="http://schemas.openxmlformats.org/officeDocument/2006/relationships/hyperlink" Target="https://doi.org/10.1111/jmcb.13271" TargetMode="External"/><Relationship Id="rId36" Type="http://schemas.openxmlformats.org/officeDocument/2006/relationships/hyperlink" Target="https://osuva.uwasa.fi/items/d65d1a9e-3d6e-4693-891f-f1b8579da48d" TargetMode="External"/><Relationship Id="rId49" Type="http://schemas.openxmlformats.org/officeDocument/2006/relationships/hyperlink" Target="https://doi.org/10.1016/j.cpa.2003.06.001" TargetMode="External"/><Relationship Id="rId57" Type="http://schemas.openxmlformats.org/officeDocument/2006/relationships/image" Target="media/image4.png"/><Relationship Id="rId10" Type="http://schemas.openxmlformats.org/officeDocument/2006/relationships/image" Target="media/image2.png"/><Relationship Id="rId31" Type="http://schemas.openxmlformats.org/officeDocument/2006/relationships/hyperlink" Target="https://doi.org/10.1108/jpif-04-2024-0051" TargetMode="External"/><Relationship Id="rId44" Type="http://schemas.openxmlformats.org/officeDocument/2006/relationships/hyperlink" Target="https://doi.org/10.54660/.ijfmr.2022.3.2.109-123" TargetMode="External"/><Relationship Id="rId52" Type="http://schemas.openxmlformats.org/officeDocument/2006/relationships/hyperlink" Target="https://doi.org/10.1111/acfi.13212" TargetMode="External"/><Relationship Id="rId6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26</Pages>
  <Words>7943</Words>
  <Characters>45280</Characters>
  <Application>Microsoft Office Word</Application>
  <DocSecurity>0</DocSecurity>
  <Lines>377</Lines>
  <Paragraphs>106</Paragraphs>
  <ScaleCrop>false</ScaleCrop>
  <Company/>
  <LinksUpToDate>false</LinksUpToDate>
  <CharactersWithSpaces>53117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2026-04-24T12:37:00Z</dcterms:created>
  <dcterms:modified xsi:type="dcterms:W3CDTF">2026-04-24T12:37:00Z</dcterms:modified>
</cp:coreProperties>
</file>