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sdt>
      <w:sdtPr>
        <w:rPr>
          <w:rFonts w:eastAsiaTheme="minorEastAsia"/>
          <w:b/>
          <w:bCs/>
          <w:i/>
          <w:caps/>
          <w:color w:val="262626" w:themeColor="text1" w:themeTint="D9"/>
          <w:sz w:val="120"/>
          <w:szCs w:val="120"/>
          <w:lang w:eastAsia="zh-CN"/>
        </w:rPr>
        <w:id w:val="571320589"/>
        <w:docPartObj>
          <w:docPartGallery w:val="Cover Pages"/>
          <w:docPartUnique/>
        </w:docPartObj>
      </w:sdtPr>
      <w:sdtContent>
        <w:p w:rsidR="00C55530" w14:paraId="2CE87E7F" w14:textId="6DD49FE5">
          <w:pPr>
            <w:spacing w:after="0" w:line="240" w:lineRule="auto"/>
            <w:rPr>
              <w:rFonts w:asciiTheme="majorHAnsi" w:eastAsiaTheme="minorEastAsia" w:hAnsiTheme="majorHAnsi"/>
              <w:i/>
              <w:caps/>
              <w:color w:val="262626" w:themeColor="text1" w:themeTint="D9"/>
              <w:sz w:val="120"/>
              <w:szCs w:val="120"/>
              <w:lang w:val="en-US" w:eastAsia="zh-CN"/>
            </w:rPr>
          </w:pPr>
          <w:r w:rsidRPr="00C55530">
            <w:rPr>
              <w:rFonts w:asciiTheme="majorHAnsi" w:eastAsiaTheme="majorEastAsia" w:hAnsiTheme="majorHAnsi" w:cstheme="majorBidi"/>
              <w:b/>
              <w:bCs/>
              <w:noProof/>
              <w:color w:val="2F5496" w:themeColor="accent1" w:themeShade="BF"/>
              <w:sz w:val="28"/>
              <w:szCs w:val="28"/>
              <w:lang w:val="en-US" w:eastAsia="zh-CN"/>
            </w:rPr>
            <mc:AlternateContent>
              <mc:Choice Requires="wps">
                <w:drawing>
                  <wp:anchor distT="0" distB="0" distL="114300" distR="114300" simplePos="0" relativeHeight="251658240" behindDoc="0" locked="0" layoutInCell="1" allowOverlap="1">
                    <wp:simplePos x="0" y="0"/>
                    <wp:positionH relativeFrom="page">
                      <wp:align>center</wp:align>
                    </wp:positionH>
                    <wp:positionV relativeFrom="page">
                      <wp:align>center</wp:align>
                    </wp:positionV>
                    <wp:extent cx="7112982" cy="8265016"/>
                    <wp:effectExtent l="0" t="0" r="1270" b="0"/>
                    <wp:wrapNone/>
                    <wp:docPr id="138" name="Text Box 138"/>
                    <wp:cNvGraphicFramePr/>
                    <a:graphic xmlns:a="http://schemas.openxmlformats.org/drawingml/2006/main">
                      <a:graphicData uri="http://schemas.microsoft.com/office/word/2010/wordprocessingShape">
                        <wps:wsp xmlns:wps="http://schemas.microsoft.com/office/word/2010/wordprocessingShape">
                          <wps:cNvSpPr txBox="1"/>
                          <wps:spPr>
                            <a:xfrm>
                              <a:off x="0" y="0"/>
                              <a:ext cx="7112982" cy="826501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tblPr>
                                <w:tblGrid>
                                  <w:gridCol w:w="6546"/>
                                  <w:gridCol w:w="1979"/>
                                </w:tblGrid>
                                <w:tr w14:paraId="517AF70C" w14:textId="77777777">
                                  <w:tblPrEx>
                                    <w:tblW w:w="5000" w:type="pct"/>
                                    <w:jc w:val="center"/>
                                    <w:tblBorders>
                                      <w:insideV w:val="single" w:sz="12" w:space="0" w:color="ED7D31" w:themeColor="accent2"/>
                                    </w:tblBorders>
                                    <w:tblCellMar>
                                      <w:top w:w="1296" w:type="dxa"/>
                                      <w:left w:w="360" w:type="dxa"/>
                                      <w:bottom w:w="1296" w:type="dxa"/>
                                      <w:right w:w="360" w:type="dxa"/>
                                    </w:tblCellMar>
                                    <w:tblLook w:val="04A0"/>
                                  </w:tblPrEx>
                                  <w:trPr>
                                    <w:jc w:val="center"/>
                                  </w:trPr>
                                  <w:tc>
                                    <w:tcPr>
                                      <w:tcW w:w="2568" w:type="pct"/>
                                      <w:vAlign w:val="center"/>
                                    </w:tcPr>
                                    <w:p w:rsidR="00C55530" w:rsidP="00C55530" w14:textId="51552E67">
                                      <w:pPr>
                                        <w:spacing w:after="0" w:line="240" w:lineRule="auto"/>
                                        <w:rPr>
                                          <w:rFonts w:ascii="Times New Roman" w:hAnsi="Times New Roman"/>
                                          <w:szCs w:val="24"/>
                                        </w:rPr>
                                      </w:pPr>
                                      <w:r>
                                        <w:rPr>
                                          <w:noProof/>
                                        </w:rPr>
                                        <w:drawing>
                                          <wp:inline distT="0" distB="0" distL="0" distR="0">
                                            <wp:extent cx="3699803" cy="1228750"/>
                                            <wp:effectExtent l="0" t="0" r="0" b="3175"/>
                                            <wp:docPr id="333979799"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3979799" name="Picture 1" descr="Press Releases 2020 | University of Wales Trinity Saint David"/>
                                                    <pic:cNvPicPr>
                                                      <a:picLocks noChangeAspect="1" noChangeArrowheads="1"/>
                                                    </pic:cNvPicPr>
                                                  </pic:nvPicPr>
                                                  <pic:blipFill>
                                                    <a:blip xmlns:r="http://schemas.openxmlformats.org/officeDocument/2006/relationships" r:embed="rId5" r:link="rId6">
                                                      <a:extLst>
                                                        <a:ext xmlns:a="http://schemas.openxmlformats.org/drawingml/2006/main" uri="{28A0092B-C50C-407E-A947-70E740481C1C}">
                                                          <a14:useLocalDpi xmlns:a14="http://schemas.microsoft.com/office/drawing/2010/main" val="0"/>
                                                        </a:ext>
                                                      </a:extLst>
                                                    </a:blip>
                                                    <a:stretch>
                                                      <a:fillRect/>
                                                    </a:stretch>
                                                  </pic:blipFill>
                                                  <pic:spPr bwMode="auto">
                                                    <a:xfrm>
                                                      <a:off x="0" y="0"/>
                                                      <a:ext cx="3725413" cy="1237255"/>
                                                    </a:xfrm>
                                                    <a:prstGeom prst="rect">
                                                      <a:avLst/>
                                                    </a:prstGeom>
                                                    <a:noFill/>
                                                    <a:ln>
                                                      <a:noFill/>
                                                    </a:ln>
                                                  </pic:spPr>
                                                </pic:pic>
                                              </a:graphicData>
                                            </a:graphic>
                                          </wp:inline>
                                        </w:drawing>
                                      </w:r>
                                    </w:p>
                                    <w:p w:rsidR="00C55530" w14:textId="17A94B88">
                                      <w:pPr>
                                        <w:jc w:val="right"/>
                                      </w:pPr>
                                    </w:p>
                                    <w:sdt>
                                      <w:sdtPr>
                                        <w:rPr>
                                          <w:caps/>
                                          <w:color w:val="191919" w:themeColor="text1" w:themeTint="E6"/>
                                          <w:sz w:val="56"/>
                                          <w:szCs w:val="56"/>
                                        </w:rPr>
                                        <w:alias w:val="Title"/>
                                        <w:id w:val="-438379639"/>
                                        <w:dataBinding w:prefixMappings="xmlns:ns0='http://purl.org/dc/elements/1.1/' xmlns:ns1='http://schemas.openxmlformats.org/package/2006/metadata/core-properties' " w:xpath="/ns1:coreProperties[1]/ns0:title[1]" w:storeItemID="{6C3C8BC8-F283-45AE-878A-BAB7291924A1}"/>
                                        <w:text/>
                                      </w:sdtPr>
                                      <w:sdtContent>
                                        <w:p w:rsidR="00C55530" w:rsidRPr="00C55530" w14:textId="4B4BB411">
                                          <w:pPr>
                                            <w:pStyle w:val="NoSpacing"/>
                                            <w:spacing w:line="312" w:lineRule="auto"/>
                                            <w:jc w:val="right"/>
                                            <w:rPr>
                                              <w:caps/>
                                              <w:color w:val="191919" w:themeColor="text1" w:themeTint="E6"/>
                                              <w:sz w:val="56"/>
                                              <w:szCs w:val="56"/>
                                            </w:rPr>
                                          </w:pPr>
                                          <w:r w:rsidRPr="00C55530">
                                            <w:rPr>
                                              <w:caps/>
                                              <w:color w:val="191919" w:themeColor="text1" w:themeTint="E6"/>
                                              <w:sz w:val="56"/>
                                              <w:szCs w:val="56"/>
                                            </w:rPr>
                                            <w:t>BMHP5002 Principles of Health and Social Care Practice</w:t>
                                          </w:r>
                                        </w:p>
                                      </w:sdtContent>
                                    </w:sdt>
                                    <w:sdt>
                                      <w:sdtPr>
                                        <w:rPr>
                                          <w:color w:val="000000" w:themeColor="text1"/>
                                          <w:szCs w:val="24"/>
                                        </w:rPr>
                                        <w:alias w:val="Subtitle"/>
                                        <w:id w:val="1354072561"/>
                                        <w:dataBinding w:prefixMappings="xmlns:ns0='http://purl.org/dc/elements/1.1/' xmlns:ns1='http://schemas.openxmlformats.org/package/2006/metadata/core-properties' " w:xpath="/ns1:coreProperties[1]/ns0:subject[1]" w:storeItemID="{6C3C8BC8-F283-45AE-878A-BAB7291924A1}"/>
                                        <w:text/>
                                      </w:sdtPr>
                                      <w:sdtContent>
                                        <w:p w:rsidR="00C55530" w14:textId="50E8D6B6">
                                          <w:pPr>
                                            <w:jc w:val="right"/>
                                            <w:rPr>
                                              <w:szCs w:val="24"/>
                                            </w:rPr>
                                          </w:pPr>
                                          <w:r>
                                            <w:rPr>
                                              <w:color w:val="000000" w:themeColor="text1"/>
                                              <w:szCs w:val="24"/>
                                            </w:rPr>
                                            <w:t>Assessment 1</w:t>
                                          </w:r>
                                        </w:p>
                                      </w:sdtContent>
                                    </w:sdt>
                                  </w:tc>
                                  <w:tc>
                                    <w:tcPr>
                                      <w:tcW w:w="2432" w:type="pct"/>
                                      <w:vAlign w:val="center"/>
                                    </w:tcPr>
                                    <w:p w:rsidR="00C55530" w:rsidRPr="00D74B50" w14:textId="60914679">
                                      <w:pPr>
                                        <w:pStyle w:val="NoSpacing"/>
                                        <w:rPr>
                                          <w:rFonts w:ascii="Arial" w:hAnsi="Arial" w:cs="Arial"/>
                                          <w:caps/>
                                          <w:color w:val="ED7D31" w:themeColor="accent2"/>
                                          <w:sz w:val="24"/>
                                          <w:szCs w:val="24"/>
                                        </w:rPr>
                                      </w:pPr>
                                      <w:r>
                                        <w:rPr>
                                          <w:caps/>
                                          <w:color w:val="ED7D31" w:themeColor="accent2"/>
                                          <w:sz w:val="26"/>
                                          <w:szCs w:val="26"/>
                                        </w:rPr>
                                        <w:t>Student name:</w:t>
                                      </w:r>
                                      <w:r w:rsidR="00D74B50">
                                        <w:rPr>
                                          <w:caps/>
                                          <w:color w:val="ED7D31" w:themeColor="accent2"/>
                                          <w:sz w:val="26"/>
                                          <w:szCs w:val="26"/>
                                        </w:rPr>
                                        <w:t xml:space="preserve"> Mariya georgieva</w:t>
                                      </w:r>
                                    </w:p>
                                    <w:sdt>
                                      <w:sdtPr>
                                        <w:rPr>
                                          <w:color w:val="ED7D31" w:themeColor="accent2"/>
                                          <w:sz w:val="26"/>
                                          <w:szCs w:val="26"/>
                                        </w:rPr>
                                        <w:alias w:val="Author"/>
                                        <w:id w:val="-279026076"/>
                                        <w:dataBinding w:prefixMappings="xmlns:ns0='http://purl.org/dc/elements/1.1/' xmlns:ns1='http://schemas.openxmlformats.org/package/2006/metadata/core-properties' " w:xpath="/ns1:coreProperties[1]/ns0:creator[1]" w:storeItemID="{6C3C8BC8-F283-45AE-878A-BAB7291924A1}"/>
                                        <w:text/>
                                      </w:sdtPr>
                                      <w:sdtContent>
                                        <w:p w:rsidR="00C55530" w14:textId="4411D324">
                                          <w:pPr>
                                            <w:pStyle w:val="NoSpacing"/>
                                            <w:rPr>
                                              <w:color w:val="ED7D31" w:themeColor="accent2"/>
                                              <w:sz w:val="26"/>
                                              <w:szCs w:val="26"/>
                                            </w:rPr>
                                          </w:pPr>
                                          <w:r>
                                            <w:rPr>
                                              <w:color w:val="ED7D31" w:themeColor="accent2"/>
                                              <w:sz w:val="26"/>
                                              <w:szCs w:val="26"/>
                                            </w:rPr>
                                            <w:t>S</w:t>
                                          </w:r>
                                          <w:r w:rsidR="00D74B50">
                                            <w:rPr>
                                              <w:color w:val="ED7D31" w:themeColor="accent2"/>
                                              <w:sz w:val="26"/>
                                              <w:szCs w:val="26"/>
                                            </w:rPr>
                                            <w:t>TUDENT</w:t>
                                          </w:r>
                                          <w:r>
                                            <w:rPr>
                                              <w:color w:val="ED7D31" w:themeColor="accent2"/>
                                              <w:sz w:val="26"/>
                                              <w:szCs w:val="26"/>
                                            </w:rPr>
                                            <w:t xml:space="preserve"> ID:</w:t>
                                          </w:r>
                                          <w:r w:rsidR="00D74B50">
                                            <w:rPr>
                                              <w:color w:val="ED7D31" w:themeColor="accent2"/>
                                              <w:sz w:val="26"/>
                                              <w:szCs w:val="26"/>
                                            </w:rPr>
                                            <w:t>1906952</w:t>
                                          </w:r>
                                        </w:p>
                                      </w:sdtContent>
                                    </w:sdt>
                                    <w:p w:rsidR="00C55530" w14:textId="77777777">
                                      <w:pPr>
                                        <w:pStyle w:val="NoSpacing"/>
                                        <w:rPr>
                                          <w:rFonts w:ascii="Arial" w:hAnsi="Arial" w:cs="Arial"/>
                                          <w:color w:val="44546A" w:themeColor="text2"/>
                                          <w:sz w:val="28"/>
                                          <w:szCs w:val="28"/>
                                        </w:rPr>
                                      </w:pPr>
                                    </w:p>
                                    <w:p w:rsidR="00D74B50" w:rsidRPr="00D74B50" w14:textId="6176BD1F">
                                      <w:pPr>
                                        <w:pStyle w:val="NoSpacing"/>
                                        <w:rPr>
                                          <w:rFonts w:ascii="Arial" w:hAnsi="Arial" w:cs="Arial"/>
                                          <w:sz w:val="28"/>
                                          <w:szCs w:val="28"/>
                                        </w:rPr>
                                      </w:pPr>
                                      <w:r>
                                        <w:rPr>
                                          <w:rFonts w:ascii="Arial" w:hAnsi="Arial" w:cs="Arial"/>
                                          <w:sz w:val="28"/>
                                          <w:szCs w:val="28"/>
                                        </w:rPr>
                                        <w:t>Lecturer Name: Racheal Adebayo</w:t>
                                      </w:r>
                                    </w:p>
                                  </w:tc>
                                </w:tr>
                              </w:tbl>
                              <w:p w:rsidR="00C55530" w14:textId="77777777"/>
                            </w:txbxContent>
                          </wps:txbx>
                          <wps:bodyPr rot="0" spcFirstLastPara="0" vertOverflow="overflow" horzOverflow="overflow" vert="horz" wrap="square" lIns="0" tIns="0" rIns="0" bIns="0" numCol="1" spcCol="0" rtlCol="0" fromWordArt="0" anchor="ctr" anchorCtr="0" forceAA="0" compatLnSpc="1">
                            <a:prstTxWarp prst="textNoShape">
                              <a:avLst/>
                            </a:prstTxWarp>
                          </wps:bodyPr>
                        </wps:wsp>
                      </a:graphicData>
                    </a:graphic>
                    <wp14:sizeRelH relativeFrom="page">
                      <wp14:pctWidth>94100</wp14:pctWidth>
                    </wp14:sizeRelH>
                    <wp14:sizeRelV relativeFrom="page">
                      <wp14:pctHeight>77300</wp14:pctHeight>
                    </wp14:sizeRelV>
                  </wp:anchor>
                </w:drawing>
              </mc:Choice>
              <mc:Fallback>
                <w:pict>
                  <v:shapetype id="_x0000_t202" coordsize="21600,21600" o:spt="202" path="m,l,21600r21600,l21600,xe">
                    <v:stroke joinstyle="miter"/>
                    <v:path gradientshapeok="t" o:connecttype="rect"/>
                  </v:shapetype>
                  <v:shape id="Text Box 138" o:spid="_x0000_s1025" type="#_x0000_t202" style="width:134.85pt;height:302.4pt;margin-top:0;margin-left:0;mso-height-percent:773;mso-height-relative:page;mso-position-horizontal:center;mso-position-horizontal-relative:page;mso-position-vertical:center;mso-position-vertical-relative:page;mso-width-percent:941;mso-width-relative:page;mso-wrap-distance-bottom:0;mso-wrap-distance-left:9pt;mso-wrap-distance-right:9pt;mso-wrap-distance-top:0;mso-wrap-style:square;position:absolute;visibility:visible;v-text-anchor:middle;z-index:251659264" fillcolor="white" stroked="f" strokeweight="0.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tblPr>
                          <w:tblGrid>
                            <w:gridCol w:w="2071"/>
                            <w:gridCol w:w="626"/>
                          </w:tblGrid>
                          <w:tr w14:paraId="517AF70C" w14:textId="77777777">
                            <w:tblPrEx>
                              <w:tblW w:w="5000" w:type="pct"/>
                              <w:jc w:val="center"/>
                              <w:tblBorders>
                                <w:insideV w:val="single" w:sz="12" w:space="0" w:color="ED7D31" w:themeColor="accent2"/>
                              </w:tblBorders>
                              <w:tblCellMar>
                                <w:top w:w="1296" w:type="dxa"/>
                                <w:left w:w="360" w:type="dxa"/>
                                <w:bottom w:w="1296" w:type="dxa"/>
                                <w:right w:w="360" w:type="dxa"/>
                              </w:tblCellMar>
                              <w:tblLook w:val="04A0"/>
                            </w:tblPrEx>
                            <w:trPr>
                              <w:jc w:val="center"/>
                            </w:trPr>
                            <w:tc>
                              <w:tcPr>
                                <w:tcW w:w="2568" w:type="pct"/>
                                <w:vAlign w:val="center"/>
                              </w:tcPr>
                              <w:p w:rsidR="00C55530" w:rsidP="00C55530" w14:paraId="25E6DDAC" w14:textId="51552E67">
                                <w:pPr>
                                  <w:spacing w:after="0" w:line="240" w:lineRule="auto"/>
                                  <w:rPr>
                                    <w:rFonts w:ascii="Times New Roman" w:hAnsi="Times New Roman"/>
                                    <w:szCs w:val="24"/>
                                  </w:rPr>
                                </w:pPr>
                                <w:drawing>
                                  <wp:inline distT="0" distB="0" distL="0" distR="0">
                                    <wp:extent cx="3699803" cy="1228750"/>
                                    <wp:effectExtent l="0" t="0" r="0" b="317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Press Releases 2020 | University of Wales Trinity Saint David"/>
                                            <pic:cNvPicPr>
                                              <a:picLocks noChangeAspect="1" noChangeArrowheads="1"/>
                                            </pic:cNvPicPr>
                                          </pic:nvPicPr>
                                          <pic:blipFill>
                                            <a:blip xmlns:r="http://schemas.openxmlformats.org/officeDocument/2006/relationships" r:embed="rId5" r:link="rId6">
                                              <a:extLst>
                                                <a:ext xmlns:a="http://schemas.openxmlformats.org/drawingml/2006/main" uri="{28A0092B-C50C-407E-A947-70E740481C1C}">
                                                  <a14:useLocalDpi xmlns:a14="http://schemas.microsoft.com/office/drawing/2010/main" val="0"/>
                                                </a:ext>
                                              </a:extLst>
                                            </a:blip>
                                            <a:stretch>
                                              <a:fillRect/>
                                            </a:stretch>
                                          </pic:blipFill>
                                          <pic:spPr bwMode="auto">
                                            <a:xfrm>
                                              <a:off x="0" y="0"/>
                                              <a:ext cx="3725413" cy="1237255"/>
                                            </a:xfrm>
                                            <a:prstGeom prst="rect">
                                              <a:avLst/>
                                            </a:prstGeom>
                                            <a:noFill/>
                                            <a:ln>
                                              <a:noFill/>
                                            </a:ln>
                                          </pic:spPr>
                                        </pic:pic>
                                      </a:graphicData>
                                    </a:graphic>
                                  </wp:inline>
                                </w:drawing>
                              </w:p>
                              <w:p w:rsidR="00C55530" w14:paraId="6E499C0F" w14:textId="17A94B88">
                                <w:pPr>
                                  <w:jc w:val="right"/>
                                </w:pPr>
                              </w:p>
                              <w:sdt>
                                <w:sdtPr>
                                  <w:rPr>
                                    <w:caps/>
                                    <w:color w:val="191919" w:themeColor="text1" w:themeTint="E6"/>
                                    <w:sz w:val="56"/>
                                    <w:szCs w:val="56"/>
                                  </w:rPr>
                                  <w:alias w:val="Title"/>
                                  <w:id w:val="1448383143"/>
                                  <w:dataBinding w:prefixMappings="xmlns:ns0='http://purl.org/dc/elements/1.1/' xmlns:ns1='http://schemas.openxmlformats.org/package/2006/metadata/core-properties' " w:xpath="/ns1:coreProperties[1]/ns0:title[1]" w:storeItemID="{6C3C8BC8-F283-45AE-878A-BAB7291924A1}"/>
                                  <w:text/>
                                </w:sdtPr>
                                <w:sdtContent>
                                  <w:p w:rsidR="00C55530" w:rsidRPr="00C55530" w14:paraId="18F4E80F" w14:textId="4B4BB411">
                                    <w:pPr>
                                      <w:pStyle w:val="NoSpacing"/>
                                      <w:spacing w:line="312" w:lineRule="auto"/>
                                      <w:jc w:val="right"/>
                                      <w:rPr>
                                        <w:caps/>
                                        <w:color w:val="191919" w:themeColor="text1" w:themeTint="E6"/>
                                        <w:sz w:val="56"/>
                                        <w:szCs w:val="56"/>
                                      </w:rPr>
                                    </w:pPr>
                                    <w:r w:rsidRPr="00C55530">
                                      <w:rPr>
                                        <w:caps/>
                                        <w:color w:val="191919" w:themeColor="text1" w:themeTint="E6"/>
                                        <w:sz w:val="56"/>
                                        <w:szCs w:val="56"/>
                                      </w:rPr>
                                      <w:t>BMHP5002 Principles of Health and Social Care Practice</w:t>
                                    </w:r>
                                  </w:p>
                                </w:sdtContent>
                              </w:sdt>
                              <w:sdt>
                                <w:sdtPr>
                                  <w:rPr>
                                    <w:color w:val="000000" w:themeColor="text1"/>
                                    <w:szCs w:val="24"/>
                                  </w:rPr>
                                  <w:alias w:val="Subtitle"/>
                                  <w:id w:val="1619755970"/>
                                  <w:dataBinding w:prefixMappings="xmlns:ns0='http://purl.org/dc/elements/1.1/' xmlns:ns1='http://schemas.openxmlformats.org/package/2006/metadata/core-properties' " w:xpath="/ns1:coreProperties[1]/ns0:subject[1]" w:storeItemID="{6C3C8BC8-F283-45AE-878A-BAB7291924A1}"/>
                                  <w:text/>
                                </w:sdtPr>
                                <w:sdtContent>
                                  <w:p w:rsidR="00C55530" w14:paraId="06773DA0" w14:textId="50E8D6B6">
                                    <w:pPr>
                                      <w:jc w:val="right"/>
                                      <w:rPr>
                                        <w:szCs w:val="24"/>
                                      </w:rPr>
                                    </w:pPr>
                                    <w:r>
                                      <w:rPr>
                                        <w:color w:val="000000" w:themeColor="text1"/>
                                        <w:szCs w:val="24"/>
                                      </w:rPr>
                                      <w:t>Assessment 1</w:t>
                                    </w:r>
                                  </w:p>
                                </w:sdtContent>
                              </w:sdt>
                            </w:tc>
                            <w:tc>
                              <w:tcPr>
                                <w:tcW w:w="2432" w:type="pct"/>
                                <w:vAlign w:val="center"/>
                              </w:tcPr>
                              <w:p w:rsidR="00C55530" w:rsidRPr="00D74B50" w14:paraId="2783E31E" w14:textId="60914679">
                                <w:pPr>
                                  <w:pStyle w:val="NoSpacing"/>
                                  <w:rPr>
                                    <w:rFonts w:ascii="Arial" w:hAnsi="Arial" w:cs="Arial"/>
                                    <w:caps/>
                                    <w:color w:val="ED7D31" w:themeColor="accent2"/>
                                    <w:sz w:val="24"/>
                                    <w:szCs w:val="24"/>
                                  </w:rPr>
                                </w:pPr>
                                <w:r>
                                  <w:rPr>
                                    <w:caps/>
                                    <w:color w:val="ED7D31" w:themeColor="accent2"/>
                                    <w:sz w:val="26"/>
                                    <w:szCs w:val="26"/>
                                  </w:rPr>
                                  <w:t>Student name:</w:t>
                                </w:r>
                                <w:r w:rsidR="00D74B50">
                                  <w:rPr>
                                    <w:caps/>
                                    <w:color w:val="ED7D31" w:themeColor="accent2"/>
                                    <w:sz w:val="26"/>
                                    <w:szCs w:val="26"/>
                                  </w:rPr>
                                  <w:t xml:space="preserve"> Mariya georgieva</w:t>
                                </w:r>
                              </w:p>
                              <w:sdt>
                                <w:sdtPr>
                                  <w:rPr>
                                    <w:color w:val="ED7D31" w:themeColor="accent2"/>
                                    <w:sz w:val="26"/>
                                    <w:szCs w:val="26"/>
                                  </w:rPr>
                                  <w:alias w:val="Author"/>
                                  <w:id w:val="1612428083"/>
                                  <w:dataBinding w:prefixMappings="xmlns:ns0='http://purl.org/dc/elements/1.1/' xmlns:ns1='http://schemas.openxmlformats.org/package/2006/metadata/core-properties' " w:xpath="/ns1:coreProperties[1]/ns0:creator[1]" w:storeItemID="{6C3C8BC8-F283-45AE-878A-BAB7291924A1}"/>
                                  <w:text/>
                                </w:sdtPr>
                                <w:sdtContent>
                                  <w:p w:rsidR="00C55530" w14:paraId="409CD187" w14:textId="4411D324">
                                    <w:pPr>
                                      <w:pStyle w:val="NoSpacing"/>
                                      <w:rPr>
                                        <w:color w:val="ED7D31" w:themeColor="accent2"/>
                                        <w:sz w:val="26"/>
                                        <w:szCs w:val="26"/>
                                      </w:rPr>
                                    </w:pPr>
                                    <w:r>
                                      <w:rPr>
                                        <w:color w:val="ED7D31" w:themeColor="accent2"/>
                                        <w:sz w:val="26"/>
                                        <w:szCs w:val="26"/>
                                      </w:rPr>
                                      <w:t>S</w:t>
                                    </w:r>
                                    <w:r w:rsidR="00D74B50">
                                      <w:rPr>
                                        <w:color w:val="ED7D31" w:themeColor="accent2"/>
                                        <w:sz w:val="26"/>
                                        <w:szCs w:val="26"/>
                                      </w:rPr>
                                      <w:t>TUDENT</w:t>
                                    </w:r>
                                    <w:r>
                                      <w:rPr>
                                        <w:color w:val="ED7D31" w:themeColor="accent2"/>
                                        <w:sz w:val="26"/>
                                        <w:szCs w:val="26"/>
                                      </w:rPr>
                                      <w:t xml:space="preserve"> ID:</w:t>
                                    </w:r>
                                    <w:r w:rsidR="00D74B50">
                                      <w:rPr>
                                        <w:color w:val="ED7D31" w:themeColor="accent2"/>
                                        <w:sz w:val="26"/>
                                        <w:szCs w:val="26"/>
                                      </w:rPr>
                                      <w:t>1906952</w:t>
                                    </w:r>
                                  </w:p>
                                </w:sdtContent>
                              </w:sdt>
                              <w:p w:rsidR="00C55530" w14:paraId="4C4BBFBA" w14:textId="77777777">
                                <w:pPr>
                                  <w:pStyle w:val="NoSpacing"/>
                                  <w:rPr>
                                    <w:rFonts w:ascii="Arial" w:hAnsi="Arial" w:cs="Arial"/>
                                    <w:color w:val="44546A" w:themeColor="text2"/>
                                    <w:sz w:val="28"/>
                                    <w:szCs w:val="28"/>
                                  </w:rPr>
                                </w:pPr>
                              </w:p>
                              <w:p w:rsidR="00D74B50" w:rsidRPr="00D74B50" w14:paraId="5B1F0E78" w14:textId="6176BD1F">
                                <w:pPr>
                                  <w:pStyle w:val="NoSpacing"/>
                                  <w:rPr>
                                    <w:rFonts w:ascii="Arial" w:hAnsi="Arial" w:cs="Arial"/>
                                    <w:sz w:val="28"/>
                                    <w:szCs w:val="28"/>
                                  </w:rPr>
                                </w:pPr>
                                <w:r>
                                  <w:rPr>
                                    <w:rFonts w:ascii="Arial" w:hAnsi="Arial" w:cs="Arial"/>
                                    <w:sz w:val="28"/>
                                    <w:szCs w:val="28"/>
                                  </w:rPr>
                                  <w:t>Lecturer Name: Racheal Adebayo</w:t>
                                </w:r>
                              </w:p>
                            </w:tc>
                          </w:tr>
                        </w:tbl>
                        <w:p w:rsidR="00C55530" w14:paraId="75645EF3" w14:textId="77777777"/>
                      </w:txbxContent>
                    </v:textbox>
                  </v:shape>
                </w:pict>
              </mc:Fallback>
            </mc:AlternateContent>
          </w:r>
          <w:r>
            <w:rPr>
              <w:rFonts w:eastAsiaTheme="minorEastAsia"/>
              <w:b/>
              <w:bCs/>
              <w:i/>
              <w:caps/>
              <w:color w:val="262626" w:themeColor="text1" w:themeTint="D9"/>
              <w:sz w:val="120"/>
              <w:szCs w:val="120"/>
              <w:lang w:eastAsia="zh-CN"/>
            </w:rPr>
            <w:br w:type="page"/>
          </w:r>
        </w:p>
      </w:sdtContent>
    </w:sdt>
    <w:sdt>
      <w:sdtPr>
        <w:rPr>
          <w:rFonts w:ascii="Arial" w:hAnsi="Arial" w:eastAsiaTheme="minorHAnsi" w:cstheme="minorBidi"/>
          <w:b w:val="0"/>
          <w:bCs w:val="0"/>
          <w:color w:val="auto"/>
          <w:sz w:val="24"/>
          <w:szCs w:val="22"/>
          <w:lang w:val="en-GB"/>
        </w:rPr>
        <w:id w:val="1083637245"/>
        <w:docPartObj>
          <w:docPartGallery w:val="Table of Contents"/>
          <w:docPartUnique/>
        </w:docPartObj>
      </w:sdtPr>
      <w:sdtEndPr>
        <w:rPr>
          <w:noProof/>
        </w:rPr>
      </w:sdtEndPr>
      <w:sdtContent>
        <w:p w:rsidR="00C55530" w14:paraId="25A976D0" w14:textId="05D08E1C">
          <w:pPr>
            <w:pStyle w:val="TOCHeading"/>
          </w:pPr>
          <w:r>
            <w:t>Table of Contents</w:t>
          </w:r>
        </w:p>
        <w:p w:rsidR="00C55530" w14:paraId="171D4767" w14:textId="2DF23BE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80831546" w:history="1">
            <w:r w:rsidRPr="00D64E4F">
              <w:rPr>
                <w:rStyle w:val="Hyperlink"/>
                <w:noProof/>
              </w:rPr>
              <w:t>Introduction</w:t>
            </w:r>
            <w:r>
              <w:rPr>
                <w:noProof/>
                <w:webHidden/>
              </w:rPr>
              <w:tab/>
            </w:r>
            <w:r>
              <w:rPr>
                <w:noProof/>
                <w:webHidden/>
              </w:rPr>
              <w:fldChar w:fldCharType="begin"/>
            </w:r>
            <w:r>
              <w:rPr>
                <w:noProof/>
                <w:webHidden/>
              </w:rPr>
              <w:instrText xml:space="preserve"> PAGEREF _Toc80831546 \h </w:instrText>
            </w:r>
            <w:r>
              <w:rPr>
                <w:noProof/>
                <w:webHidden/>
              </w:rPr>
              <w:fldChar w:fldCharType="separate"/>
            </w:r>
            <w:r>
              <w:rPr>
                <w:noProof/>
                <w:webHidden/>
              </w:rPr>
              <w:t>2</w:t>
            </w:r>
            <w:r>
              <w:rPr>
                <w:noProof/>
                <w:webHidden/>
              </w:rPr>
              <w:fldChar w:fldCharType="end"/>
            </w:r>
          </w:hyperlink>
        </w:p>
        <w:p w:rsidR="00C55530" w14:paraId="5948EF9E" w14:textId="1FA23BFE">
          <w:pPr>
            <w:pStyle w:val="TOC1"/>
            <w:tabs>
              <w:tab w:val="right" w:leader="dot" w:pos="9016"/>
            </w:tabs>
            <w:rPr>
              <w:noProof/>
            </w:rPr>
          </w:pPr>
          <w:hyperlink w:anchor="_Toc80831547" w:history="1">
            <w:r w:rsidRPr="00D64E4F">
              <w:rPr>
                <w:rStyle w:val="Hyperlink"/>
                <w:noProof/>
              </w:rPr>
              <w:t>Discussion</w:t>
            </w:r>
            <w:r>
              <w:rPr>
                <w:noProof/>
                <w:webHidden/>
              </w:rPr>
              <w:tab/>
            </w:r>
            <w:r>
              <w:rPr>
                <w:noProof/>
                <w:webHidden/>
              </w:rPr>
              <w:fldChar w:fldCharType="begin"/>
            </w:r>
            <w:r>
              <w:rPr>
                <w:noProof/>
                <w:webHidden/>
              </w:rPr>
              <w:instrText xml:space="preserve"> PAGEREF _Toc80831547 \h </w:instrText>
            </w:r>
            <w:r>
              <w:rPr>
                <w:noProof/>
                <w:webHidden/>
              </w:rPr>
              <w:fldChar w:fldCharType="separate"/>
            </w:r>
            <w:r>
              <w:rPr>
                <w:noProof/>
                <w:webHidden/>
              </w:rPr>
              <w:t>2</w:t>
            </w:r>
            <w:r>
              <w:rPr>
                <w:noProof/>
                <w:webHidden/>
              </w:rPr>
              <w:fldChar w:fldCharType="end"/>
            </w:r>
          </w:hyperlink>
        </w:p>
        <w:p w:rsidR="00C55530" w14:paraId="5E1D58E3" w14:textId="7F0CBD9E">
          <w:pPr>
            <w:pStyle w:val="TOC1"/>
            <w:tabs>
              <w:tab w:val="right" w:leader="dot" w:pos="9016"/>
            </w:tabs>
            <w:rPr>
              <w:noProof/>
            </w:rPr>
          </w:pPr>
          <w:hyperlink w:anchor="_Toc80831548" w:history="1">
            <w:r w:rsidRPr="00D64E4F">
              <w:rPr>
                <w:rStyle w:val="Hyperlink"/>
                <w:noProof/>
              </w:rPr>
              <w:t>Analysis</w:t>
            </w:r>
            <w:r>
              <w:rPr>
                <w:noProof/>
                <w:webHidden/>
              </w:rPr>
              <w:tab/>
            </w:r>
            <w:r>
              <w:rPr>
                <w:noProof/>
                <w:webHidden/>
              </w:rPr>
              <w:fldChar w:fldCharType="begin"/>
            </w:r>
            <w:r>
              <w:rPr>
                <w:noProof/>
                <w:webHidden/>
              </w:rPr>
              <w:instrText xml:space="preserve"> PAGEREF _Toc80831548 \h </w:instrText>
            </w:r>
            <w:r>
              <w:rPr>
                <w:noProof/>
                <w:webHidden/>
              </w:rPr>
              <w:fldChar w:fldCharType="separate"/>
            </w:r>
            <w:r>
              <w:rPr>
                <w:noProof/>
                <w:webHidden/>
              </w:rPr>
              <w:t>4</w:t>
            </w:r>
            <w:r>
              <w:rPr>
                <w:noProof/>
                <w:webHidden/>
              </w:rPr>
              <w:fldChar w:fldCharType="end"/>
            </w:r>
          </w:hyperlink>
        </w:p>
        <w:p w:rsidR="00C55530" w14:paraId="26E7EA29" w14:textId="2E888D5C">
          <w:pPr>
            <w:pStyle w:val="TOC1"/>
            <w:tabs>
              <w:tab w:val="right" w:leader="dot" w:pos="9016"/>
            </w:tabs>
            <w:rPr>
              <w:noProof/>
            </w:rPr>
          </w:pPr>
          <w:hyperlink w:anchor="_Toc80831549" w:history="1">
            <w:r w:rsidRPr="00D64E4F">
              <w:rPr>
                <w:rStyle w:val="Hyperlink"/>
                <w:noProof/>
              </w:rPr>
              <w:t>Recommendations</w:t>
            </w:r>
            <w:r>
              <w:rPr>
                <w:noProof/>
                <w:webHidden/>
              </w:rPr>
              <w:tab/>
            </w:r>
            <w:r>
              <w:rPr>
                <w:noProof/>
                <w:webHidden/>
              </w:rPr>
              <w:fldChar w:fldCharType="begin"/>
            </w:r>
            <w:r>
              <w:rPr>
                <w:noProof/>
                <w:webHidden/>
              </w:rPr>
              <w:instrText xml:space="preserve"> PAGEREF _Toc80831549 \h </w:instrText>
            </w:r>
            <w:r>
              <w:rPr>
                <w:noProof/>
                <w:webHidden/>
              </w:rPr>
              <w:fldChar w:fldCharType="separate"/>
            </w:r>
            <w:r>
              <w:rPr>
                <w:noProof/>
                <w:webHidden/>
              </w:rPr>
              <w:t>5</w:t>
            </w:r>
            <w:r>
              <w:rPr>
                <w:noProof/>
                <w:webHidden/>
              </w:rPr>
              <w:fldChar w:fldCharType="end"/>
            </w:r>
          </w:hyperlink>
        </w:p>
        <w:p w:rsidR="00C55530" w14:paraId="2A0EFDBD" w14:textId="67B4E456">
          <w:pPr>
            <w:pStyle w:val="TOC1"/>
            <w:tabs>
              <w:tab w:val="right" w:leader="dot" w:pos="9016"/>
            </w:tabs>
            <w:rPr>
              <w:noProof/>
            </w:rPr>
          </w:pPr>
          <w:hyperlink w:anchor="_Toc80831550" w:history="1">
            <w:r w:rsidRPr="00D64E4F">
              <w:rPr>
                <w:rStyle w:val="Hyperlink"/>
                <w:noProof/>
              </w:rPr>
              <w:t>Conclusion</w:t>
            </w:r>
            <w:r>
              <w:rPr>
                <w:noProof/>
                <w:webHidden/>
              </w:rPr>
              <w:tab/>
            </w:r>
            <w:r>
              <w:rPr>
                <w:noProof/>
                <w:webHidden/>
              </w:rPr>
              <w:fldChar w:fldCharType="begin"/>
            </w:r>
            <w:r>
              <w:rPr>
                <w:noProof/>
                <w:webHidden/>
              </w:rPr>
              <w:instrText xml:space="preserve"> PAGEREF _Toc80831550 \h </w:instrText>
            </w:r>
            <w:r>
              <w:rPr>
                <w:noProof/>
                <w:webHidden/>
              </w:rPr>
              <w:fldChar w:fldCharType="separate"/>
            </w:r>
            <w:r>
              <w:rPr>
                <w:noProof/>
                <w:webHidden/>
              </w:rPr>
              <w:t>6</w:t>
            </w:r>
            <w:r>
              <w:rPr>
                <w:noProof/>
                <w:webHidden/>
              </w:rPr>
              <w:fldChar w:fldCharType="end"/>
            </w:r>
          </w:hyperlink>
        </w:p>
        <w:p w:rsidR="00C55530" w14:paraId="1C290325" w14:textId="0FA48E13">
          <w:pPr>
            <w:pStyle w:val="TOC1"/>
            <w:tabs>
              <w:tab w:val="right" w:leader="dot" w:pos="9016"/>
            </w:tabs>
            <w:rPr>
              <w:noProof/>
            </w:rPr>
          </w:pPr>
          <w:hyperlink w:anchor="_Toc80831551" w:history="1">
            <w:r w:rsidRPr="00D64E4F">
              <w:rPr>
                <w:rStyle w:val="Hyperlink"/>
                <w:noProof/>
              </w:rPr>
              <w:t>Reference List</w:t>
            </w:r>
            <w:r>
              <w:rPr>
                <w:noProof/>
                <w:webHidden/>
              </w:rPr>
              <w:tab/>
            </w:r>
            <w:r>
              <w:rPr>
                <w:noProof/>
                <w:webHidden/>
              </w:rPr>
              <w:fldChar w:fldCharType="begin"/>
            </w:r>
            <w:r>
              <w:rPr>
                <w:noProof/>
                <w:webHidden/>
              </w:rPr>
              <w:instrText xml:space="preserve"> PAGEREF _Toc80831551 \h </w:instrText>
            </w:r>
            <w:r>
              <w:rPr>
                <w:noProof/>
                <w:webHidden/>
              </w:rPr>
              <w:fldChar w:fldCharType="separate"/>
            </w:r>
            <w:r>
              <w:rPr>
                <w:noProof/>
                <w:webHidden/>
              </w:rPr>
              <w:t>7</w:t>
            </w:r>
            <w:r>
              <w:rPr>
                <w:noProof/>
                <w:webHidden/>
              </w:rPr>
              <w:fldChar w:fldCharType="end"/>
            </w:r>
          </w:hyperlink>
        </w:p>
        <w:p w:rsidR="00C55530" w14:paraId="713FD144" w14:textId="36EB19B0">
          <w:r>
            <w:rPr>
              <w:b/>
              <w:bCs/>
              <w:noProof/>
            </w:rPr>
            <w:fldChar w:fldCharType="end"/>
          </w:r>
        </w:p>
      </w:sdtContent>
    </w:sdt>
    <w:p w:rsidR="004D015B" w:rsidP="004D015B" w14:paraId="28F53500" w14:textId="77777777"/>
    <w:p w:rsidR="004D015B" w:rsidP="004D015B" w14:paraId="0E79DAEC" w14:textId="77777777"/>
    <w:p w:rsidR="004D015B" w:rsidP="004D015B" w14:paraId="19C3085E" w14:textId="77777777"/>
    <w:p w:rsidR="004D015B" w:rsidP="004D015B" w14:paraId="1D6B910A" w14:textId="77777777"/>
    <w:p w:rsidR="004D015B" w:rsidP="004D015B" w14:paraId="406C7FE4" w14:textId="77777777"/>
    <w:p w:rsidR="004D015B" w:rsidP="004D015B" w14:paraId="667D9484" w14:textId="77777777"/>
    <w:p w:rsidR="004D015B" w:rsidP="004D015B" w14:paraId="696FA6EA" w14:textId="77777777"/>
    <w:p w:rsidR="004D015B" w:rsidP="004D015B" w14:paraId="2CE3FC54" w14:textId="77777777"/>
    <w:p w:rsidR="004D015B" w:rsidP="004D015B" w14:paraId="4A112E41" w14:textId="77777777"/>
    <w:p w:rsidR="004D015B" w:rsidP="004D015B" w14:paraId="740AFA00" w14:textId="77777777"/>
    <w:p w:rsidR="004D015B" w:rsidP="004D015B" w14:paraId="19AD6A43" w14:textId="77777777"/>
    <w:p w:rsidR="004D015B" w:rsidP="004D015B" w14:paraId="19EC9AD5" w14:textId="77777777"/>
    <w:p w:rsidR="004D015B" w:rsidP="004D015B" w14:paraId="09874523" w14:textId="77777777"/>
    <w:p w:rsidR="004D015B" w:rsidP="004D015B" w14:paraId="70464DFA" w14:textId="77777777"/>
    <w:p w:rsidR="004D015B" w:rsidP="004D015B" w14:paraId="78F3608D" w14:textId="77777777"/>
    <w:p w:rsidR="004D015B" w:rsidP="004D015B" w14:paraId="49884523" w14:textId="77777777"/>
    <w:p w:rsidR="004D015B" w:rsidP="004D015B" w14:paraId="753EFB35" w14:textId="77777777"/>
    <w:p w:rsidR="004D015B" w:rsidP="004D015B" w14:paraId="0D44763C" w14:textId="77777777"/>
    <w:p w:rsidR="004D015B" w:rsidP="004D015B" w14:paraId="28C7317E" w14:textId="77777777"/>
    <w:p w:rsidR="004D015B" w:rsidP="004D015B" w14:paraId="6B4773F0" w14:textId="77777777">
      <w:pPr>
        <w:pStyle w:val="Heading1"/>
      </w:pPr>
      <w:bookmarkStart w:id="0" w:name="_Toc80831546"/>
      <w:r>
        <w:t>Introduction</w:t>
      </w:r>
      <w:bookmarkEnd w:id="0"/>
    </w:p>
    <w:p w:rsidR="00C55530" w:rsidP="004D015B" w14:paraId="0B234C9E" w14:textId="77777777">
      <w:r>
        <w:t>This report will explore the potential medical and general health care services that Mr and Mrs T can receive according to the case study provided. The report looks at sad policies and a range of different healthcare services available in the United Kingdom as well as principles that build upon the fundamental of social and health care. It can be quite challenging for an elderly couple to get one type of service exclusively when there can be a variation of factors that affect their mental and physical well-being. The report will attempt its best to uncover also a different side of theories related to health care as a result.</w:t>
      </w:r>
    </w:p>
    <w:p w:rsidR="004D015B" w:rsidP="004D015B" w14:paraId="2F37B8C6" w14:textId="6E1A89BF">
      <w:r w:rsidRPr="00173C42">
        <w:t>The field of social and medical care has a different segment, which offers administrations of medical services to persons with unique requirements. The district uses the mindset of care to help weak people by fulfilling their privileges in understanding the right course of action and codes of instruction. The administration's clients are also protected from abuse and mischief through these provisions. The individual habitat approach used by administrations guarantees the individual requirements of buyers. Even though the way of thinking is used to create care for patients, moral problems are also possible. Therefore, social professionals have a duty to play all the vital training for consistent understanding and to do what is usually expected of them to provide clients to the administration.</w:t>
      </w:r>
    </w:p>
    <w:p w:rsidR="004D015B" w:rsidP="004D015B" w14:paraId="07B83DB4" w14:textId="029D12DF">
      <w:pPr>
        <w:pStyle w:val="Heading1"/>
      </w:pPr>
      <w:bookmarkStart w:id="1" w:name="_Toc80831547"/>
      <w:r>
        <w:t>Discussion</w:t>
      </w:r>
      <w:bookmarkEnd w:id="1"/>
    </w:p>
    <w:p w:rsidR="00173C42" w:rsidP="00173C42" w14:paraId="3813B8EC" w14:textId="77777777">
      <w:r>
        <w:t xml:space="preserve">In basic terms, standards allude to rules or rules defined to achieve a specific goal. The conversation gave </w:t>
      </w:r>
      <w:r>
        <w:t>centres</w:t>
      </w:r>
      <w:r>
        <w:t xml:space="preserve"> around standards of care that are extremely important for the development of the social and medical environment. Welfare and social workers typically use help rules to ensure that clients receive quality treatment without any kind of separation. By law, this means treating everyone with respect, not against the biased practice (</w:t>
      </w:r>
      <w:r>
        <w:t>Calpin</w:t>
      </w:r>
      <w:r>
        <w:t xml:space="preserve"> et al., 2012). This can be achieved effortlessly by improving the privileges of individuals as well as patients who need long-distance care more often than they find themselves deprived of autonomy and respect. In an environment of well-being and social reflection, by offering help to the characters and beliefs of others, standards of help are applied to ensure justice. For example, if the majority of welfare staff are Christians, each staff member will be required to go to the congregation without paying attention to the individual's lifestyle, beliefs, or customs.</w:t>
      </w:r>
    </w:p>
    <w:p w:rsidR="00173C42" w:rsidP="00173C42" w14:paraId="67A9F45F" w14:textId="77777777">
      <w:r>
        <w:t>Another strategy for applying the standards of assistance to individual social and medical care is through the act of authorizing persuasive correspondence by any individual in well-being, whether a specialist, attendant, steward or care staff. Offering help to these people allows them to see how to use some creative achievements to help themselves. For example, some help clients may figure out how to execute computer-related orders, and therefore may be supported when performing such an endeavour.</w:t>
      </w:r>
    </w:p>
    <w:p w:rsidR="00173C42" w:rsidP="00173C42" w14:paraId="7E10DB04" w14:textId="77777777">
      <w:r>
        <w:t>Maintaining patient health and providing well-being and comfort is one of the main points of the goals of work in this area. Ensuring the safety of patients, workers, and others directly related to the climate of medical services is a key concern for the well-being and social professionals. To ensure an indisputable level of security for all in the association, it is also important, as a matter of paramount importance, to distinguish between the objectives for hazards and risks (Day 2013). There are different types of damage, including mental, physical, monetary and enthusiastic. Healthcare providers must ensure that they generally offer quality types of care that are powerful and safe at the same time, following the guidelines. Patients can be protected from almost all risks if care has carefully adhered to safety principles.</w:t>
      </w:r>
    </w:p>
    <w:p w:rsidR="004D015B" w:rsidP="00173C42" w14:paraId="1575FA8E" w14:textId="459DA804">
      <w:r>
        <w:t>Dealing with crazy people is a difficult task as they need more mental help to fully recover. From now on, to protect such patients, healthcare providers must limit their options in general. It is difficult to protect patients from enthusiastic harm because people have different points of view and characters. Offering passionate help through heart practices and showing love is the best sensible response for such patients. Regularly, their social status with relatives is extremely poor and they can be extremely strong here and there. After all, all they need is a companion to save them from passionate harm. Through legitimate medicine, food, creams as well as provisions, care providers may be able to offer insurance as they help customers meet their obligations if they cannot monitor or run their own business. In addition, it is important to ensure the well-being of individual colleagues in a well-being and group environment. In contrast to different vocations, work in social and medical care has a greater number of dangers than in any other job, in case of an accident or negative activity, the positions of workers have been affected antagonistically. Therefore, you must be constantly up to date with well-being just as the security approaches.</w:t>
      </w:r>
    </w:p>
    <w:p w:rsidR="00173C42" w:rsidP="00173C42" w14:paraId="4C438781" w14:textId="2FF8C6E5">
      <w:r w:rsidRPr="00173C42">
        <w:t xml:space="preserve">An individual-focused methodology incorporates supporting and achieving the customers' desires, inclinations just as requirements. Administration clients are provoked to settle on decisions by just keeping up with their nobility and security. In a social and medical care setting, it is probably the best practice to deal with patients. Through such satisfaction of the patients' requests, the methodology ensures the most extreme consideration. The necessities and requests made by the patients are upheld and accomplished in this technique which has been ending up being powerful in the client's wellbeing and prosperity. Individually focused methodologies permit well-being labourers alongside the shoppers to have more noteworthy command over their own lives. The interaction makes this conceivable as it permits patients to settle on decisions in regards to the kinds of care administrations they can have the option to effectively get </w:t>
      </w:r>
      <w:r w:rsidRPr="00173C42">
        <w:t>to</w:t>
      </w:r>
      <w:r w:rsidRPr="00173C42">
        <w:t xml:space="preserve"> comprehensive of how and when they are conveyed to them. For wellbeing and social consideration suppliers to esteem and look to know the patients, they are furnishing with care administrations. Expressly connecting with the help clients, care suppliers accumulate experiences in regards to the patient and know them better. This aids </w:t>
      </w:r>
      <w:r w:rsidRPr="00173C42">
        <w:t>in understanding their encounters and supporting them to recuperate however much respect and freedom as could be expected.</w:t>
      </w:r>
    </w:p>
    <w:p w:rsidR="00173C42" w:rsidP="00173C42" w14:paraId="41916DC4" w14:textId="77777777">
      <w:r>
        <w:t xml:space="preserve">Well-being labourers and professionals accept a wide scope of obligations that must, at last, serve the wellbeing of the customers. </w:t>
      </w:r>
      <w:r>
        <w:t>Therefore</w:t>
      </w:r>
      <w:r>
        <w:t xml:space="preserve"> it is significant for medical services suppliers to comply with authoritative arrangements and rules now and again as one of the resources to direct their activities. </w:t>
      </w:r>
      <w:r>
        <w:t>Actually</w:t>
      </w:r>
      <w:r>
        <w:t xml:space="preserve">, like any human administrations calling, well-being labourers and professionals face various difficulties moral situations in their training. Hence, a moral quandary can be clarified as a contention between more than one moral standard. </w:t>
      </w:r>
    </w:p>
    <w:p w:rsidR="00173C42" w:rsidP="00173C42" w14:paraId="75F31608" w14:textId="032CDFAF">
      <w:r>
        <w:t xml:space="preserve">One of the significant predicaments that face social specialists while controlling medical care administrations is the distinctions in upright and qualities between care suppliers and clients. Each well-being </w:t>
      </w:r>
      <w:r>
        <w:t>labourer</w:t>
      </w:r>
      <w:r>
        <w:t xml:space="preserve"> has its internal worth framework and set of ethics. In demonstrate hatred for the best </w:t>
      </w:r>
      <w:r>
        <w:t>endeavours</w:t>
      </w:r>
      <w:r>
        <w:t xml:space="preserve"> to keep control of their sentiments and regard contrasts, wellbeing labourers are regularly faced with circumstances whereby their ethics and qualities struggle with the upsides of the assistance clients. For example, a social specialist who has a specific strict worth concerning early termination may confront a </w:t>
      </w:r>
      <w:r>
        <w:t>moral problem</w:t>
      </w:r>
      <w:r>
        <w:t xml:space="preserve"> when attempting to help a teen client who wishes to dispose of undesirable pregnancy. Furthermore, the two experts and labourers face a moral predicament justified to privacy versus the right to self-assurance particularly in circumstances of self-destructive customers. Well-being labourers should regard a client right to protection and privacy. They should likewise regard the </w:t>
      </w:r>
      <w:r>
        <w:t>client's</w:t>
      </w:r>
      <w:r>
        <w:t xml:space="preserve"> on the right track to self-assurance which is the option to choose his/her </w:t>
      </w:r>
      <w:r>
        <w:t>favoured</w:t>
      </w:r>
      <w:r>
        <w:t xml:space="preserve"> strategy. The models gave above of normal moral issues a few wellbeing labourers face and just requires polished methodology just as incredible judgment of character.</w:t>
      </w:r>
    </w:p>
    <w:p w:rsidR="004D015B" w:rsidP="004D015B" w14:paraId="5BB9F801" w14:textId="5EE99E4C">
      <w:pPr>
        <w:pStyle w:val="Heading1"/>
      </w:pPr>
      <w:bookmarkStart w:id="2" w:name="_Toc80831548"/>
      <w:r>
        <w:t>Analysis</w:t>
      </w:r>
      <w:bookmarkEnd w:id="2"/>
    </w:p>
    <w:p w:rsidR="004D015B" w:rsidP="004D015B" w14:paraId="35D81557" w14:textId="3DFA8091">
      <w:r w:rsidRPr="00173C42">
        <w:t xml:space="preserve">It is fundamental to carry out arrangements, enactment, guidelines just as a code of training which line up with the public just as nearby approaches and enactment to ensure that purchasers are continually getting superb consideration administrations. The way that this vocation is an extremely delicate one, well-being and social </w:t>
      </w:r>
      <w:r w:rsidRPr="00173C42">
        <w:t>labourer</w:t>
      </w:r>
      <w:r w:rsidRPr="00173C42">
        <w:t xml:space="preserve"> ought to stand and hold fast to rules and guidelines as the administration should guarantee that help quality is appropriately kept up within understanding to the laws and codes of training. Labourers are additionally expected to follow the data security act which ensures that any essential customer data isn't uncovered. As indicated by the data security act, the approval to get to the data is just for the suitable person.</w:t>
      </w:r>
    </w:p>
    <w:p w:rsidR="00173C42" w:rsidP="004D015B" w14:paraId="4E230DC5" w14:textId="78AB5DA0">
      <w:r w:rsidRPr="00173C42">
        <w:t xml:space="preserve">COSSH are also another control measure that is guaranteed in this demonstration in this solitary, where then substances and synthetic compounds can be used. Only the right individual can turn to specialists in blanching, fixing substances, cabinet compartments and detergents, which are usually kept in a locked area (Healy, 2005). The locked safety zone is also used to store the medicine for patients as a facility </w:t>
      </w:r>
      <w:r w:rsidRPr="00173C42">
        <w:t>that must be reached by a person who is currently at work. Consistent perceptions of well-being, just as ensuring that safety efforts come first, is a right responsibility passed on to all friendly and prosperous workers.</w:t>
      </w:r>
    </w:p>
    <w:p w:rsidR="004D015B" w:rsidP="004D015B" w14:paraId="570BF0F0" w14:textId="38522715">
      <w:r w:rsidRPr="00173C42">
        <w:t xml:space="preserve">Approaches and systems are usually developed to give rules to both professionals and organizations. Unlike public arrangements, which are much more focused, </w:t>
      </w:r>
      <w:r w:rsidRPr="00173C42">
        <w:t>neighbourhood</w:t>
      </w:r>
      <w:r w:rsidRPr="00173C42">
        <w:t xml:space="preserve"> approaches simply reflect a slight expansion. Thus, in order to promote </w:t>
      </w:r>
      <w:r w:rsidRPr="00173C42">
        <w:t>neighbourhood</w:t>
      </w:r>
      <w:r w:rsidRPr="00173C42">
        <w:t xml:space="preserve"> strategies that meet the prerequisites for public approaches, the location nearby must be vigorous and extremely simple. Moreover, it should not be difficult to clear and improve the viability of the strategy, which in many cases leads to such countless disorders. There should be little freedom to confuse the arrangements made. Adhering to public strategies, </w:t>
      </w:r>
      <w:r w:rsidRPr="00173C42">
        <w:t>neighbourhood</w:t>
      </w:r>
      <w:r w:rsidRPr="00173C42">
        <w:t xml:space="preserve"> layouts will then reflect lifestyle just like the tasks of nearby </w:t>
      </w:r>
      <w:r w:rsidRPr="00173C42">
        <w:t>neighbourhoods</w:t>
      </w:r>
      <w:r w:rsidRPr="00173C42">
        <w:t xml:space="preserve"> (</w:t>
      </w:r>
      <w:r w:rsidRPr="00173C42">
        <w:t>Leathard</w:t>
      </w:r>
      <w:r w:rsidRPr="00173C42">
        <w:t xml:space="preserve"> and McLaren, 2007). Diversity will be familiar with different associations in this regard; not all arrangements are suitable for all associations. Obviously, the arrangements need to be changed in the future to work on the nature of the care benefits that will be provided. Finally, </w:t>
      </w:r>
      <w:r w:rsidRPr="00173C42">
        <w:t>neighbourhood</w:t>
      </w:r>
      <w:r w:rsidRPr="00173C42">
        <w:t xml:space="preserve"> approaches should include fewer dreams. Within the social zone, both </w:t>
      </w:r>
      <w:r w:rsidRPr="00173C42">
        <w:t>neighbourhood</w:t>
      </w:r>
      <w:r w:rsidRPr="00173C42">
        <w:t xml:space="preserve"> and public regulations are reflected, so the zone must be treated following certain administrators. Moreover, with the current ascent on countless foundations, the arrangement is not suitable for all associations. In this way, welfare and social workers need to be truly adaptable, as work on the nature of customer care administration needs to change in future approaches.</w:t>
      </w:r>
    </w:p>
    <w:p w:rsidR="004D015B" w:rsidP="004D015B" w14:paraId="69822262" w14:textId="74365B6A">
      <w:r w:rsidRPr="00173C42">
        <w:t>Involvement in foundation approaches, strategies, regulations, rules, guidelines, just as training codes require commitments; thus, these provisions give social workers work rules that must be strictly followed, which clarifies why the acceptance and approaches expect the associations to actually lead the training. Indeed, detailing these arrangements is anything but a simple task, especially shaping approaches to communities for well-being and social attention. An important angle that must be taken into account when defining authoritative approaches should not be a violation of fundamental freedoms in hierarchical strategies (</w:t>
      </w:r>
      <w:r w:rsidRPr="00173C42">
        <w:t>Teater</w:t>
      </w:r>
      <w:r w:rsidRPr="00173C42">
        <w:t>, 2010). An appropriate, coordinated, just like a moral workspace, will be created for the clients of the help, just as friendly parental figures, if they try in a decree and law. With the help of hierarchical provisions, the foundation can work without major problems. A representative will be fined or even lose his job in case someone violates the laws and regulations. A representative may ask if some workers are confused about the laws and guidelines, and to get out of trouble, they will help him. To comply with the principles and guidelines, both managers and workers are obliged, and a separate position will find quick ways to deal with them or even reject them in case someone breaks the law.</w:t>
      </w:r>
    </w:p>
    <w:p w:rsidR="004D015B" w:rsidP="004D015B" w14:paraId="406DE923" w14:textId="34E62A70">
      <w:pPr>
        <w:pStyle w:val="Heading1"/>
      </w:pPr>
      <w:bookmarkStart w:id="3" w:name="_Toc80831549"/>
      <w:r>
        <w:t>Recommendations</w:t>
      </w:r>
      <w:bookmarkEnd w:id="3"/>
    </w:p>
    <w:p w:rsidR="004D015B" w:rsidP="004D015B" w14:paraId="26ED64FF" w14:textId="41588315">
      <w:r w:rsidRPr="00173C42">
        <w:t xml:space="preserve">There is some definite speculation in the field of social and medical rehearsals. Buyer requirements, including various other occasions and methodologies, receive </w:t>
      </w:r>
      <w:r w:rsidRPr="00173C42">
        <w:t>the need for these hypotheses. In addition, these hypotheses help to improve plans that help to achieve solid expectations for everyday conveniences, as well as to achieve significant degrees of physical, deep social, mental and passionate readiness for the administration's clients. Maslow's progress in needs is one of the hypotheses of well-being and social attention (Dark &amp; ​​Web, 2009). In his hypothesis, the needs of individuals are characterized at different levels and the basic prerequisites are first positioned. This hypothesis assumes that without satisfying the basic level, the individual does not move to the powerful subsequent, physiological requirements which are considered as the most necessary needs in this hypothesis. The next level includes security and well-being, confidence and cultivation, love and belonging. Subsequently, this hypothesis is realized in the preparation of a plan for examination and administration for a patient.</w:t>
      </w:r>
    </w:p>
    <w:p w:rsidR="004D015B" w:rsidP="004D015B" w14:paraId="7C485D81" w14:textId="765CF4F5">
      <w:r w:rsidRPr="00173C42">
        <w:t>Another common hypothesis is human development and improvement. In this case, a variety of help, just as conscious, is required mainly at different levels. In terms of developments, age and development, the field of social and medical care has changed exclusively in terms of dealing with administrations. Thinking of direct, social cycles, stress managers and various hypotheses are implemented in places for friendly and medical services. In this area, the speculations mentioned above will generally play a huge role in quality work, as will the viability of care providers and experts. Social workers need to adapt to different types of people in friendly and medical services. From now on, the above speculations help to understand the top-down behaviour of buyers and their mentality. To quickly recover patients from various pressures and diseases, caregivers will successfully deal with their patients. About clients' own jobs and obligations and authoritative arrangements and the supervision of patients and their practices, the administration's clients must have sufficient information to offer better types of care.</w:t>
      </w:r>
    </w:p>
    <w:p w:rsidR="004D015B" w:rsidP="004D015B" w14:paraId="6B8028BA" w14:textId="77777777">
      <w:pPr>
        <w:pStyle w:val="Heading1"/>
      </w:pPr>
      <w:bookmarkStart w:id="4" w:name="_Toc80831550"/>
      <w:r>
        <w:t>Conclusion</w:t>
      </w:r>
      <w:bookmarkEnd w:id="4"/>
    </w:p>
    <w:p w:rsidR="004D015B" w:rsidP="004D015B" w14:paraId="2EA758B7" w14:textId="4964456C">
      <w:r w:rsidRPr="00173C42">
        <w:t>Almost everyone in our general public should visit a health therapy office sooner or later because no one is safe from all infections and dangers. Healthcare professionals are committed to providing care to clients and take on a vital role in treating patients' illnesses. Subsequently, care providers must follow the principles and guidelines of the Welfare and Social Policy Service. Moreover, they need to know consistently about their responsibilities. If fortunately, social workers cooperate with the public authorities and the two agree to work together with other welfare services, it is quite possible to reduce the risk of a dangerous disease and other various risks from the general public.</w:t>
      </w:r>
    </w:p>
    <w:p w:rsidR="004D015B" w:rsidP="004D015B" w14:paraId="4458D10E" w14:textId="77777777"/>
    <w:p w:rsidR="004D015B" w:rsidP="004D015B" w14:paraId="1E58CD7F" w14:textId="77777777">
      <w:pPr>
        <w:pStyle w:val="Heading1"/>
      </w:pPr>
      <w:bookmarkStart w:id="5" w:name="_Toc80831551"/>
      <w:r>
        <w:t>Reference List</w:t>
      </w:r>
      <w:bookmarkEnd w:id="5"/>
    </w:p>
    <w:p w:rsidR="004D015B" w:rsidP="004D015B" w14:paraId="79136E28" w14:textId="77777777">
      <w:r>
        <w:t>Calpin</w:t>
      </w:r>
      <w:r>
        <w:t xml:space="preserve">, P.J., Langridge, E., Morgan, B, Platts, R, Rowe, J &amp; Scragg, T. (2012), Diploma in Leadership for Health and Social Care Level 5, Nelson </w:t>
      </w:r>
      <w:r>
        <w:t>Thornes.</w:t>
      </w:r>
      <w:r>
        <w:t xml:space="preserve"> ISBN: 978-1408518106 </w:t>
      </w:r>
    </w:p>
    <w:p w:rsidR="004D015B" w:rsidP="004D015B" w14:paraId="5DDCB159" w14:textId="3BA27469">
      <w:r>
        <w:t xml:space="preserve">Day, J. (2013). Interprofessional Working: An Essential Guide for Health and Social Care Professionals, Thomson </w:t>
      </w:r>
      <w:r>
        <w:t>Learning,</w:t>
      </w:r>
      <w:r>
        <w:t xml:space="preserve"> ISBN: 978-1408074954</w:t>
      </w:r>
    </w:p>
    <w:p w:rsidR="004D015B" w:rsidP="004D015B" w14:paraId="07E71B70" w14:textId="6258A3F4">
      <w:r>
        <w:t xml:space="preserve">Gray, M. and Webb, S.A. (eds). (2009) Social Work: Theories and Methods, </w:t>
      </w:r>
      <w:r>
        <w:t>Sage,</w:t>
      </w:r>
      <w:r>
        <w:t xml:space="preserve"> ISBN: 978-1412947411</w:t>
      </w:r>
    </w:p>
    <w:p w:rsidR="004D015B" w:rsidP="004D015B" w14:paraId="06CA565A" w14:textId="5E6412D1">
      <w:r>
        <w:t xml:space="preserve">Healy, K. (2005). Social Work Theories in Context, Palgrave </w:t>
      </w:r>
      <w:r>
        <w:t>Macmillan.ISBN</w:t>
      </w:r>
      <w:r>
        <w:t xml:space="preserve">: 978-1403916228 </w:t>
      </w:r>
    </w:p>
    <w:p w:rsidR="004D015B" w:rsidP="004D015B" w14:paraId="1B5F7CEF" w14:textId="77777777">
      <w:r>
        <w:t xml:space="preserve">Healy, </w:t>
      </w:r>
      <w:r>
        <w:t>J.(</w:t>
      </w:r>
      <w:r>
        <w:t>2011). Improving Health Care Safety and Quality (Law, Ethics and Governance), Ashgate. ISBN: 978-0754676447</w:t>
      </w:r>
    </w:p>
    <w:p w:rsidR="004D015B" w:rsidP="004D015B" w14:paraId="3948A62E" w14:textId="77777777">
      <w:r>
        <w:t>Leathard</w:t>
      </w:r>
      <w:r>
        <w:t xml:space="preserve">, A &amp; McLaren Ethics. (2007). Contemporary Challenges in Health and Social Care, Policy </w:t>
      </w:r>
      <w:r>
        <w:t>Press,</w:t>
      </w:r>
      <w:r>
        <w:t xml:space="preserve"> ISBN: 978-1861347558</w:t>
      </w:r>
    </w:p>
    <w:p w:rsidR="004D015B" w:rsidP="004D015B" w14:paraId="331C05E2" w14:textId="77777777">
      <w:r>
        <w:t>Teater</w:t>
      </w:r>
      <w:r>
        <w:t xml:space="preserve">, B. (2010). An Introduction to Applying Social Work Theories and Methods, Open University </w:t>
      </w:r>
      <w:r>
        <w:t>Press,</w:t>
      </w:r>
      <w:r>
        <w:t xml:space="preserve"> ISBN: 978-0335237784</w:t>
      </w:r>
    </w:p>
    <w:p w:rsidR="004D015B" w:rsidP="004D015B" w14:paraId="1C77E863" w14:textId="551A7A67">
      <w:r>
        <w:t>Thompson, N. (2000). Theory and practice in human services, Open University Press, ISBN: 978-0335204250</w:t>
      </w:r>
    </w:p>
    <w:sectPr w:rsidSect="00C55530">
      <w:footerReference w:type="even" r:id="rId7"/>
      <w:footerReference w:type="default" r:id="rId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Style w:val="PageNumber"/>
      </w:rPr>
      <w:id w:val="743689419"/>
      <w:docPartObj>
        <w:docPartGallery w:val="Page Numbers (Bottom of Page)"/>
        <w:docPartUnique/>
      </w:docPartObj>
    </w:sdtPr>
    <w:sdtEndPr>
      <w:rPr>
        <w:rStyle w:val="PageNumber"/>
      </w:rPr>
    </w:sdtEndPr>
    <w:sdtContent>
      <w:p w:rsidR="004D015B" w:rsidP="003F3A57" w14:paraId="69F8F106" w14:textId="4C272E5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rsidR="004D015B" w:rsidP="004D015B" w14:paraId="4D4EFAD1" w14:textId="7777777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rStyle w:val="PageNumber"/>
      </w:rPr>
      <w:id w:val="-529644941"/>
      <w:docPartObj>
        <w:docPartGallery w:val="Page Numbers (Bottom of Page)"/>
        <w:docPartUnique/>
      </w:docPartObj>
    </w:sdtPr>
    <w:sdtEndPr>
      <w:rPr>
        <w:rStyle w:val="PageNumber"/>
      </w:rPr>
    </w:sdtEndPr>
    <w:sdtContent>
      <w:p w:rsidR="004D015B" w:rsidP="003F3A57" w14:paraId="4F43A5A1" w14:textId="2551258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4D015B" w:rsidP="004D015B" w14:paraId="1E5F7622" w14:textId="77777777">
    <w:pPr>
      <w:pStyle w:val="Footer"/>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15B"/>
    <w:rsid w:val="00173C42"/>
    <w:rsid w:val="00316587"/>
    <w:rsid w:val="003930EB"/>
    <w:rsid w:val="003F3A57"/>
    <w:rsid w:val="004D015B"/>
    <w:rsid w:val="005433BA"/>
    <w:rsid w:val="007A3D60"/>
    <w:rsid w:val="00C55530"/>
    <w:rsid w:val="00D64E4F"/>
    <w:rsid w:val="00D74B50"/>
    <w:rsid w:val="00EB0A82"/>
    <w:rsid w:val="00F8010B"/>
  </w:rsids>
  <m:mathPr>
    <m:mathFont m:val="Cambria Math"/>
  </m:mathPr>
  <w:themeFontLang w:val="en-GB"/>
  <w:clrSchemeMapping w:bg1="light1" w:t1="dark1" w:bg2="light2" w:t2="dark2" w:accent1="accent1" w:accent2="accent2" w:accent3="accent3" w:accent4="accent4" w:accent5="accent5" w:accent6="accent6" w:hyperlink="hyperlink" w:followedHyperlink="followedHyperlink"/>
  <w14:docId w14:val="1191DBCF"/>
  <w15:chartTrackingRefBased/>
  <w15:docId w15:val="{5F12BBC6-9B9C-C543-8F47-F0547DFC1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010B"/>
    <w:pPr>
      <w:spacing w:after="200" w:line="276" w:lineRule="auto"/>
    </w:pPr>
    <w:rPr>
      <w:rFonts w:ascii="Arial" w:hAnsi="Arial"/>
      <w:szCs w:val="22"/>
    </w:rPr>
  </w:style>
  <w:style w:type="paragraph" w:styleId="Heading1">
    <w:name w:val="heading 1"/>
    <w:basedOn w:val="Normal"/>
    <w:next w:val="Normal"/>
    <w:link w:val="Heading1Char"/>
    <w:uiPriority w:val="9"/>
    <w:qFormat/>
    <w:rsid w:val="004D01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D01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15B"/>
    <w:rPr>
      <w:rFonts w:ascii="Arial" w:hAnsi="Arial"/>
      <w:szCs w:val="22"/>
    </w:rPr>
  </w:style>
  <w:style w:type="character" w:styleId="PageNumber">
    <w:name w:val="page number"/>
    <w:basedOn w:val="DefaultParagraphFont"/>
    <w:uiPriority w:val="99"/>
    <w:semiHidden/>
    <w:unhideWhenUsed/>
    <w:rsid w:val="004D015B"/>
  </w:style>
  <w:style w:type="character" w:customStyle="1" w:styleId="Heading1Char">
    <w:name w:val="Heading 1 Char"/>
    <w:basedOn w:val="DefaultParagraphFont"/>
    <w:link w:val="Heading1"/>
    <w:uiPriority w:val="9"/>
    <w:rsid w:val="004D01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C55530"/>
    <w:pPr>
      <w:spacing w:before="480"/>
      <w:outlineLvl w:val="9"/>
    </w:pPr>
    <w:rPr>
      <w:b/>
      <w:bCs/>
      <w:sz w:val="28"/>
      <w:szCs w:val="28"/>
      <w:lang w:val="en-US"/>
    </w:rPr>
  </w:style>
  <w:style w:type="paragraph" w:styleId="TOC1">
    <w:name w:val="toc 1"/>
    <w:basedOn w:val="Normal"/>
    <w:next w:val="Normal"/>
    <w:autoRedefine/>
    <w:uiPriority w:val="39"/>
    <w:unhideWhenUsed/>
    <w:rsid w:val="00C55530"/>
    <w:pPr>
      <w:spacing w:before="120" w:after="0"/>
    </w:pPr>
    <w:rPr>
      <w:rFonts w:asciiTheme="minorHAnsi" w:hAnsiTheme="minorHAnsi" w:cstheme="minorHAnsi"/>
      <w:b/>
      <w:bCs/>
      <w:i/>
      <w:iCs/>
      <w:szCs w:val="24"/>
    </w:rPr>
  </w:style>
  <w:style w:type="character" w:styleId="Hyperlink">
    <w:name w:val="Hyperlink"/>
    <w:basedOn w:val="DefaultParagraphFont"/>
    <w:uiPriority w:val="99"/>
    <w:unhideWhenUsed/>
    <w:rsid w:val="00C55530"/>
    <w:rPr>
      <w:color w:val="0563C1" w:themeColor="hyperlink"/>
      <w:u w:val="single"/>
    </w:rPr>
  </w:style>
  <w:style w:type="paragraph" w:styleId="TOC2">
    <w:name w:val="toc 2"/>
    <w:basedOn w:val="Normal"/>
    <w:next w:val="Normal"/>
    <w:autoRedefine/>
    <w:uiPriority w:val="39"/>
    <w:semiHidden/>
    <w:unhideWhenUsed/>
    <w:rsid w:val="00C55530"/>
    <w:pPr>
      <w:spacing w:before="120" w:after="0"/>
      <w:ind w:left="240"/>
    </w:pPr>
    <w:rPr>
      <w:rFonts w:asciiTheme="minorHAnsi" w:hAnsiTheme="minorHAnsi" w:cstheme="minorHAnsi"/>
      <w:b/>
      <w:bCs/>
      <w:sz w:val="22"/>
    </w:rPr>
  </w:style>
  <w:style w:type="paragraph" w:styleId="TOC3">
    <w:name w:val="toc 3"/>
    <w:basedOn w:val="Normal"/>
    <w:next w:val="Normal"/>
    <w:autoRedefine/>
    <w:uiPriority w:val="39"/>
    <w:semiHidden/>
    <w:unhideWhenUsed/>
    <w:rsid w:val="00C55530"/>
    <w:pPr>
      <w:spacing w:after="0"/>
      <w:ind w:left="48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C55530"/>
    <w:pPr>
      <w:spacing w:after="0"/>
      <w:ind w:left="72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C55530"/>
    <w:pPr>
      <w:spacing w:after="0"/>
      <w:ind w:left="96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C55530"/>
    <w:pPr>
      <w:spacing w:after="0"/>
      <w:ind w:left="12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C55530"/>
    <w:pPr>
      <w:spacing w:after="0"/>
      <w:ind w:left="144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C55530"/>
    <w:pPr>
      <w:spacing w:after="0"/>
      <w:ind w:left="168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C55530"/>
    <w:pPr>
      <w:spacing w:after="0"/>
      <w:ind w:left="1920"/>
    </w:pPr>
    <w:rPr>
      <w:rFonts w:asciiTheme="minorHAnsi" w:hAnsiTheme="minorHAnsi" w:cstheme="minorHAnsi"/>
      <w:sz w:val="20"/>
      <w:szCs w:val="20"/>
    </w:rPr>
  </w:style>
  <w:style w:type="paragraph" w:styleId="NoSpacing">
    <w:name w:val="No Spacing"/>
    <w:link w:val="NoSpacingChar"/>
    <w:uiPriority w:val="1"/>
    <w:qFormat/>
    <w:rsid w:val="00C55530"/>
    <w:rPr>
      <w:rFonts w:eastAsiaTheme="minorEastAsia"/>
      <w:sz w:val="22"/>
      <w:szCs w:val="22"/>
      <w:lang w:val="en-US" w:eastAsia="zh-CN"/>
    </w:rPr>
  </w:style>
  <w:style w:type="character" w:customStyle="1" w:styleId="NoSpacingChar">
    <w:name w:val="No Spacing Char"/>
    <w:basedOn w:val="DefaultParagraphFont"/>
    <w:link w:val="NoSpacing"/>
    <w:uiPriority w:val="1"/>
    <w:rsid w:val="00C55530"/>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image" Target="media/image1.png" /><Relationship Id="rId6" Type="http://schemas.openxmlformats.org/officeDocument/2006/relationships/image" Target="file:////var/folders/87/6qpq3j7177g0td965h49pxlc0000gn/T/com.microsoft.Word/WebArchiveCopyPasteTempFiles/UWTSD-Logo.png" TargetMode="External" /><Relationship Id="rId7" Type="http://schemas.openxmlformats.org/officeDocument/2006/relationships/footer" Target="footer1.xml" /><Relationship Id="rId8" Type="http://schemas.openxmlformats.org/officeDocument/2006/relationships/footer" Target="footer2.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B9477C1-398E-1D40-9077-B6A74189D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8</Pages>
  <Words>2564</Words>
  <Characters>14620</Characters>
  <Application>Microsoft Office Word</Application>
  <DocSecurity>0</DocSecurity>
  <Lines>121</Lines>
  <Paragraphs>34</Paragraphs>
  <ScaleCrop>false</ScaleCrop>
  <Company/>
  <LinksUpToDate>false</LinksUpToDate>
  <CharactersWithSpaces>17150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BMHP5002 Principles of Health and Social Care Practice</dc:title>
  <dc:subject>Assessment 1</dc:subject>
  <dc:creator>STUDENT ID:1906952</dc:creator>
  <cp:lastModifiedBy>Mariya Georgieva (1906952)</cp:lastModifiedBy>
  <cp:revision>3</cp:revision>
  <dcterms:created xsi:type="dcterms:W3CDTF">2021-08-25T21:53:00Z</dcterms:created>
  <dcterms:modified xsi:type="dcterms:W3CDTF">2021-08-25T22:36:00Z</dcterms:modified>
</cp:coreProperties>
</file>