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311752964"/>
        <w:docPartObj>
          <w:docPartGallery w:val="Cover Pages"/>
          <w:docPartUnique/>
        </w:docPartObj>
      </w:sdtPr>
      <w:sdtEndPr>
        <w:rPr>
          <w:rFonts w:ascii="Arial Black" w:eastAsiaTheme="minorHAnsi" w:hAnsi="Arial Black" w:cs="Arial"/>
          <w:color w:val="auto"/>
          <w:kern w:val="2"/>
          <w:sz w:val="24"/>
          <w:szCs w:val="24"/>
          <w:lang w:val="en-GB"/>
          <w14:ligatures w14:val="standardContextual"/>
        </w:rPr>
      </w:sdtEndPr>
      <w:sdtContent>
        <w:p w14:paraId="5CFEE290" w14:textId="4C8861AD" w:rsidR="00073BD5" w:rsidRDefault="00073BD5">
          <w:pPr>
            <w:pStyle w:val="NoSpacing"/>
            <w:spacing w:before="1540" w:after="240"/>
            <w:jc w:val="center"/>
            <w:rPr>
              <w:color w:val="156082" w:themeColor="accent1"/>
            </w:rPr>
          </w:pPr>
          <w:r>
            <w:rPr>
              <w:noProof/>
              <w:color w:val="156082" w:themeColor="accent1"/>
            </w:rPr>
            <w:drawing>
              <wp:inline distT="0" distB="0" distL="0" distR="0" wp14:anchorId="22EA6C96" wp14:editId="1654750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Black" w:eastAsiaTheme="majorEastAsia" w:hAnsi="Arial Black" w:cstheme="majorBidi"/>
              <w:caps/>
              <w:color w:val="000000" w:themeColor="text1"/>
              <w:sz w:val="72"/>
              <w:szCs w:val="72"/>
            </w:rPr>
            <w:alias w:val="Title"/>
            <w:tag w:val=""/>
            <w:id w:val="1735040861"/>
            <w:placeholder>
              <w:docPart w:val="BC0C4728E07346F5BB1A21B5AF80BF04"/>
            </w:placeholder>
            <w:dataBinding w:prefixMappings="xmlns:ns0='http://purl.org/dc/elements/1.1/' xmlns:ns1='http://schemas.openxmlformats.org/package/2006/metadata/core-properties' " w:xpath="/ns1:coreProperties[1]/ns0:title[1]" w:storeItemID="{6C3C8BC8-F283-45AE-878A-BAB7291924A1}"/>
            <w:text/>
          </w:sdtPr>
          <w:sdtContent>
            <w:p w14:paraId="62C8077E" w14:textId="2272ABF0" w:rsidR="00073BD5" w:rsidRPr="00073BD5" w:rsidRDefault="00073BD5" w:rsidP="00073BD5">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000000" w:themeColor="text1"/>
                  <w:sz w:val="80"/>
                  <w:szCs w:val="80"/>
                </w:rPr>
              </w:pPr>
              <w:r w:rsidRPr="00073BD5">
                <w:rPr>
                  <w:rFonts w:ascii="Arial Black" w:eastAsiaTheme="majorEastAsia" w:hAnsi="Arial Black" w:cstheme="majorBidi"/>
                  <w:caps/>
                  <w:color w:val="000000" w:themeColor="text1"/>
                  <w:sz w:val="72"/>
                  <w:szCs w:val="72"/>
                </w:rPr>
                <w:t>Opportunities and Threats to Social Enterprise</w:t>
              </w:r>
            </w:p>
          </w:sdtContent>
        </w:sdt>
        <w:p w14:paraId="2ED455C0" w14:textId="77777777" w:rsidR="00073BD5" w:rsidRDefault="00073BD5">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11B8DA0" wp14:editId="5915106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5-10-31T00:00:00Z">
                                    <w:dateFormat w:val="MMMM d, yyyy"/>
                                    <w:lid w:val="en-US"/>
                                    <w:storeMappedDataAs w:val="dateTime"/>
                                    <w:calendar w:val="gregorian"/>
                                  </w:date>
                                </w:sdtPr>
                                <w:sdtContent>
                                  <w:p w14:paraId="66A8E45C" w14:textId="23D5CA1A" w:rsidR="00073BD5" w:rsidRPr="00073BD5" w:rsidRDefault="00073BD5">
                                    <w:pPr>
                                      <w:pStyle w:val="NoSpacing"/>
                                      <w:spacing w:after="40"/>
                                      <w:jc w:val="center"/>
                                      <w:rPr>
                                        <w:rFonts w:ascii="Arial Black" w:hAnsi="Arial Black"/>
                                        <w:caps/>
                                        <w:color w:val="000000" w:themeColor="text1"/>
                                        <w:sz w:val="28"/>
                                        <w:szCs w:val="28"/>
                                      </w:rPr>
                                    </w:pPr>
                                    <w:r w:rsidRPr="00073BD5">
                                      <w:rPr>
                                        <w:rFonts w:ascii="Arial Black" w:hAnsi="Arial Black"/>
                                        <w:caps/>
                                        <w:color w:val="000000" w:themeColor="text1"/>
                                        <w:sz w:val="28"/>
                                        <w:szCs w:val="28"/>
                                      </w:rPr>
                                      <w:t>October 31, 2025</w:t>
                                    </w:r>
                                  </w:p>
                                </w:sdtContent>
                              </w:sdt>
                              <w:p w14:paraId="784D8711" w14:textId="751AAAFF" w:rsidR="00073BD5" w:rsidRPr="00073BD5" w:rsidRDefault="00073BD5">
                                <w:pPr>
                                  <w:pStyle w:val="NoSpacing"/>
                                  <w:jc w:val="center"/>
                                  <w:rPr>
                                    <w:rFonts w:ascii="Arial Black" w:hAnsi="Arial Black"/>
                                    <w:color w:val="000000" w:themeColor="text1"/>
                                  </w:rPr>
                                </w:pPr>
                                <w:sdt>
                                  <w:sdtPr>
                                    <w:rPr>
                                      <w:rFonts w:ascii="Arial Black" w:hAnsi="Arial Black"/>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073BD5">
                                      <w:rPr>
                                        <w:rFonts w:ascii="Arial Black" w:hAnsi="Arial Black"/>
                                        <w:caps/>
                                        <w:color w:val="000000" w:themeColor="text1"/>
                                      </w:rPr>
                                      <w:t>Module code:</w:t>
                                    </w:r>
                                    <w:r w:rsidRPr="00073BD5">
                                      <w:rPr>
                                        <w:rFonts w:ascii="Arial Black" w:hAnsi="Arial Black"/>
                                        <w:caps/>
                                        <w:color w:val="000000" w:themeColor="text1"/>
                                      </w:rPr>
                                      <w:t xml:space="preserve"> </w:t>
                                    </w:r>
                                    <w:r w:rsidRPr="00073BD5">
                                      <w:rPr>
                                        <w:rFonts w:ascii="Arial Black" w:hAnsi="Arial Black"/>
                                        <w:caps/>
                                        <w:color w:val="000000" w:themeColor="text1"/>
                                      </w:rPr>
                                      <w:t>BMSE4009D</w:t>
                                    </w:r>
                                  </w:sdtContent>
                                </w:sdt>
                              </w:p>
                              <w:p w14:paraId="51439BB9" w14:textId="447DF6A0" w:rsidR="00073BD5" w:rsidRPr="00073BD5" w:rsidRDefault="00073BD5">
                                <w:pPr>
                                  <w:pStyle w:val="NoSpacing"/>
                                  <w:jc w:val="center"/>
                                  <w:rPr>
                                    <w:rFonts w:ascii="Arial Black" w:hAnsi="Arial Black"/>
                                    <w:color w:val="000000" w:themeColor="text1"/>
                                  </w:rPr>
                                </w:pPr>
                                <w:sdt>
                                  <w:sdtPr>
                                    <w:rPr>
                                      <w:rFonts w:ascii="Arial Black" w:hAnsi="Arial Black"/>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Pr="00073BD5">
                                      <w:rPr>
                                        <w:rFonts w:ascii="Arial Black" w:hAnsi="Arial Black"/>
                                        <w:color w:val="000000" w:themeColor="text1"/>
                                      </w:rPr>
                                      <w:t>Module:</w:t>
                                    </w:r>
                                    <w:r w:rsidRPr="00073BD5">
                                      <w:rPr>
                                        <w:rFonts w:ascii="Arial Black" w:hAnsi="Arial Black"/>
                                        <w:color w:val="000000" w:themeColor="text1"/>
                                      </w:rPr>
                                      <w:t xml:space="preserve"> </w:t>
                                    </w:r>
                                    <w:r w:rsidRPr="00073BD5">
                                      <w:rPr>
                                        <w:rFonts w:ascii="Arial Black" w:hAnsi="Arial Black"/>
                                        <w:color w:val="000000" w:themeColor="text1"/>
                                      </w:rPr>
                                      <w:t xml:space="preserve">Social Enterprise: Theory and </w:t>
                                    </w:r>
                                    <w:r w:rsidRPr="00073BD5">
                                      <w:rPr>
                                        <w:rFonts w:ascii="Arial Black" w:hAnsi="Arial Black"/>
                                        <w:color w:val="000000" w:themeColor="text1"/>
                                      </w:rPr>
                                      <w:t>Practice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11B8DA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Black" w:hAnsi="Arial Black"/>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5-10-31T00:00:00Z">
                              <w:dateFormat w:val="MMMM d, yyyy"/>
                              <w:lid w:val="en-US"/>
                              <w:storeMappedDataAs w:val="dateTime"/>
                              <w:calendar w:val="gregorian"/>
                            </w:date>
                          </w:sdtPr>
                          <w:sdtContent>
                            <w:p w14:paraId="66A8E45C" w14:textId="23D5CA1A" w:rsidR="00073BD5" w:rsidRPr="00073BD5" w:rsidRDefault="00073BD5">
                              <w:pPr>
                                <w:pStyle w:val="NoSpacing"/>
                                <w:spacing w:after="40"/>
                                <w:jc w:val="center"/>
                                <w:rPr>
                                  <w:rFonts w:ascii="Arial Black" w:hAnsi="Arial Black"/>
                                  <w:caps/>
                                  <w:color w:val="000000" w:themeColor="text1"/>
                                  <w:sz w:val="28"/>
                                  <w:szCs w:val="28"/>
                                </w:rPr>
                              </w:pPr>
                              <w:r w:rsidRPr="00073BD5">
                                <w:rPr>
                                  <w:rFonts w:ascii="Arial Black" w:hAnsi="Arial Black"/>
                                  <w:caps/>
                                  <w:color w:val="000000" w:themeColor="text1"/>
                                  <w:sz w:val="28"/>
                                  <w:szCs w:val="28"/>
                                </w:rPr>
                                <w:t>October 31, 2025</w:t>
                              </w:r>
                            </w:p>
                          </w:sdtContent>
                        </w:sdt>
                        <w:p w14:paraId="784D8711" w14:textId="751AAAFF" w:rsidR="00073BD5" w:rsidRPr="00073BD5" w:rsidRDefault="00073BD5">
                          <w:pPr>
                            <w:pStyle w:val="NoSpacing"/>
                            <w:jc w:val="center"/>
                            <w:rPr>
                              <w:rFonts w:ascii="Arial Black" w:hAnsi="Arial Black"/>
                              <w:color w:val="000000" w:themeColor="text1"/>
                            </w:rPr>
                          </w:pPr>
                          <w:sdt>
                            <w:sdtPr>
                              <w:rPr>
                                <w:rFonts w:ascii="Arial Black" w:hAnsi="Arial Black"/>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073BD5">
                                <w:rPr>
                                  <w:rFonts w:ascii="Arial Black" w:hAnsi="Arial Black"/>
                                  <w:caps/>
                                  <w:color w:val="000000" w:themeColor="text1"/>
                                </w:rPr>
                                <w:t>Module code:</w:t>
                              </w:r>
                              <w:r w:rsidRPr="00073BD5">
                                <w:rPr>
                                  <w:rFonts w:ascii="Arial Black" w:hAnsi="Arial Black"/>
                                  <w:caps/>
                                  <w:color w:val="000000" w:themeColor="text1"/>
                                </w:rPr>
                                <w:t xml:space="preserve"> </w:t>
                              </w:r>
                              <w:r w:rsidRPr="00073BD5">
                                <w:rPr>
                                  <w:rFonts w:ascii="Arial Black" w:hAnsi="Arial Black"/>
                                  <w:caps/>
                                  <w:color w:val="000000" w:themeColor="text1"/>
                                </w:rPr>
                                <w:t>BMSE4009D</w:t>
                              </w:r>
                            </w:sdtContent>
                          </w:sdt>
                        </w:p>
                        <w:p w14:paraId="51439BB9" w14:textId="447DF6A0" w:rsidR="00073BD5" w:rsidRPr="00073BD5" w:rsidRDefault="00073BD5">
                          <w:pPr>
                            <w:pStyle w:val="NoSpacing"/>
                            <w:jc w:val="center"/>
                            <w:rPr>
                              <w:rFonts w:ascii="Arial Black" w:hAnsi="Arial Black"/>
                              <w:color w:val="000000" w:themeColor="text1"/>
                            </w:rPr>
                          </w:pPr>
                          <w:sdt>
                            <w:sdtPr>
                              <w:rPr>
                                <w:rFonts w:ascii="Arial Black" w:hAnsi="Arial Black"/>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Pr="00073BD5">
                                <w:rPr>
                                  <w:rFonts w:ascii="Arial Black" w:hAnsi="Arial Black"/>
                                  <w:color w:val="000000" w:themeColor="text1"/>
                                </w:rPr>
                                <w:t>Module:</w:t>
                              </w:r>
                              <w:r w:rsidRPr="00073BD5">
                                <w:rPr>
                                  <w:rFonts w:ascii="Arial Black" w:hAnsi="Arial Black"/>
                                  <w:color w:val="000000" w:themeColor="text1"/>
                                </w:rPr>
                                <w:t xml:space="preserve"> </w:t>
                              </w:r>
                              <w:r w:rsidRPr="00073BD5">
                                <w:rPr>
                                  <w:rFonts w:ascii="Arial Black" w:hAnsi="Arial Black"/>
                                  <w:color w:val="000000" w:themeColor="text1"/>
                                </w:rPr>
                                <w:t xml:space="preserve">Social Enterprise: Theory and </w:t>
                              </w:r>
                              <w:r w:rsidRPr="00073BD5">
                                <w:rPr>
                                  <w:rFonts w:ascii="Arial Black" w:hAnsi="Arial Black"/>
                                  <w:color w:val="000000" w:themeColor="text1"/>
                                </w:rPr>
                                <w:t>Practice</w:t>
                              </w:r>
                            </w:sdtContent>
                          </w:sdt>
                        </w:p>
                      </w:txbxContent>
                    </v:textbox>
                    <w10:wrap anchorx="margin" anchory="page"/>
                  </v:shape>
                </w:pict>
              </mc:Fallback>
            </mc:AlternateContent>
          </w:r>
          <w:r>
            <w:rPr>
              <w:noProof/>
              <w:color w:val="156082" w:themeColor="accent1"/>
            </w:rPr>
            <w:drawing>
              <wp:inline distT="0" distB="0" distL="0" distR="0" wp14:anchorId="18236B75" wp14:editId="21DE1CC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EFE8A6" w14:textId="4F91128B" w:rsidR="00073BD5" w:rsidRDefault="00073BD5">
          <w:pPr>
            <w:rPr>
              <w:rFonts w:ascii="Arial Black" w:hAnsi="Arial Black" w:cs="Arial"/>
            </w:rPr>
          </w:pPr>
          <w:r>
            <w:rPr>
              <w:rFonts w:ascii="Arial Black" w:hAnsi="Arial Black" w:cs="Arial"/>
            </w:rPr>
            <w:br w:type="page"/>
          </w:r>
        </w:p>
      </w:sdtContent>
    </w:sdt>
    <w:p w14:paraId="00A38F48" w14:textId="4936E4AF" w:rsidR="002C5648" w:rsidRPr="00073BD5" w:rsidRDefault="002C5648" w:rsidP="002C5648">
      <w:pPr>
        <w:spacing w:line="480" w:lineRule="auto"/>
        <w:rPr>
          <w:rFonts w:ascii="Arial Black" w:hAnsi="Arial Black" w:cs="Arial"/>
        </w:rPr>
      </w:pPr>
      <w:r w:rsidRPr="00073BD5">
        <w:rPr>
          <w:rFonts w:ascii="Arial Black" w:hAnsi="Arial Black" w:cs="Arial"/>
        </w:rPr>
        <w:lastRenderedPageBreak/>
        <w:t>Introduction</w:t>
      </w:r>
    </w:p>
    <w:p w14:paraId="4291F051" w14:textId="0D41AE24" w:rsidR="002C5648" w:rsidRPr="002C5648" w:rsidRDefault="002C5648" w:rsidP="002C5648">
      <w:pPr>
        <w:spacing w:line="480" w:lineRule="auto"/>
        <w:rPr>
          <w:rFonts w:ascii="Arial" w:hAnsi="Arial" w:cs="Arial"/>
        </w:rPr>
      </w:pPr>
      <w:r w:rsidRPr="002C5648">
        <w:rPr>
          <w:rFonts w:ascii="Arial" w:hAnsi="Arial" w:cs="Arial"/>
        </w:rPr>
        <w:t>Social enterprises, or organi</w:t>
      </w:r>
      <w:r>
        <w:rPr>
          <w:rFonts w:ascii="Arial" w:hAnsi="Arial" w:cs="Arial"/>
        </w:rPr>
        <w:t>s</w:t>
      </w:r>
      <w:r w:rsidRPr="002C5648">
        <w:rPr>
          <w:rFonts w:ascii="Arial" w:hAnsi="Arial" w:cs="Arial"/>
        </w:rPr>
        <w:t>ations that merge social or environmental missions with a market-oriented approach, play an increasingly important role in alleviating inequality, sustainability, and community development. By seeking to create social impact within a financially sustainable framework, they bring together an entrepreneurial spirit with moral obligations. It is worth noting, however, each geographic region has its own definitional or practice bias: Europe has the most prominent tradition of co-operation and participatory models, while the United States emphasi</w:t>
      </w:r>
      <w:r>
        <w:rPr>
          <w:rFonts w:ascii="Arial" w:hAnsi="Arial" w:cs="Arial"/>
        </w:rPr>
        <w:t>s</w:t>
      </w:r>
      <w:r w:rsidRPr="002C5648">
        <w:rPr>
          <w:rFonts w:ascii="Arial" w:hAnsi="Arial" w:cs="Arial"/>
        </w:rPr>
        <w:t>es entrepreneurial innovation and private sector entrepreneurialism (</w:t>
      </w:r>
      <w:proofErr w:type="spellStart"/>
      <w:r w:rsidRPr="002C5648">
        <w:rPr>
          <w:rFonts w:ascii="Arial" w:hAnsi="Arial" w:cs="Arial"/>
        </w:rPr>
        <w:t>Defourny</w:t>
      </w:r>
      <w:proofErr w:type="spellEnd"/>
      <w:r w:rsidRPr="002C5648">
        <w:rPr>
          <w:rFonts w:ascii="Arial" w:hAnsi="Arial" w:cs="Arial"/>
        </w:rPr>
        <w:t xml:space="preserve"> &amp; Nyssens 2021). Simultaneously, the emergence of digital transformation processes, climate change, and new expectations for social change have created new conditions and context for social enterprises. This topic is explored through a SWOT lens to examine the key contributors to growth of social enterprise. This SWOT analysis examines the strengths, weaknesses, opportunities, and threats influencing social enterprises in today's world</w:t>
      </w:r>
      <w:r>
        <w:rPr>
          <w:rFonts w:ascii="Arial" w:hAnsi="Arial" w:cs="Arial"/>
        </w:rPr>
        <w:t xml:space="preserve"> </w:t>
      </w:r>
      <w:r w:rsidRPr="002C5648">
        <w:rPr>
          <w:rFonts w:ascii="Arial" w:hAnsi="Arial" w:cs="Arial"/>
        </w:rPr>
        <w:t>(Gigauri, Apostu, &amp; Popescu, 2023</w:t>
      </w:r>
      <w:r>
        <w:rPr>
          <w:rFonts w:ascii="Arial" w:hAnsi="Arial" w:cs="Arial"/>
        </w:rPr>
        <w:t>).</w:t>
      </w:r>
      <w:r w:rsidRPr="002C5648">
        <w:rPr>
          <w:rFonts w:ascii="Arial" w:hAnsi="Arial" w:cs="Arial"/>
        </w:rPr>
        <w:t xml:space="preserve"> </w:t>
      </w:r>
    </w:p>
    <w:p w14:paraId="73BD2D30" w14:textId="77777777" w:rsidR="002C5648" w:rsidRPr="002C5648" w:rsidRDefault="002C5648" w:rsidP="002C5648">
      <w:pPr>
        <w:spacing w:line="480" w:lineRule="auto"/>
        <w:rPr>
          <w:rFonts w:ascii="Arial" w:hAnsi="Arial" w:cs="Arial"/>
        </w:rPr>
      </w:pPr>
    </w:p>
    <w:p w14:paraId="568083F3" w14:textId="77777777" w:rsidR="002C5648" w:rsidRDefault="002C5648" w:rsidP="002C5648">
      <w:pPr>
        <w:spacing w:line="480" w:lineRule="auto"/>
        <w:rPr>
          <w:rFonts w:ascii="Arial" w:hAnsi="Arial" w:cs="Arial"/>
        </w:rPr>
      </w:pPr>
    </w:p>
    <w:p w14:paraId="55AF93EE" w14:textId="77777777" w:rsidR="002C5648" w:rsidRDefault="002C5648" w:rsidP="002C5648">
      <w:pPr>
        <w:spacing w:line="480" w:lineRule="auto"/>
        <w:rPr>
          <w:rFonts w:ascii="Arial" w:hAnsi="Arial" w:cs="Arial"/>
        </w:rPr>
      </w:pPr>
    </w:p>
    <w:p w14:paraId="4489256F" w14:textId="77777777" w:rsidR="002C5648" w:rsidRDefault="002C5648" w:rsidP="002C5648">
      <w:pPr>
        <w:spacing w:line="480" w:lineRule="auto"/>
        <w:rPr>
          <w:rFonts w:ascii="Arial" w:hAnsi="Arial" w:cs="Arial"/>
        </w:rPr>
      </w:pPr>
    </w:p>
    <w:p w14:paraId="02525D5D" w14:textId="77777777" w:rsidR="002C5648" w:rsidRDefault="002C5648" w:rsidP="002C5648">
      <w:pPr>
        <w:spacing w:line="480" w:lineRule="auto"/>
        <w:rPr>
          <w:rFonts w:ascii="Arial" w:hAnsi="Arial" w:cs="Arial"/>
        </w:rPr>
      </w:pPr>
    </w:p>
    <w:p w14:paraId="69DD33F2" w14:textId="77777777" w:rsidR="002C5648" w:rsidRDefault="002C5648" w:rsidP="002C5648">
      <w:pPr>
        <w:spacing w:line="480" w:lineRule="auto"/>
        <w:rPr>
          <w:rFonts w:ascii="Arial" w:hAnsi="Arial" w:cs="Arial"/>
        </w:rPr>
      </w:pPr>
    </w:p>
    <w:p w14:paraId="4AC23F33" w14:textId="77777777" w:rsidR="00073BD5" w:rsidRDefault="00073BD5" w:rsidP="002C5648">
      <w:pPr>
        <w:spacing w:line="480" w:lineRule="auto"/>
        <w:rPr>
          <w:rFonts w:ascii="Arial" w:hAnsi="Arial" w:cs="Arial"/>
        </w:rPr>
      </w:pPr>
    </w:p>
    <w:p w14:paraId="3B7B7B81" w14:textId="45723E06" w:rsidR="002C5648" w:rsidRPr="00073BD5" w:rsidRDefault="002C5648" w:rsidP="002C5648">
      <w:pPr>
        <w:spacing w:line="480" w:lineRule="auto"/>
        <w:rPr>
          <w:rFonts w:ascii="Arial Black" w:hAnsi="Arial Black" w:cs="Arial"/>
        </w:rPr>
      </w:pPr>
      <w:r w:rsidRPr="00073BD5">
        <w:rPr>
          <w:rFonts w:ascii="Arial Black" w:hAnsi="Arial Black" w:cs="Arial"/>
        </w:rPr>
        <w:lastRenderedPageBreak/>
        <w:t xml:space="preserve">Main Body </w:t>
      </w:r>
    </w:p>
    <w:p w14:paraId="2A0480E4" w14:textId="01D3FB72" w:rsidR="002C5648" w:rsidRDefault="002C5648" w:rsidP="002C5648">
      <w:pPr>
        <w:spacing w:line="480" w:lineRule="auto"/>
        <w:rPr>
          <w:rFonts w:ascii="Arial" w:hAnsi="Arial" w:cs="Arial"/>
        </w:rPr>
      </w:pPr>
      <w:r w:rsidRPr="002C5648">
        <w:rPr>
          <w:rFonts w:ascii="Arial" w:hAnsi="Arial" w:cs="Arial"/>
        </w:rPr>
        <w:t xml:space="preserve">A SWOT analysis is an approach to clarity the identification of internal strengths and weaknesses, and external opportunities and threats. Knowing that social enterprises </w:t>
      </w:r>
      <w:r w:rsidRPr="002C5648">
        <w:rPr>
          <w:rFonts w:ascii="Arial" w:hAnsi="Arial" w:cs="Arial"/>
        </w:rPr>
        <w:t>must</w:t>
      </w:r>
      <w:r w:rsidRPr="002C5648">
        <w:rPr>
          <w:rFonts w:ascii="Arial" w:hAnsi="Arial" w:cs="Arial"/>
        </w:rPr>
        <w:t xml:space="preserve"> operate between business and </w:t>
      </w:r>
      <w:r w:rsidR="00073BD5" w:rsidRPr="002C5648">
        <w:rPr>
          <w:rFonts w:ascii="Arial" w:hAnsi="Arial" w:cs="Arial"/>
        </w:rPr>
        <w:t>charity and</w:t>
      </w:r>
      <w:r w:rsidRPr="002C5648">
        <w:rPr>
          <w:rFonts w:ascii="Arial" w:hAnsi="Arial" w:cs="Arial"/>
        </w:rPr>
        <w:t xml:space="preserve"> reconcile the social mission and the disciplines of market, this approach provides clarity around how internal capacities and external conditions reach an equilibrium; performance, scalability, sustainability (Porter &amp; Kramer, 2011).</w:t>
      </w:r>
    </w:p>
    <w:p w14:paraId="473A56E4" w14:textId="77777777" w:rsidR="002C5648" w:rsidRDefault="002C5648" w:rsidP="002C5648">
      <w:pPr>
        <w:spacing w:line="480" w:lineRule="auto"/>
        <w:rPr>
          <w:rFonts w:ascii="Arial" w:hAnsi="Arial" w:cs="Arial"/>
        </w:rPr>
      </w:pPr>
      <w:r w:rsidRPr="002C5648">
        <w:rPr>
          <w:rFonts w:ascii="Arial" w:hAnsi="Arial" w:cs="Arial"/>
        </w:rPr>
        <w:t xml:space="preserve">One of the greatest strengths of social enterprises are prospect of alignment of mission and </w:t>
      </w:r>
      <w:r w:rsidRPr="002C5648">
        <w:rPr>
          <w:rFonts w:ascii="Arial" w:hAnsi="Arial" w:cs="Arial"/>
        </w:rPr>
        <w:t>market. Social</w:t>
      </w:r>
      <w:r w:rsidRPr="002C5648">
        <w:rPr>
          <w:rFonts w:ascii="Arial" w:hAnsi="Arial" w:cs="Arial"/>
        </w:rPr>
        <w:t xml:space="preserve"> enterprises provide a distinctive approach in contrast to conventional charities which rely on donor funding or charitable contribution. Social enterprises build social purposes into their</w:t>
      </w:r>
      <w:r>
        <w:rPr>
          <w:rFonts w:ascii="Arial" w:hAnsi="Arial" w:cs="Arial"/>
        </w:rPr>
        <w:t xml:space="preserve"> </w:t>
      </w:r>
      <w:r w:rsidRPr="002C5648">
        <w:rPr>
          <w:rFonts w:ascii="Arial" w:hAnsi="Arial" w:cs="Arial"/>
        </w:rPr>
        <w:t>business model; Porters and Kramer (2011) refer to this as "creating shared value." It is essential to recogni</w:t>
      </w:r>
      <w:r>
        <w:rPr>
          <w:rFonts w:ascii="Arial" w:hAnsi="Arial" w:cs="Arial"/>
        </w:rPr>
        <w:t>s</w:t>
      </w:r>
      <w:r w:rsidRPr="002C5648">
        <w:rPr>
          <w:rFonts w:ascii="Arial" w:hAnsi="Arial" w:cs="Arial"/>
        </w:rPr>
        <w:t>e that a business is only profiting, because it is supporting a social purpose through its commercial activity. This use case can be provided by microfinance</w:t>
      </w:r>
      <w:r>
        <w:rPr>
          <w:rFonts w:ascii="Arial" w:hAnsi="Arial" w:cs="Arial"/>
        </w:rPr>
        <w:t xml:space="preserve"> </w:t>
      </w:r>
      <w:r w:rsidRPr="002C5648">
        <w:rPr>
          <w:rFonts w:ascii="Arial" w:hAnsi="Arial" w:cs="Arial"/>
        </w:rPr>
        <w:t xml:space="preserve">or renewable energy companies which in many instances generate income by providing support to </w:t>
      </w:r>
      <w:proofErr w:type="gramStart"/>
      <w:r w:rsidRPr="002C5648">
        <w:rPr>
          <w:rFonts w:ascii="Arial" w:hAnsi="Arial" w:cs="Arial"/>
        </w:rPr>
        <w:t>low income</w:t>
      </w:r>
      <w:proofErr w:type="gramEnd"/>
      <w:r w:rsidRPr="002C5648">
        <w:rPr>
          <w:rFonts w:ascii="Arial" w:hAnsi="Arial" w:cs="Arial"/>
        </w:rPr>
        <w:t xml:space="preserve"> customers, which illustrates profiting through poverty alleviation. Another good example of this value proposition is Grameen which demonstrates that the social goal embedded into their commercial infrastructure creates sustainability to deepening the impact while reducing their donor-dependency (Yunus, </w:t>
      </w:r>
      <w:proofErr w:type="spellStart"/>
      <w:r w:rsidRPr="002C5648">
        <w:rPr>
          <w:rFonts w:ascii="Arial" w:hAnsi="Arial" w:cs="Arial"/>
        </w:rPr>
        <w:t>Moingeon</w:t>
      </w:r>
      <w:proofErr w:type="spellEnd"/>
      <w:r w:rsidRPr="002C5648">
        <w:rPr>
          <w:rFonts w:ascii="Arial" w:hAnsi="Arial" w:cs="Arial"/>
        </w:rPr>
        <w:t>, &amp; Lehmann-Ortega, 2010).</w:t>
      </w:r>
    </w:p>
    <w:p w14:paraId="07DA4257" w14:textId="77777777" w:rsidR="002C5648" w:rsidRDefault="002C5648" w:rsidP="002C5648">
      <w:pPr>
        <w:spacing w:line="480" w:lineRule="auto"/>
        <w:rPr>
          <w:rFonts w:ascii="Arial" w:hAnsi="Arial" w:cs="Arial"/>
        </w:rPr>
      </w:pPr>
      <w:r w:rsidRPr="002C5648">
        <w:rPr>
          <w:rFonts w:ascii="Arial" w:hAnsi="Arial" w:cs="Arial"/>
        </w:rPr>
        <w:t>In addition to this key strength is the hybrid business model, which helps to leverage diverse funding while also earning income based on diverse funding sources (e.g. earned income, patient capital or philanthropy).</w:t>
      </w:r>
      <w:r>
        <w:rPr>
          <w:rFonts w:ascii="Arial" w:hAnsi="Arial" w:cs="Arial"/>
        </w:rPr>
        <w:t xml:space="preserve"> </w:t>
      </w:r>
      <w:r w:rsidRPr="002C5648">
        <w:rPr>
          <w:rFonts w:ascii="Arial" w:hAnsi="Arial" w:cs="Arial"/>
        </w:rPr>
        <w:t xml:space="preserve">Hybrids can continue operating their activities even in times of market uncertainty and grant social enterprises flexibility to </w:t>
      </w:r>
      <w:r w:rsidRPr="002C5648">
        <w:rPr>
          <w:rFonts w:ascii="Arial" w:hAnsi="Arial" w:cs="Arial"/>
        </w:rPr>
        <w:lastRenderedPageBreak/>
        <w:t xml:space="preserve">adapt pricing or service delivery. Their role in community is another important advantage; community engagement </w:t>
      </w:r>
      <w:r w:rsidRPr="002C5648">
        <w:rPr>
          <w:rFonts w:ascii="Arial" w:hAnsi="Arial" w:cs="Arial"/>
        </w:rPr>
        <w:t>provides</w:t>
      </w:r>
      <w:r w:rsidRPr="002C5648">
        <w:rPr>
          <w:rFonts w:ascii="Arial" w:hAnsi="Arial" w:cs="Arial"/>
        </w:rPr>
        <w:t xml:space="preserve"> the opportunity to build trust and knowledge of the social need in the community whom in turn will help support affordable and relevant services. For instance, community-based conservation, focused on developing businesses that protect the environment while providing local livelihood (e.g. ecotourism, or sustainable forestry) have shown promise for achieving ecological and social objectives (Esmail et al, 2023).</w:t>
      </w:r>
    </w:p>
    <w:p w14:paraId="7E1E237F" w14:textId="77777777" w:rsidR="00A64274" w:rsidRDefault="002C5648" w:rsidP="002C5648">
      <w:pPr>
        <w:spacing w:line="480" w:lineRule="auto"/>
        <w:rPr>
          <w:rFonts w:ascii="Arial" w:hAnsi="Arial" w:cs="Arial"/>
        </w:rPr>
      </w:pPr>
      <w:r w:rsidRPr="002C5648">
        <w:rPr>
          <w:rFonts w:ascii="Arial" w:hAnsi="Arial" w:cs="Arial"/>
        </w:rPr>
        <w:t>Digital transformation has further improved social enterprises by creating new means of providing transparency, efficiencies and new opportunities. Online platforms created the opportunity for even the smallest social enterprise to better manage their data, engage and communicate with customers and report on impact in a cost-effective manner. Well managed digital capacities present opportunities for marginali</w:t>
      </w:r>
      <w:r>
        <w:rPr>
          <w:rFonts w:ascii="Arial" w:hAnsi="Arial" w:cs="Arial"/>
        </w:rPr>
        <w:t>s</w:t>
      </w:r>
      <w:r w:rsidRPr="002C5648">
        <w:rPr>
          <w:rFonts w:ascii="Arial" w:hAnsi="Arial" w:cs="Arial"/>
        </w:rPr>
        <w:t>ed communities to also engage with a social enterprise as well as provide additional accountability (Gigauri et al., 2023).</w:t>
      </w:r>
    </w:p>
    <w:p w14:paraId="69D6E2A8" w14:textId="77777777" w:rsidR="00A64274" w:rsidRDefault="002C5648" w:rsidP="002C5648">
      <w:pPr>
        <w:spacing w:line="480" w:lineRule="auto"/>
        <w:rPr>
          <w:rFonts w:ascii="Arial" w:hAnsi="Arial" w:cs="Arial"/>
        </w:rPr>
      </w:pPr>
      <w:r w:rsidRPr="002C5648">
        <w:rPr>
          <w:rFonts w:ascii="Arial" w:hAnsi="Arial" w:cs="Arial"/>
        </w:rPr>
        <w:t xml:space="preserve">While this and other advantages, social enterprises also face serious limitations. Many social enterprises experience significant challenges with absence of management capacity and performance management systems. According to Campbell et al. (2023), many smaller social enterprises have a hard time capturing and </w:t>
      </w:r>
      <w:r w:rsidR="00A64274" w:rsidRPr="002C5648">
        <w:rPr>
          <w:rFonts w:ascii="Arial" w:hAnsi="Arial" w:cs="Arial"/>
        </w:rPr>
        <w:t>analysing</w:t>
      </w:r>
      <w:r w:rsidRPr="002C5648">
        <w:rPr>
          <w:rFonts w:ascii="Arial" w:hAnsi="Arial" w:cs="Arial"/>
        </w:rPr>
        <w:t xml:space="preserve"> data, which can lead to poor organi</w:t>
      </w:r>
      <w:r w:rsidR="00A64274">
        <w:rPr>
          <w:rFonts w:ascii="Arial" w:hAnsi="Arial" w:cs="Arial"/>
        </w:rPr>
        <w:t>s</w:t>
      </w:r>
      <w:r w:rsidRPr="002C5648">
        <w:rPr>
          <w:rFonts w:ascii="Arial" w:hAnsi="Arial" w:cs="Arial"/>
        </w:rPr>
        <w:t xml:space="preserve">ational decisions and low productivity. Even social enterprises with good potential for growth and impact often have limited business acumen.  </w:t>
      </w:r>
    </w:p>
    <w:p w14:paraId="2BA8FFE0" w14:textId="77777777" w:rsidR="00A64274" w:rsidRDefault="002C5648" w:rsidP="002C5648">
      <w:pPr>
        <w:spacing w:line="480" w:lineRule="auto"/>
        <w:rPr>
          <w:rFonts w:ascii="Arial" w:hAnsi="Arial" w:cs="Arial"/>
        </w:rPr>
      </w:pPr>
      <w:r w:rsidRPr="002C5648">
        <w:rPr>
          <w:rFonts w:ascii="Arial" w:hAnsi="Arial" w:cs="Arial"/>
        </w:rPr>
        <w:t xml:space="preserve">Another major area of weakness is access to finance. Often, social enterprises occupy a "funding gap" position, between commercial investment options and philanthropic grant funding. Business investors run the risk of looking for a </w:t>
      </w:r>
      <w:r w:rsidR="00A64274" w:rsidRPr="002C5648">
        <w:rPr>
          <w:rFonts w:ascii="Arial" w:hAnsi="Arial" w:cs="Arial"/>
        </w:rPr>
        <w:t>quick</w:t>
      </w:r>
    </w:p>
    <w:p w14:paraId="392B8020" w14:textId="77777777" w:rsidR="00A64274" w:rsidRDefault="002C5648" w:rsidP="002C5648">
      <w:pPr>
        <w:spacing w:line="480" w:lineRule="auto"/>
        <w:rPr>
          <w:rFonts w:ascii="Arial" w:hAnsi="Arial" w:cs="Arial"/>
        </w:rPr>
      </w:pPr>
      <w:r w:rsidRPr="002C5648">
        <w:rPr>
          <w:rFonts w:ascii="Arial" w:hAnsi="Arial" w:cs="Arial"/>
        </w:rPr>
        <w:lastRenderedPageBreak/>
        <w:t>ROI, while social funding organi</w:t>
      </w:r>
      <w:r w:rsidR="00A64274">
        <w:rPr>
          <w:rFonts w:ascii="Arial" w:hAnsi="Arial" w:cs="Arial"/>
        </w:rPr>
        <w:t>s</w:t>
      </w:r>
      <w:r w:rsidRPr="002C5648">
        <w:rPr>
          <w:rFonts w:ascii="Arial" w:hAnsi="Arial" w:cs="Arial"/>
        </w:rPr>
        <w:t>ations generally provide grants and lending with strict terms for the duration and use of funds and contracts, which often may not correspond to the timeline or needs of operational requirements (Campbell, Kelly, &amp; Harrison, 2011). The potential use of funds can create instability in funding, leading organi</w:t>
      </w:r>
      <w:r w:rsidR="00A64274">
        <w:rPr>
          <w:rFonts w:ascii="Arial" w:hAnsi="Arial" w:cs="Arial"/>
        </w:rPr>
        <w:t>s</w:t>
      </w:r>
      <w:r w:rsidRPr="002C5648">
        <w:rPr>
          <w:rFonts w:ascii="Arial" w:hAnsi="Arial" w:cs="Arial"/>
        </w:rPr>
        <w:t xml:space="preserve">ations to potentially drift away from their social mission if they are focused on the quick turn of revenue in the short-term or less focused on creating impact in the long-term.  </w:t>
      </w:r>
    </w:p>
    <w:p w14:paraId="50CCE117" w14:textId="77777777" w:rsidR="00A64274" w:rsidRDefault="002C5648" w:rsidP="002C5648">
      <w:pPr>
        <w:spacing w:line="480" w:lineRule="auto"/>
        <w:rPr>
          <w:rFonts w:ascii="Arial" w:hAnsi="Arial" w:cs="Arial"/>
        </w:rPr>
      </w:pPr>
      <w:r w:rsidRPr="002C5648">
        <w:rPr>
          <w:rFonts w:ascii="Arial" w:hAnsi="Arial" w:cs="Arial"/>
        </w:rPr>
        <w:t xml:space="preserve">Uncertainty about identity and governance is also a weakness for many social enterprises. Many social enterprises do not have unified legal identities, or standards of operation, which complicates their ability to attract the appropriate investors or partners. The European model focuses primarily on participatory governance and asset locks, whereas the U.S model focuses on entrepreneurial leadership, which creates inconsistencies in a framework </w:t>
      </w:r>
      <w:r w:rsidR="00A64274">
        <w:rPr>
          <w:rFonts w:ascii="Arial" w:hAnsi="Arial" w:cs="Arial"/>
        </w:rPr>
        <w:t>(</w:t>
      </w:r>
      <w:proofErr w:type="spellStart"/>
      <w:r w:rsidRPr="002C5648">
        <w:rPr>
          <w:rFonts w:ascii="Arial" w:hAnsi="Arial" w:cs="Arial"/>
        </w:rPr>
        <w:t>Defourny</w:t>
      </w:r>
      <w:proofErr w:type="spellEnd"/>
      <w:r w:rsidRPr="002C5648">
        <w:rPr>
          <w:rFonts w:ascii="Arial" w:hAnsi="Arial" w:cs="Arial"/>
        </w:rPr>
        <w:t xml:space="preserve"> &amp; Nyssens, 2021). Furthermore, without a clear structure, organi</w:t>
      </w:r>
      <w:r w:rsidR="00A64274">
        <w:rPr>
          <w:rFonts w:ascii="Arial" w:hAnsi="Arial" w:cs="Arial"/>
        </w:rPr>
        <w:t>s</w:t>
      </w:r>
      <w:r w:rsidRPr="002C5648">
        <w:rPr>
          <w:rFonts w:ascii="Arial" w:hAnsi="Arial" w:cs="Arial"/>
        </w:rPr>
        <w:t>ations can experience internal tensions regarding the social versus commercial aspects of the enterprise. Curtis (2016), considers risk as part of an organi</w:t>
      </w:r>
      <w:r w:rsidR="00A64274">
        <w:rPr>
          <w:rFonts w:ascii="Arial" w:hAnsi="Arial" w:cs="Arial"/>
        </w:rPr>
        <w:t>s</w:t>
      </w:r>
      <w:r w:rsidRPr="002C5648">
        <w:rPr>
          <w:rFonts w:ascii="Arial" w:hAnsi="Arial" w:cs="Arial"/>
        </w:rPr>
        <w:t xml:space="preserve">ation's responsibility and redefining risk comes with innovation. As part of generating social value, social enterprises often involve trying and testing new opportunities even with limited resources to do so, both of which may compromise the success of an innovation.  </w:t>
      </w:r>
    </w:p>
    <w:p w14:paraId="03755E20" w14:textId="77777777" w:rsidR="00A64274" w:rsidRDefault="002C5648" w:rsidP="002C5648">
      <w:pPr>
        <w:spacing w:line="480" w:lineRule="auto"/>
        <w:rPr>
          <w:rFonts w:ascii="Arial" w:hAnsi="Arial" w:cs="Arial"/>
        </w:rPr>
      </w:pPr>
      <w:r w:rsidRPr="002C5648">
        <w:rPr>
          <w:rFonts w:ascii="Arial" w:hAnsi="Arial" w:cs="Arial"/>
        </w:rPr>
        <w:t>With regards to an opportunity, organi</w:t>
      </w:r>
      <w:r w:rsidR="00A64274">
        <w:rPr>
          <w:rFonts w:ascii="Arial" w:hAnsi="Arial" w:cs="Arial"/>
        </w:rPr>
        <w:t>s</w:t>
      </w:r>
      <w:r w:rsidRPr="002C5648">
        <w:rPr>
          <w:rFonts w:ascii="Arial" w:hAnsi="Arial" w:cs="Arial"/>
        </w:rPr>
        <w:t xml:space="preserve">ations continuously live in a time and space with positive trends emerging within their external environment. Influential factors of complexity are stemming from advances in digital technologies and ideas emerging about how social enterprises may operate going forward into the future. For instance, small scale social enterprises are in a highly indicative situation where they could scale up and send and engage with a wider audience while reducing transaction </w:t>
      </w:r>
      <w:r w:rsidRPr="002C5648">
        <w:rPr>
          <w:rFonts w:ascii="Arial" w:hAnsi="Arial" w:cs="Arial"/>
        </w:rPr>
        <w:lastRenderedPageBreak/>
        <w:t>costs. Digital technologies enhance the organi</w:t>
      </w:r>
      <w:r w:rsidR="00A64274">
        <w:rPr>
          <w:rFonts w:ascii="Arial" w:hAnsi="Arial" w:cs="Arial"/>
        </w:rPr>
        <w:t>s</w:t>
      </w:r>
      <w:r w:rsidRPr="002C5648">
        <w:rPr>
          <w:rFonts w:ascii="Arial" w:hAnsi="Arial" w:cs="Arial"/>
        </w:rPr>
        <w:t>ations' capacity to measure social outcomes through engaging with users and followers, thus promoting innovations like paged-based outcome financing, which generali</w:t>
      </w:r>
      <w:r w:rsidR="00A64274">
        <w:rPr>
          <w:rFonts w:ascii="Arial" w:hAnsi="Arial" w:cs="Arial"/>
        </w:rPr>
        <w:t>s</w:t>
      </w:r>
      <w:r w:rsidRPr="002C5648">
        <w:rPr>
          <w:rFonts w:ascii="Arial" w:hAnsi="Arial" w:cs="Arial"/>
        </w:rPr>
        <w:t>es the minimum traditional outcomes (Gigauri et al., 2023). In many sectors, particularly health and education, clients are seeking more personali</w:t>
      </w:r>
      <w:r w:rsidR="00A64274">
        <w:rPr>
          <w:rFonts w:ascii="Arial" w:hAnsi="Arial" w:cs="Arial"/>
        </w:rPr>
        <w:t>s</w:t>
      </w:r>
      <w:r w:rsidRPr="002C5648">
        <w:rPr>
          <w:rFonts w:ascii="Arial" w:hAnsi="Arial" w:cs="Arial"/>
        </w:rPr>
        <w:t>ed services and a need for real-time measurements to assess their outcomes. Recent developments in policy present additional opportunities. Within the European Union specifically, governments are increasingly recogni</w:t>
      </w:r>
      <w:r w:rsidR="00A64274">
        <w:rPr>
          <w:rFonts w:ascii="Arial" w:hAnsi="Arial" w:cs="Arial"/>
        </w:rPr>
        <w:t>s</w:t>
      </w:r>
      <w:r w:rsidRPr="002C5648">
        <w:rPr>
          <w:rFonts w:ascii="Arial" w:hAnsi="Arial" w:cs="Arial"/>
        </w:rPr>
        <w:t>ing social enterprises as a legitimate part of the solution to inclusive growth. Legislative frameworks of social cooperative statutes and dedicated procurement processes offer enhanced opportunities to access support for funding and subsidies (</w:t>
      </w:r>
      <w:proofErr w:type="spellStart"/>
      <w:r w:rsidRPr="002C5648">
        <w:rPr>
          <w:rFonts w:ascii="Arial" w:hAnsi="Arial" w:cs="Arial"/>
        </w:rPr>
        <w:t>Vasserot</w:t>
      </w:r>
      <w:proofErr w:type="spellEnd"/>
      <w:r w:rsidRPr="002C5648">
        <w:rPr>
          <w:rFonts w:ascii="Arial" w:hAnsi="Arial" w:cs="Arial"/>
        </w:rPr>
        <w:t>, 2023). These types of laws can legally embed missions for reinvestment and social purpose; this can enhance credibility and build investor confidence.</w:t>
      </w:r>
    </w:p>
    <w:p w14:paraId="18CCDCA5" w14:textId="77777777" w:rsidR="00A64274" w:rsidRDefault="002C5648" w:rsidP="002C5648">
      <w:pPr>
        <w:spacing w:line="480" w:lineRule="auto"/>
        <w:rPr>
          <w:rFonts w:ascii="Arial" w:hAnsi="Arial" w:cs="Arial"/>
        </w:rPr>
      </w:pPr>
      <w:r w:rsidRPr="002C5648">
        <w:rPr>
          <w:rFonts w:ascii="Arial" w:hAnsi="Arial" w:cs="Arial"/>
        </w:rPr>
        <w:t xml:space="preserve">There are also significant opportunities through partnerships with the private sector. Many corporations are now pursuing </w:t>
      </w:r>
      <w:r w:rsidR="00A64274" w:rsidRPr="002C5648">
        <w:rPr>
          <w:rFonts w:ascii="Arial" w:hAnsi="Arial" w:cs="Arial"/>
        </w:rPr>
        <w:t>shared value</w:t>
      </w:r>
      <w:r w:rsidRPr="002C5648">
        <w:rPr>
          <w:rFonts w:ascii="Arial" w:hAnsi="Arial" w:cs="Arial"/>
        </w:rPr>
        <w:t xml:space="preserve"> </w:t>
      </w:r>
      <w:r w:rsidR="00A64274" w:rsidRPr="002C5648">
        <w:rPr>
          <w:rFonts w:ascii="Arial" w:hAnsi="Arial" w:cs="Arial"/>
        </w:rPr>
        <w:t>strategies and</w:t>
      </w:r>
      <w:r w:rsidRPr="002C5648">
        <w:rPr>
          <w:rFonts w:ascii="Arial" w:hAnsi="Arial" w:cs="Arial"/>
        </w:rPr>
        <w:t xml:space="preserve"> are looking for partners or partnerships that create social and business value in collaboration (Porter &amp; Kramer, 2011). By relying on social enterprises' community knowledge and social impact know-how, business and social value can be created. For instance, supply chain partnerships or renewable energy access can be leveraged to benefit from the scale and support of corporations while applying social innovation and social enterprise experience.</w:t>
      </w:r>
    </w:p>
    <w:p w14:paraId="4C418CA8" w14:textId="77777777" w:rsidR="00774996" w:rsidRDefault="002C5648" w:rsidP="002C5648">
      <w:pPr>
        <w:spacing w:line="480" w:lineRule="auto"/>
        <w:rPr>
          <w:rFonts w:ascii="Arial" w:hAnsi="Arial" w:cs="Arial"/>
        </w:rPr>
      </w:pPr>
      <w:r w:rsidRPr="002C5648">
        <w:rPr>
          <w:rFonts w:ascii="Arial" w:hAnsi="Arial" w:cs="Arial"/>
        </w:rPr>
        <w:t xml:space="preserve">Environmental and conservation markets can offer another growing opportunity. As carbon credits, biodiversity offsets and appetite for sustainable agriculture increases, community-based enterprises may be able to generate new income through their participation in stewardship works (Esmail et al, 2023). </w:t>
      </w:r>
    </w:p>
    <w:p w14:paraId="4A14D1BC" w14:textId="77777777" w:rsidR="00774996" w:rsidRDefault="002C5648" w:rsidP="002C5648">
      <w:pPr>
        <w:spacing w:line="480" w:lineRule="auto"/>
        <w:rPr>
          <w:rFonts w:ascii="Arial" w:hAnsi="Arial" w:cs="Arial"/>
        </w:rPr>
      </w:pPr>
      <w:r w:rsidRPr="002C5648">
        <w:rPr>
          <w:rFonts w:ascii="Arial" w:hAnsi="Arial" w:cs="Arial"/>
        </w:rPr>
        <w:lastRenderedPageBreak/>
        <w:t>Another threat that originates externally is the volatility of policy. Even where legal rights expand, variability of enforcement or changing regulations create instability for the sector. Additionally, geopolitical and environmental crises (e.g., climate change, conflict, and pandemics) present existential threats for social enterprises in fragile contexts, as these disruptions can undermine supply chains, raise costs, and threaten sustainability of community-based operations (Esmail et al., 2023).</w:t>
      </w:r>
    </w:p>
    <w:p w14:paraId="031253AC" w14:textId="77777777" w:rsidR="00774996" w:rsidRDefault="002C5648" w:rsidP="002C5648">
      <w:pPr>
        <w:spacing w:line="480" w:lineRule="auto"/>
        <w:rPr>
          <w:rFonts w:ascii="Arial" w:hAnsi="Arial" w:cs="Arial"/>
        </w:rPr>
      </w:pPr>
      <w:r w:rsidRPr="002C5648">
        <w:rPr>
          <w:rFonts w:ascii="Arial" w:hAnsi="Arial" w:cs="Arial"/>
        </w:rPr>
        <w:t>Lastly, the failure of innovation presents a potential ongoing challenge. Donors or investors often prioritize novelty over sustainability, resulting in multiple small-scale pilots that never mature (Curtis, 2016). Social enterprises cannot rely on systematic learning, stage-gating, or formal portfolio management and instead, waste resources chasing ideas rather than consolidating models that are proved worthwhile (Campbell et al., 2011).</w:t>
      </w:r>
    </w:p>
    <w:p w14:paraId="60A990A2" w14:textId="77777777" w:rsidR="00073BD5" w:rsidRDefault="002C5648" w:rsidP="002C5648">
      <w:pPr>
        <w:spacing w:line="480" w:lineRule="auto"/>
        <w:rPr>
          <w:rFonts w:ascii="Arial" w:hAnsi="Arial" w:cs="Arial"/>
        </w:rPr>
      </w:pPr>
      <w:r w:rsidRPr="002C5648">
        <w:rPr>
          <w:rFonts w:ascii="Arial" w:hAnsi="Arial" w:cs="Arial"/>
        </w:rPr>
        <w:t xml:space="preserve">In strategic response, social enterprises should build on their strengths to reduce weaknesses and external threats. Social enterprises can strengthen resilience by codifying intrusion between mission and the market in their thinking, putting social objectives in governance, alongside efforts to diversify revenue, thereby reducing reliance on grants or single buyers. The capacity of management or governance to make use of instruments, metrics to measure impact, and skills in data literacy is essential to convert good intention into impact (Abedin et al., 2023). Being a social enterprise, investing in management and governance is valued. Collaborating with corporations or government (or both) creates shared scale or constraints of resource access, can be guided in contracts to the social outcome as measured (Porter &amp; Kramer, 2011; </w:t>
      </w:r>
      <w:proofErr w:type="spellStart"/>
      <w:r w:rsidRPr="002C5648">
        <w:rPr>
          <w:rFonts w:ascii="Arial" w:hAnsi="Arial" w:cs="Arial"/>
        </w:rPr>
        <w:t>Vasserot</w:t>
      </w:r>
      <w:proofErr w:type="spellEnd"/>
      <w:r w:rsidRPr="002C5648">
        <w:rPr>
          <w:rFonts w:ascii="Arial" w:hAnsi="Arial" w:cs="Arial"/>
        </w:rPr>
        <w:t xml:space="preserve">, 2023). </w:t>
      </w:r>
      <w:r w:rsidR="00774996" w:rsidRPr="002C5648">
        <w:rPr>
          <w:rFonts w:ascii="Arial" w:hAnsi="Arial" w:cs="Arial"/>
        </w:rPr>
        <w:t>Digitali</w:t>
      </w:r>
      <w:r w:rsidR="00774996">
        <w:rPr>
          <w:rFonts w:ascii="Arial" w:hAnsi="Arial" w:cs="Arial"/>
        </w:rPr>
        <w:t>s</w:t>
      </w:r>
      <w:r w:rsidR="00774996" w:rsidRPr="002C5648">
        <w:rPr>
          <w:rFonts w:ascii="Arial" w:hAnsi="Arial" w:cs="Arial"/>
        </w:rPr>
        <w:t>ation as ethical practices including data privacy and inclusive design</w:t>
      </w:r>
      <w:r w:rsidRPr="002C5648">
        <w:rPr>
          <w:rFonts w:ascii="Arial" w:hAnsi="Arial" w:cs="Arial"/>
        </w:rPr>
        <w:t xml:space="preserve"> should be practiced within a mission rather than indirectly technical tool (Gigauri et al., 2023)</w:t>
      </w:r>
      <w:r w:rsidR="00774996">
        <w:rPr>
          <w:rFonts w:ascii="Arial" w:hAnsi="Arial" w:cs="Arial"/>
        </w:rPr>
        <w:t xml:space="preserve">. </w:t>
      </w:r>
    </w:p>
    <w:p w14:paraId="69824EB5" w14:textId="1319D268" w:rsidR="00774996" w:rsidRPr="00073BD5" w:rsidRDefault="002C5648" w:rsidP="002C5648">
      <w:pPr>
        <w:spacing w:line="480" w:lineRule="auto"/>
        <w:rPr>
          <w:rFonts w:ascii="Arial Black" w:hAnsi="Arial Black" w:cs="Arial"/>
        </w:rPr>
      </w:pPr>
      <w:r w:rsidRPr="00073BD5">
        <w:rPr>
          <w:rFonts w:ascii="Arial Black" w:hAnsi="Arial Black" w:cs="Arial"/>
        </w:rPr>
        <w:lastRenderedPageBreak/>
        <w:t>Conclusion</w:t>
      </w:r>
    </w:p>
    <w:p w14:paraId="19439CBA" w14:textId="6FFD454E" w:rsidR="00774996" w:rsidRDefault="002C5648" w:rsidP="002C5648">
      <w:pPr>
        <w:spacing w:line="480" w:lineRule="auto"/>
        <w:rPr>
          <w:rFonts w:ascii="Arial" w:hAnsi="Arial" w:cs="Arial"/>
        </w:rPr>
      </w:pPr>
      <w:r w:rsidRPr="002C5648">
        <w:rPr>
          <w:rFonts w:ascii="Arial" w:hAnsi="Arial" w:cs="Arial"/>
        </w:rPr>
        <w:t xml:space="preserve">In summary, from a SWOT perspective it is established that social enterprise is a field of promise and paradox. The strengths of mission </w:t>
      </w:r>
      <w:r w:rsidR="00774996">
        <w:rPr>
          <w:rFonts w:ascii="Arial" w:hAnsi="Arial" w:cs="Arial"/>
        </w:rPr>
        <w:t xml:space="preserve">plus </w:t>
      </w:r>
      <w:r w:rsidRPr="002C5648">
        <w:rPr>
          <w:rFonts w:ascii="Arial" w:hAnsi="Arial" w:cs="Arial"/>
        </w:rPr>
        <w:t xml:space="preserve">market, hybrid structure, community investment, and digital installation make the field suited to solving some social and environmental problems that neither </w:t>
      </w:r>
      <w:r w:rsidR="00774996" w:rsidRPr="002C5648">
        <w:rPr>
          <w:rFonts w:ascii="Arial" w:hAnsi="Arial" w:cs="Arial"/>
        </w:rPr>
        <w:t>market</w:t>
      </w:r>
      <w:r w:rsidRPr="002C5648">
        <w:rPr>
          <w:rFonts w:ascii="Arial" w:hAnsi="Arial" w:cs="Arial"/>
        </w:rPr>
        <w:t xml:space="preserve"> </w:t>
      </w:r>
      <w:r w:rsidR="00073BD5" w:rsidRPr="002C5648">
        <w:rPr>
          <w:rFonts w:ascii="Arial" w:hAnsi="Arial" w:cs="Arial"/>
        </w:rPr>
        <w:t>nor</w:t>
      </w:r>
      <w:r w:rsidRPr="002C5648">
        <w:rPr>
          <w:rFonts w:ascii="Arial" w:hAnsi="Arial" w:cs="Arial"/>
        </w:rPr>
        <w:t xml:space="preserve"> governments can achieve. Weaknesses of limited capacity, identity uncertainty and funding stability create shortfalls for effective impact. The opportunities in technical transformation, pro-social public policy, and knowledge partnerships could accelerate growth of social enterprises, however, those opportunities need to be weighed and navigated against threats of technical </w:t>
      </w:r>
      <w:r w:rsidR="00774996" w:rsidRPr="002C5648">
        <w:rPr>
          <w:rFonts w:ascii="Arial" w:hAnsi="Arial" w:cs="Arial"/>
        </w:rPr>
        <w:t>inequality,</w:t>
      </w:r>
      <w:r w:rsidRPr="002C5648">
        <w:rPr>
          <w:rFonts w:ascii="Arial" w:hAnsi="Arial" w:cs="Arial"/>
        </w:rPr>
        <w:t xml:space="preserve"> defensive instability of institutional funding, and fatigue on matters of opportunity.</w:t>
      </w:r>
    </w:p>
    <w:p w14:paraId="6373F534" w14:textId="5EBA6932" w:rsidR="00761AC1" w:rsidRDefault="00774996" w:rsidP="002C5648">
      <w:pPr>
        <w:spacing w:line="480" w:lineRule="auto"/>
        <w:rPr>
          <w:rFonts w:ascii="Arial" w:hAnsi="Arial" w:cs="Arial"/>
        </w:rPr>
      </w:pPr>
      <w:r w:rsidRPr="002C5648">
        <w:rPr>
          <w:rFonts w:ascii="Arial" w:hAnsi="Arial" w:cs="Arial"/>
        </w:rPr>
        <w:t>The social enterprise community</w:t>
      </w:r>
      <w:r w:rsidR="002C5648" w:rsidRPr="002C5648">
        <w:rPr>
          <w:rFonts w:ascii="Arial" w:hAnsi="Arial" w:cs="Arial"/>
        </w:rPr>
        <w:t xml:space="preserve"> is ultimately trying to feedback their hybrid nature from vulnerability to an advantage. Feasibly requires professionali</w:t>
      </w:r>
      <w:r w:rsidR="00073BD5">
        <w:rPr>
          <w:rFonts w:ascii="Arial" w:hAnsi="Arial" w:cs="Arial"/>
        </w:rPr>
        <w:t>s</w:t>
      </w:r>
      <w:r w:rsidR="002C5648" w:rsidRPr="002C5648">
        <w:rPr>
          <w:rFonts w:ascii="Arial" w:hAnsi="Arial" w:cs="Arial"/>
        </w:rPr>
        <w:t>ed iterations of management, administrative</w:t>
      </w:r>
      <w:r w:rsidR="00073BD5">
        <w:rPr>
          <w:rFonts w:ascii="Arial" w:hAnsi="Arial" w:cs="Arial"/>
        </w:rPr>
        <w:t xml:space="preserve"> </w:t>
      </w:r>
      <w:r w:rsidR="002C5648" w:rsidRPr="002C5648">
        <w:rPr>
          <w:rFonts w:ascii="Arial" w:hAnsi="Arial" w:cs="Arial"/>
        </w:rPr>
        <w:t>expectations, and discipline in measuring progressive results</w:t>
      </w:r>
      <w:r w:rsidR="00073BD5">
        <w:rPr>
          <w:rFonts w:ascii="Arial" w:hAnsi="Arial" w:cs="Arial"/>
        </w:rPr>
        <w:t xml:space="preserve"> (</w:t>
      </w:r>
      <w:r w:rsidR="002C5648" w:rsidRPr="002C5648">
        <w:rPr>
          <w:rFonts w:ascii="Arial" w:hAnsi="Arial" w:cs="Arial"/>
        </w:rPr>
        <w:t>Esmail et al., 2023).</w:t>
      </w:r>
    </w:p>
    <w:p w14:paraId="500E1CE8" w14:textId="77777777" w:rsidR="00073BD5" w:rsidRDefault="00073BD5" w:rsidP="002C5648">
      <w:pPr>
        <w:spacing w:line="480" w:lineRule="auto"/>
        <w:rPr>
          <w:rFonts w:ascii="Arial" w:hAnsi="Arial" w:cs="Arial"/>
        </w:rPr>
      </w:pPr>
    </w:p>
    <w:p w14:paraId="37219278" w14:textId="77777777" w:rsidR="00073BD5" w:rsidRDefault="00073BD5" w:rsidP="002C5648">
      <w:pPr>
        <w:spacing w:line="480" w:lineRule="auto"/>
        <w:rPr>
          <w:rFonts w:ascii="Arial" w:hAnsi="Arial" w:cs="Arial"/>
        </w:rPr>
      </w:pPr>
    </w:p>
    <w:p w14:paraId="06E11059" w14:textId="77777777" w:rsidR="00073BD5" w:rsidRDefault="00073BD5" w:rsidP="002C5648">
      <w:pPr>
        <w:spacing w:line="480" w:lineRule="auto"/>
        <w:rPr>
          <w:rFonts w:ascii="Arial" w:hAnsi="Arial" w:cs="Arial"/>
        </w:rPr>
      </w:pPr>
    </w:p>
    <w:p w14:paraId="50BBE906" w14:textId="77777777" w:rsidR="00073BD5" w:rsidRDefault="00073BD5" w:rsidP="002C5648">
      <w:pPr>
        <w:spacing w:line="480" w:lineRule="auto"/>
        <w:rPr>
          <w:rFonts w:ascii="Arial" w:hAnsi="Arial" w:cs="Arial"/>
        </w:rPr>
      </w:pPr>
    </w:p>
    <w:p w14:paraId="72B3301B" w14:textId="77777777" w:rsidR="00073BD5" w:rsidRDefault="00073BD5" w:rsidP="002C5648">
      <w:pPr>
        <w:spacing w:line="480" w:lineRule="auto"/>
        <w:rPr>
          <w:rFonts w:ascii="Arial" w:hAnsi="Arial" w:cs="Arial"/>
        </w:rPr>
      </w:pPr>
    </w:p>
    <w:p w14:paraId="1D925A05" w14:textId="77777777" w:rsidR="00073BD5" w:rsidRDefault="00073BD5" w:rsidP="002C5648">
      <w:pPr>
        <w:spacing w:line="480" w:lineRule="auto"/>
        <w:rPr>
          <w:rFonts w:ascii="Arial" w:hAnsi="Arial" w:cs="Arial"/>
        </w:rPr>
      </w:pPr>
    </w:p>
    <w:p w14:paraId="611298A0" w14:textId="77777777" w:rsidR="00073BD5" w:rsidRDefault="00073BD5" w:rsidP="002C5648">
      <w:pPr>
        <w:spacing w:line="480" w:lineRule="auto"/>
        <w:rPr>
          <w:rFonts w:ascii="Arial" w:hAnsi="Arial" w:cs="Arial"/>
        </w:rPr>
      </w:pPr>
    </w:p>
    <w:p w14:paraId="4C33CC2E" w14:textId="2E26CE2A" w:rsidR="00073BD5" w:rsidRPr="00867E81" w:rsidRDefault="00073BD5" w:rsidP="002C5648">
      <w:pPr>
        <w:spacing w:line="480" w:lineRule="auto"/>
        <w:rPr>
          <w:rFonts w:ascii="Arial Black" w:hAnsi="Arial Black" w:cs="Arial"/>
        </w:rPr>
      </w:pPr>
      <w:r w:rsidRPr="00867E81">
        <w:rPr>
          <w:rFonts w:ascii="Arial Black" w:hAnsi="Arial Black" w:cs="Arial"/>
        </w:rPr>
        <w:lastRenderedPageBreak/>
        <w:t xml:space="preserve">References </w:t>
      </w:r>
    </w:p>
    <w:p w14:paraId="5F4A4ADF" w14:textId="77777777" w:rsidR="00867E81" w:rsidRDefault="00867E81" w:rsidP="00867E81">
      <w:pPr>
        <w:spacing w:line="480" w:lineRule="auto"/>
        <w:rPr>
          <w:rFonts w:ascii="Arial" w:hAnsi="Arial" w:cs="Arial"/>
        </w:rPr>
      </w:pPr>
      <w:r w:rsidRPr="00867E81">
        <w:rPr>
          <w:rFonts w:ascii="Arial" w:hAnsi="Arial" w:cs="Arial"/>
        </w:rPr>
        <w:t xml:space="preserve">Abedin, B., Douglas, H., Watson, J., &amp; Bidar, R. (2023). Mitigating challenges of small social enterprises to improve performance. </w:t>
      </w:r>
      <w:r w:rsidRPr="00867E81">
        <w:rPr>
          <w:rFonts w:ascii="Arial" w:hAnsi="Arial" w:cs="Arial"/>
          <w:i/>
          <w:iCs/>
        </w:rPr>
        <w:t>International Journal of Productivity and Performance Management, 72</w:t>
      </w:r>
      <w:r w:rsidRPr="00867E81">
        <w:rPr>
          <w:rFonts w:ascii="Arial" w:hAnsi="Arial" w:cs="Arial"/>
        </w:rPr>
        <w:t>(1), 226–245.</w:t>
      </w:r>
    </w:p>
    <w:p w14:paraId="6B8358FA" w14:textId="77777777" w:rsidR="00867E81" w:rsidRDefault="00867E81" w:rsidP="00867E81">
      <w:pPr>
        <w:spacing w:line="480" w:lineRule="auto"/>
        <w:rPr>
          <w:rFonts w:ascii="Arial" w:hAnsi="Arial" w:cs="Arial"/>
        </w:rPr>
      </w:pPr>
      <w:r w:rsidRPr="00867E81">
        <w:rPr>
          <w:rFonts w:ascii="Arial" w:hAnsi="Arial" w:cs="Arial"/>
        </w:rPr>
        <w:t>Campbell, P., Kelly, P., &amp; Harrison, L. (2011</w:t>
      </w:r>
      <w:r w:rsidRPr="00867E81">
        <w:rPr>
          <w:rFonts w:ascii="Arial" w:hAnsi="Arial" w:cs="Arial"/>
          <w:i/>
          <w:iCs/>
        </w:rPr>
        <w:t>). Social enterprise: Challenges and opportunities.</w:t>
      </w:r>
      <w:r w:rsidRPr="00867E81">
        <w:rPr>
          <w:rFonts w:ascii="Arial" w:hAnsi="Arial" w:cs="Arial"/>
        </w:rPr>
        <w:t xml:space="preserve"> Deakin University.</w:t>
      </w:r>
    </w:p>
    <w:p w14:paraId="73156B47" w14:textId="77777777" w:rsidR="00867E81" w:rsidRDefault="00867E81" w:rsidP="00867E81">
      <w:pPr>
        <w:spacing w:line="480" w:lineRule="auto"/>
        <w:rPr>
          <w:rFonts w:ascii="Arial" w:hAnsi="Arial" w:cs="Arial"/>
        </w:rPr>
      </w:pPr>
      <w:r w:rsidRPr="00867E81">
        <w:rPr>
          <w:rFonts w:ascii="Arial" w:hAnsi="Arial" w:cs="Arial"/>
        </w:rPr>
        <w:t xml:space="preserve">Curtis, T. (2016). The challenges and risks of innovation in social entrepreneurship. In </w:t>
      </w:r>
      <w:r w:rsidRPr="00867E81">
        <w:rPr>
          <w:rFonts w:ascii="Arial" w:hAnsi="Arial" w:cs="Arial"/>
          <w:i/>
          <w:iCs/>
        </w:rPr>
        <w:t>Social Entrepreneurship (pp. 95–110).</w:t>
      </w:r>
      <w:r w:rsidRPr="00867E81">
        <w:rPr>
          <w:rFonts w:ascii="Arial" w:hAnsi="Arial" w:cs="Arial"/>
        </w:rPr>
        <w:t xml:space="preserve"> Policy Press.</w:t>
      </w:r>
    </w:p>
    <w:p w14:paraId="1D07ECDB" w14:textId="77777777" w:rsidR="00867E81" w:rsidRDefault="00867E81" w:rsidP="00867E81">
      <w:pPr>
        <w:spacing w:line="480" w:lineRule="auto"/>
        <w:rPr>
          <w:rFonts w:ascii="Arial" w:hAnsi="Arial" w:cs="Arial"/>
        </w:rPr>
      </w:pPr>
      <w:proofErr w:type="spellStart"/>
      <w:r w:rsidRPr="00867E81">
        <w:rPr>
          <w:rFonts w:ascii="Arial" w:hAnsi="Arial" w:cs="Arial"/>
        </w:rPr>
        <w:t>Defourny</w:t>
      </w:r>
      <w:proofErr w:type="spellEnd"/>
      <w:r w:rsidRPr="00867E81">
        <w:rPr>
          <w:rFonts w:ascii="Arial" w:hAnsi="Arial" w:cs="Arial"/>
        </w:rPr>
        <w:t xml:space="preserve">, J. (2010). Concepts and realities of social enterprise: A European perspective. In </w:t>
      </w:r>
      <w:r w:rsidRPr="00867E81">
        <w:rPr>
          <w:rFonts w:ascii="Arial" w:hAnsi="Arial" w:cs="Arial"/>
          <w:i/>
          <w:iCs/>
        </w:rPr>
        <w:t>Handbook of research on social entrepreneurship.</w:t>
      </w:r>
      <w:r w:rsidRPr="00867E81">
        <w:rPr>
          <w:rFonts w:ascii="Arial" w:hAnsi="Arial" w:cs="Arial"/>
        </w:rPr>
        <w:t xml:space="preserve"> Edward Elgar Publishing.</w:t>
      </w:r>
    </w:p>
    <w:p w14:paraId="1CBF1047" w14:textId="77777777" w:rsidR="00867E81" w:rsidRDefault="00867E81" w:rsidP="00867E81">
      <w:pPr>
        <w:spacing w:line="480" w:lineRule="auto"/>
        <w:rPr>
          <w:rFonts w:ascii="Arial" w:hAnsi="Arial" w:cs="Arial"/>
        </w:rPr>
      </w:pPr>
      <w:proofErr w:type="spellStart"/>
      <w:r w:rsidRPr="00867E81">
        <w:rPr>
          <w:rFonts w:ascii="Arial" w:hAnsi="Arial" w:cs="Arial"/>
        </w:rPr>
        <w:t>Defourny</w:t>
      </w:r>
      <w:proofErr w:type="spellEnd"/>
      <w:r w:rsidRPr="00867E81">
        <w:rPr>
          <w:rFonts w:ascii="Arial" w:hAnsi="Arial" w:cs="Arial"/>
        </w:rPr>
        <w:t xml:space="preserve">, J., &amp; Nyssens, M. (2010). Conceptions of social enterprise and social entrepreneurship in Europe and the United States: Convergences and divergences. </w:t>
      </w:r>
      <w:r w:rsidRPr="00867E81">
        <w:rPr>
          <w:rFonts w:ascii="Arial" w:hAnsi="Arial" w:cs="Arial"/>
          <w:i/>
          <w:iCs/>
        </w:rPr>
        <w:t>Journal of Social Entrepreneurship, 1</w:t>
      </w:r>
      <w:r w:rsidRPr="00867E81">
        <w:rPr>
          <w:rFonts w:ascii="Arial" w:hAnsi="Arial" w:cs="Arial"/>
        </w:rPr>
        <w:t>(1), 32–53.</w:t>
      </w:r>
    </w:p>
    <w:p w14:paraId="1CE757AE" w14:textId="77777777" w:rsidR="00867E81" w:rsidRDefault="00867E81" w:rsidP="00867E81">
      <w:pPr>
        <w:spacing w:line="480" w:lineRule="auto"/>
        <w:rPr>
          <w:rFonts w:ascii="Arial" w:hAnsi="Arial" w:cs="Arial"/>
        </w:rPr>
      </w:pPr>
      <w:proofErr w:type="spellStart"/>
      <w:r w:rsidRPr="00867E81">
        <w:rPr>
          <w:rFonts w:ascii="Arial" w:hAnsi="Arial" w:cs="Arial"/>
        </w:rPr>
        <w:t>Defourny</w:t>
      </w:r>
      <w:proofErr w:type="spellEnd"/>
      <w:r w:rsidRPr="00867E81">
        <w:rPr>
          <w:rFonts w:ascii="Arial" w:hAnsi="Arial" w:cs="Arial"/>
        </w:rPr>
        <w:t xml:space="preserve">, J., &amp; Nyssens, M. (2021). </w:t>
      </w:r>
      <w:r w:rsidRPr="00867E81">
        <w:rPr>
          <w:rFonts w:ascii="Arial" w:hAnsi="Arial" w:cs="Arial"/>
          <w:i/>
          <w:iCs/>
        </w:rPr>
        <w:t>Social enterprise in Western Europe: Theory, models and practice (p. 368).</w:t>
      </w:r>
      <w:r w:rsidRPr="00867E81">
        <w:rPr>
          <w:rFonts w:ascii="Arial" w:hAnsi="Arial" w:cs="Arial"/>
        </w:rPr>
        <w:t xml:space="preserve"> Taylor &amp; Francis.</w:t>
      </w:r>
    </w:p>
    <w:p w14:paraId="1F6E940C" w14:textId="77777777" w:rsidR="00867E81" w:rsidRDefault="00867E81" w:rsidP="00867E81">
      <w:pPr>
        <w:spacing w:line="480" w:lineRule="auto"/>
        <w:rPr>
          <w:rFonts w:ascii="Arial" w:hAnsi="Arial" w:cs="Arial"/>
        </w:rPr>
      </w:pPr>
      <w:r w:rsidRPr="00867E81">
        <w:rPr>
          <w:rFonts w:ascii="Arial" w:hAnsi="Arial" w:cs="Arial"/>
        </w:rPr>
        <w:t xml:space="preserve">Esmail, N., McPherson, J. M., Abulu, L., Amend, T., Amit, R., Bhatia, S., ... &amp; Wintle, B. (2023). What’s on the horizon for community-based conservation? Emerging threats and opportunities. </w:t>
      </w:r>
      <w:r w:rsidRPr="00867E81">
        <w:rPr>
          <w:rFonts w:ascii="Arial" w:hAnsi="Arial" w:cs="Arial"/>
          <w:i/>
          <w:iCs/>
        </w:rPr>
        <w:t>Trends in Ecology &amp; Evolution, 38</w:t>
      </w:r>
      <w:r w:rsidRPr="00867E81">
        <w:rPr>
          <w:rFonts w:ascii="Arial" w:hAnsi="Arial" w:cs="Arial"/>
        </w:rPr>
        <w:t>(7), 666–680.</w:t>
      </w:r>
    </w:p>
    <w:p w14:paraId="34464CC7" w14:textId="77777777" w:rsidR="00867E81" w:rsidRDefault="00867E81" w:rsidP="00867E81">
      <w:pPr>
        <w:spacing w:line="480" w:lineRule="auto"/>
        <w:rPr>
          <w:rFonts w:ascii="Arial" w:hAnsi="Arial" w:cs="Arial"/>
        </w:rPr>
      </w:pPr>
      <w:r w:rsidRPr="00867E81">
        <w:rPr>
          <w:rFonts w:ascii="Arial" w:hAnsi="Arial" w:cs="Arial"/>
        </w:rPr>
        <w:t xml:space="preserve">Gigauri, I., Apostu, S. A., &amp; Popescu, C. (2023). Digital transformation: Threats and opportunities for social entrepreneurship. In </w:t>
      </w:r>
      <w:r w:rsidRPr="00867E81">
        <w:rPr>
          <w:rFonts w:ascii="Arial" w:hAnsi="Arial" w:cs="Arial"/>
          <w:i/>
          <w:iCs/>
        </w:rPr>
        <w:t>Two faces of digital transformation: Technological opportunities versus social threats (pp. 1–17).</w:t>
      </w:r>
      <w:r w:rsidRPr="00867E81">
        <w:rPr>
          <w:rFonts w:ascii="Arial" w:hAnsi="Arial" w:cs="Arial"/>
        </w:rPr>
        <w:t xml:space="preserve"> Emerald Publishing Limited.</w:t>
      </w:r>
    </w:p>
    <w:p w14:paraId="69FC8E51" w14:textId="77777777" w:rsidR="00867E81" w:rsidRDefault="00867E81" w:rsidP="00867E81">
      <w:pPr>
        <w:spacing w:line="480" w:lineRule="auto"/>
        <w:rPr>
          <w:rFonts w:ascii="Arial" w:hAnsi="Arial" w:cs="Arial"/>
        </w:rPr>
      </w:pPr>
      <w:r w:rsidRPr="00867E81">
        <w:rPr>
          <w:rFonts w:ascii="Arial" w:hAnsi="Arial" w:cs="Arial"/>
        </w:rPr>
        <w:lastRenderedPageBreak/>
        <w:t xml:space="preserve">Porter, M. E., &amp; Kramer, M. R. (2011). Creating shared value. </w:t>
      </w:r>
      <w:r w:rsidRPr="00867E81">
        <w:rPr>
          <w:rFonts w:ascii="Arial" w:hAnsi="Arial" w:cs="Arial"/>
          <w:i/>
          <w:iCs/>
        </w:rPr>
        <w:t>Harvard Business Review, 89</w:t>
      </w:r>
      <w:r w:rsidRPr="00867E81">
        <w:rPr>
          <w:rFonts w:ascii="Arial" w:hAnsi="Arial" w:cs="Arial"/>
        </w:rPr>
        <w:t>(1–2), 62–77.</w:t>
      </w:r>
    </w:p>
    <w:p w14:paraId="785C57D7" w14:textId="77777777" w:rsidR="00867E81" w:rsidRDefault="00867E81" w:rsidP="00867E81">
      <w:pPr>
        <w:spacing w:line="480" w:lineRule="auto"/>
        <w:rPr>
          <w:rFonts w:ascii="Arial" w:hAnsi="Arial" w:cs="Arial"/>
          <w:i/>
          <w:iCs/>
        </w:rPr>
      </w:pPr>
      <w:r w:rsidRPr="00867E81">
        <w:rPr>
          <w:rFonts w:ascii="Arial" w:hAnsi="Arial" w:cs="Arial"/>
        </w:rPr>
        <w:t xml:space="preserve">Vasserot, C. V. (2023). Social enterprises in the European Union: Gradual recognition of their importance and models of legal regulation. In </w:t>
      </w:r>
      <w:r w:rsidRPr="00867E81">
        <w:rPr>
          <w:rFonts w:ascii="Arial" w:hAnsi="Arial" w:cs="Arial"/>
          <w:i/>
          <w:iCs/>
        </w:rPr>
        <w:t>The international handbook of social enterprise law (p. 27).</w:t>
      </w:r>
    </w:p>
    <w:p w14:paraId="58C0F16A" w14:textId="4BEDAEEB" w:rsidR="00073BD5" w:rsidRPr="00867E81" w:rsidRDefault="00867E81" w:rsidP="00867E81">
      <w:pPr>
        <w:spacing w:line="480" w:lineRule="auto"/>
        <w:rPr>
          <w:rFonts w:ascii="Arial" w:hAnsi="Arial" w:cs="Arial"/>
          <w:i/>
          <w:iCs/>
        </w:rPr>
      </w:pPr>
      <w:r w:rsidRPr="00867E81">
        <w:rPr>
          <w:rFonts w:ascii="Arial" w:hAnsi="Arial" w:cs="Arial"/>
        </w:rPr>
        <w:t xml:space="preserve">Yunus, M., Moingeon, B., &amp; Lehmann-Ortega, L. (2010). Building social business models: Lessons from the Grameen experience. </w:t>
      </w:r>
      <w:r w:rsidRPr="00867E81">
        <w:rPr>
          <w:rFonts w:ascii="Arial" w:hAnsi="Arial" w:cs="Arial"/>
          <w:i/>
          <w:iCs/>
        </w:rPr>
        <w:t>Long Range Planning, 43</w:t>
      </w:r>
      <w:r w:rsidRPr="00867E81">
        <w:rPr>
          <w:rFonts w:ascii="Arial" w:hAnsi="Arial" w:cs="Arial"/>
        </w:rPr>
        <w:t>(2–3), 308–325.</w:t>
      </w:r>
    </w:p>
    <w:sectPr w:rsidR="00073BD5" w:rsidRPr="00867E81" w:rsidSect="00073BD5">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BC43C0" w14:textId="77777777" w:rsidR="00136880" w:rsidRDefault="00136880" w:rsidP="00073BD5">
      <w:pPr>
        <w:spacing w:after="0" w:line="240" w:lineRule="auto"/>
      </w:pPr>
      <w:r>
        <w:separator/>
      </w:r>
    </w:p>
  </w:endnote>
  <w:endnote w:type="continuationSeparator" w:id="0">
    <w:p w14:paraId="2A51A2F3" w14:textId="77777777" w:rsidR="00136880" w:rsidRDefault="00136880" w:rsidP="00073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8E57A" w14:textId="77777777" w:rsidR="00136880" w:rsidRDefault="00136880" w:rsidP="00073BD5">
      <w:pPr>
        <w:spacing w:after="0" w:line="240" w:lineRule="auto"/>
      </w:pPr>
      <w:r>
        <w:separator/>
      </w:r>
    </w:p>
  </w:footnote>
  <w:footnote w:type="continuationSeparator" w:id="0">
    <w:p w14:paraId="0FF79BF6" w14:textId="77777777" w:rsidR="00136880" w:rsidRDefault="00136880" w:rsidP="00073B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6654260"/>
      <w:docPartObj>
        <w:docPartGallery w:val="Page Numbers (Top of Page)"/>
        <w:docPartUnique/>
      </w:docPartObj>
    </w:sdtPr>
    <w:sdtEndPr>
      <w:rPr>
        <w:noProof/>
      </w:rPr>
    </w:sdtEndPr>
    <w:sdtContent>
      <w:p w14:paraId="405CB19B" w14:textId="5583440A" w:rsidR="00073BD5" w:rsidRDefault="00073BD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5DCC503" w14:textId="77777777" w:rsidR="00073BD5" w:rsidRDefault="00073BD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AC1"/>
    <w:rsid w:val="00073BD5"/>
    <w:rsid w:val="00136880"/>
    <w:rsid w:val="002C5648"/>
    <w:rsid w:val="00761AC1"/>
    <w:rsid w:val="00774996"/>
    <w:rsid w:val="00867E81"/>
    <w:rsid w:val="00A64274"/>
    <w:rsid w:val="00B40BE5"/>
    <w:rsid w:val="00D57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4A8A0"/>
  <w15:chartTrackingRefBased/>
  <w15:docId w15:val="{E6FFE51E-B627-41D2-89E0-2CA8A10FA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A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1A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1A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1A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1A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1A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1A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1A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1A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A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1A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1A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1A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1A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1A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1A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1A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1AC1"/>
    <w:rPr>
      <w:rFonts w:eastAsiaTheme="majorEastAsia" w:cstheme="majorBidi"/>
      <w:color w:val="272727" w:themeColor="text1" w:themeTint="D8"/>
    </w:rPr>
  </w:style>
  <w:style w:type="paragraph" w:styleId="Title">
    <w:name w:val="Title"/>
    <w:basedOn w:val="Normal"/>
    <w:next w:val="Normal"/>
    <w:link w:val="TitleChar"/>
    <w:uiPriority w:val="10"/>
    <w:qFormat/>
    <w:rsid w:val="00761A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A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1A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1A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1AC1"/>
    <w:pPr>
      <w:spacing w:before="160"/>
      <w:jc w:val="center"/>
    </w:pPr>
    <w:rPr>
      <w:i/>
      <w:iCs/>
      <w:color w:val="404040" w:themeColor="text1" w:themeTint="BF"/>
    </w:rPr>
  </w:style>
  <w:style w:type="character" w:customStyle="1" w:styleId="QuoteChar">
    <w:name w:val="Quote Char"/>
    <w:basedOn w:val="DefaultParagraphFont"/>
    <w:link w:val="Quote"/>
    <w:uiPriority w:val="29"/>
    <w:rsid w:val="00761AC1"/>
    <w:rPr>
      <w:i/>
      <w:iCs/>
      <w:color w:val="404040" w:themeColor="text1" w:themeTint="BF"/>
    </w:rPr>
  </w:style>
  <w:style w:type="paragraph" w:styleId="ListParagraph">
    <w:name w:val="List Paragraph"/>
    <w:basedOn w:val="Normal"/>
    <w:uiPriority w:val="34"/>
    <w:qFormat/>
    <w:rsid w:val="00761AC1"/>
    <w:pPr>
      <w:ind w:left="720"/>
      <w:contextualSpacing/>
    </w:pPr>
  </w:style>
  <w:style w:type="character" w:styleId="IntenseEmphasis">
    <w:name w:val="Intense Emphasis"/>
    <w:basedOn w:val="DefaultParagraphFont"/>
    <w:uiPriority w:val="21"/>
    <w:qFormat/>
    <w:rsid w:val="00761AC1"/>
    <w:rPr>
      <w:i/>
      <w:iCs/>
      <w:color w:val="0F4761" w:themeColor="accent1" w:themeShade="BF"/>
    </w:rPr>
  </w:style>
  <w:style w:type="paragraph" w:styleId="IntenseQuote">
    <w:name w:val="Intense Quote"/>
    <w:basedOn w:val="Normal"/>
    <w:next w:val="Normal"/>
    <w:link w:val="IntenseQuoteChar"/>
    <w:uiPriority w:val="30"/>
    <w:qFormat/>
    <w:rsid w:val="00761A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1AC1"/>
    <w:rPr>
      <w:i/>
      <w:iCs/>
      <w:color w:val="0F4761" w:themeColor="accent1" w:themeShade="BF"/>
    </w:rPr>
  </w:style>
  <w:style w:type="character" w:styleId="IntenseReference">
    <w:name w:val="Intense Reference"/>
    <w:basedOn w:val="DefaultParagraphFont"/>
    <w:uiPriority w:val="32"/>
    <w:qFormat/>
    <w:rsid w:val="00761AC1"/>
    <w:rPr>
      <w:b/>
      <w:bCs/>
      <w:smallCaps/>
      <w:color w:val="0F4761" w:themeColor="accent1" w:themeShade="BF"/>
      <w:spacing w:val="5"/>
    </w:rPr>
  </w:style>
  <w:style w:type="paragraph" w:styleId="Header">
    <w:name w:val="header"/>
    <w:basedOn w:val="Normal"/>
    <w:link w:val="HeaderChar"/>
    <w:uiPriority w:val="99"/>
    <w:unhideWhenUsed/>
    <w:rsid w:val="00073B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BD5"/>
  </w:style>
  <w:style w:type="paragraph" w:styleId="Footer">
    <w:name w:val="footer"/>
    <w:basedOn w:val="Normal"/>
    <w:link w:val="FooterChar"/>
    <w:uiPriority w:val="99"/>
    <w:unhideWhenUsed/>
    <w:rsid w:val="00073B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BD5"/>
  </w:style>
  <w:style w:type="paragraph" w:styleId="NoSpacing">
    <w:name w:val="No Spacing"/>
    <w:link w:val="NoSpacingChar"/>
    <w:uiPriority w:val="1"/>
    <w:qFormat/>
    <w:rsid w:val="00073BD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73BD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C0C4728E07346F5BB1A21B5AF80BF04"/>
        <w:category>
          <w:name w:val="General"/>
          <w:gallery w:val="placeholder"/>
        </w:category>
        <w:types>
          <w:type w:val="bbPlcHdr"/>
        </w:types>
        <w:behaviors>
          <w:behavior w:val="content"/>
        </w:behaviors>
        <w:guid w:val="{65BBA1E5-8F57-4780-A8F6-ACB3DA1265AC}"/>
      </w:docPartPr>
      <w:docPartBody>
        <w:p w:rsidR="00000000" w:rsidRDefault="007E271C" w:rsidP="007E271C">
          <w:pPr>
            <w:pStyle w:val="BC0C4728E07346F5BB1A21B5AF80BF04"/>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71C"/>
    <w:rsid w:val="007E271C"/>
    <w:rsid w:val="00A11E75"/>
    <w:rsid w:val="00B40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0C4728E07346F5BB1A21B5AF80BF04">
    <w:name w:val="BC0C4728E07346F5BB1A21B5AF80BF04"/>
    <w:rsid w:val="007E271C"/>
  </w:style>
  <w:style w:type="paragraph" w:customStyle="1" w:styleId="993A900ABE434475A86E763AE5A1F969">
    <w:name w:val="993A900ABE434475A86E763AE5A1F969"/>
    <w:rsid w:val="007E27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2025-10-31T00:00:00</PublishDate>
  <Abstract/>
  <CompanyAddress>Module: Social Enterprise: Theory and Practice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2050</Words>
  <Characters>11685</Characters>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2025-10-28T17:08:00Z</dcterms:created>
  <dcterms:modified xsi:type="dcterms:W3CDTF">2025-10-28T17:08:00Z</dcterms:modified>
</cp:coreProperties>
</file>