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0BC3" w:rsidRPr="00F332DB" w:rsidRDefault="00420BC3" w:rsidP="00420BC3">
      <w:pPr>
        <w:pStyle w:val="NormalWeb"/>
        <w:jc w:val="center"/>
        <w:rPr>
          <w:b/>
        </w:rPr>
      </w:pPr>
    </w:p>
    <w:p w:rsidR="00420BC3" w:rsidRPr="00F332DB" w:rsidRDefault="00420BC3" w:rsidP="00420BC3">
      <w:pPr>
        <w:pStyle w:val="NormalWeb"/>
        <w:jc w:val="center"/>
        <w:rPr>
          <w:b/>
        </w:rPr>
      </w:pPr>
    </w:p>
    <w:p w:rsidR="00420BC3" w:rsidRPr="00F332DB" w:rsidRDefault="00420BC3" w:rsidP="00420BC3">
      <w:pPr>
        <w:pStyle w:val="NormalWeb"/>
        <w:jc w:val="center"/>
        <w:rPr>
          <w:b/>
        </w:rPr>
      </w:pPr>
    </w:p>
    <w:p w:rsidR="00420BC3" w:rsidRPr="00F332DB" w:rsidRDefault="00420BC3" w:rsidP="00420BC3">
      <w:pPr>
        <w:pStyle w:val="NormalWeb"/>
        <w:jc w:val="center"/>
        <w:rPr>
          <w:b/>
        </w:rPr>
      </w:pPr>
    </w:p>
    <w:p w:rsidR="00420BC3" w:rsidRPr="00F332DB" w:rsidRDefault="00420BC3" w:rsidP="00420BC3">
      <w:pPr>
        <w:pStyle w:val="NormalWeb"/>
        <w:jc w:val="center"/>
        <w:rPr>
          <w:b/>
        </w:rPr>
      </w:pPr>
    </w:p>
    <w:p w:rsidR="002463C4" w:rsidRPr="00F332DB" w:rsidRDefault="002463C4" w:rsidP="00420BC3">
      <w:pPr>
        <w:pStyle w:val="NormalWeb"/>
        <w:jc w:val="center"/>
        <w:rPr>
          <w:b/>
        </w:rPr>
      </w:pPr>
    </w:p>
    <w:p w:rsidR="00420BC3" w:rsidRPr="00F332DB" w:rsidRDefault="00420BC3" w:rsidP="00420BC3">
      <w:pPr>
        <w:pStyle w:val="NormalWeb"/>
        <w:jc w:val="center"/>
        <w:rPr>
          <w:b/>
        </w:rPr>
      </w:pPr>
    </w:p>
    <w:p w:rsidR="00420BC3" w:rsidRPr="00F332DB" w:rsidRDefault="002463C4" w:rsidP="00420BC3">
      <w:pPr>
        <w:pStyle w:val="NormalWeb"/>
        <w:spacing w:before="0" w:beforeAutospacing="0" w:after="0" w:afterAutospacing="0" w:line="480" w:lineRule="auto"/>
        <w:jc w:val="center"/>
        <w:rPr>
          <w:b/>
        </w:rPr>
      </w:pPr>
      <w:r w:rsidRPr="00F332DB">
        <w:rPr>
          <w:b/>
        </w:rPr>
        <w:t>NUTRITIONAL ANALYSIS</w:t>
      </w:r>
    </w:p>
    <w:p w:rsidR="00420BC3" w:rsidRPr="00F332DB" w:rsidRDefault="00420BC3" w:rsidP="00420BC3">
      <w:pPr>
        <w:pStyle w:val="NormalWeb"/>
        <w:spacing w:before="0" w:beforeAutospacing="0" w:after="0" w:afterAutospacing="0" w:line="480" w:lineRule="auto"/>
        <w:jc w:val="center"/>
        <w:rPr>
          <w:b/>
        </w:rPr>
      </w:pPr>
    </w:p>
    <w:p w:rsidR="002463C4" w:rsidRPr="00F332DB" w:rsidRDefault="002463C4" w:rsidP="00420BC3">
      <w:pPr>
        <w:pStyle w:val="NormalWeb"/>
        <w:spacing w:before="0" w:beforeAutospacing="0" w:after="0" w:afterAutospacing="0" w:line="480" w:lineRule="auto"/>
        <w:jc w:val="center"/>
        <w:rPr>
          <w:b/>
        </w:rPr>
      </w:pPr>
    </w:p>
    <w:p w:rsidR="002463C4" w:rsidRPr="00F332DB" w:rsidRDefault="002463C4" w:rsidP="00420BC3">
      <w:pPr>
        <w:pStyle w:val="NormalWeb"/>
        <w:spacing w:before="0" w:beforeAutospacing="0" w:after="0" w:afterAutospacing="0" w:line="480" w:lineRule="auto"/>
        <w:jc w:val="center"/>
        <w:rPr>
          <w:b/>
        </w:rPr>
      </w:pPr>
    </w:p>
    <w:p w:rsidR="00420BC3" w:rsidRPr="00F332DB" w:rsidRDefault="00420BC3" w:rsidP="00420BC3">
      <w:pPr>
        <w:pStyle w:val="NormalWeb"/>
        <w:spacing w:before="0" w:beforeAutospacing="0" w:after="0" w:afterAutospacing="0" w:line="480" w:lineRule="auto"/>
        <w:jc w:val="center"/>
        <w:rPr>
          <w:b/>
        </w:rPr>
      </w:pPr>
      <w:r w:rsidRPr="00F332DB">
        <w:rPr>
          <w:b/>
        </w:rPr>
        <w:t xml:space="preserve">Student </w:t>
      </w:r>
      <w:r w:rsidR="00D9652E" w:rsidRPr="00F332DB">
        <w:rPr>
          <w:b/>
        </w:rPr>
        <w:t>N</w:t>
      </w:r>
      <w:r w:rsidRPr="00F332DB">
        <w:rPr>
          <w:b/>
        </w:rPr>
        <w:t>ame:</w:t>
      </w:r>
    </w:p>
    <w:p w:rsidR="00420BC3" w:rsidRPr="00F332DB" w:rsidRDefault="00420BC3" w:rsidP="00420BC3">
      <w:pPr>
        <w:pStyle w:val="NormalWeb"/>
        <w:spacing w:before="0" w:beforeAutospacing="0" w:after="0" w:afterAutospacing="0" w:line="480" w:lineRule="auto"/>
        <w:jc w:val="center"/>
        <w:rPr>
          <w:b/>
        </w:rPr>
      </w:pPr>
      <w:r w:rsidRPr="00F332DB">
        <w:rPr>
          <w:b/>
        </w:rPr>
        <w:t xml:space="preserve">Student ID </w:t>
      </w:r>
      <w:r w:rsidR="00D9652E" w:rsidRPr="00F332DB">
        <w:rPr>
          <w:b/>
        </w:rPr>
        <w:t>N</w:t>
      </w:r>
      <w:r w:rsidRPr="00F332DB">
        <w:rPr>
          <w:b/>
        </w:rPr>
        <w:t>umber:</w:t>
      </w:r>
    </w:p>
    <w:p w:rsidR="00420BC3" w:rsidRPr="00F332DB" w:rsidRDefault="00420BC3" w:rsidP="00420BC3">
      <w:pPr>
        <w:pStyle w:val="NormalWeb"/>
        <w:spacing w:before="0" w:beforeAutospacing="0" w:after="0" w:afterAutospacing="0" w:line="480" w:lineRule="auto"/>
        <w:jc w:val="center"/>
        <w:rPr>
          <w:b/>
        </w:rPr>
      </w:pPr>
      <w:r w:rsidRPr="00F332DB">
        <w:rPr>
          <w:b/>
        </w:rPr>
        <w:t>Module: Dietary Analysis</w:t>
      </w:r>
    </w:p>
    <w:p w:rsidR="00420BC3" w:rsidRPr="00F332DB" w:rsidRDefault="00420BC3" w:rsidP="00420BC3">
      <w:pPr>
        <w:pStyle w:val="NormalWeb"/>
        <w:spacing w:before="0" w:beforeAutospacing="0" w:after="0" w:afterAutospacing="0" w:line="480" w:lineRule="auto"/>
        <w:jc w:val="center"/>
        <w:rPr>
          <w:b/>
        </w:rPr>
      </w:pPr>
      <w:r w:rsidRPr="00F332DB">
        <w:rPr>
          <w:b/>
        </w:rPr>
        <w:t>Module code: BMHN5001</w:t>
      </w:r>
    </w:p>
    <w:p w:rsidR="00420BC3" w:rsidRPr="00F332DB" w:rsidRDefault="00420BC3" w:rsidP="00420BC3">
      <w:pPr>
        <w:pStyle w:val="NormalWeb"/>
        <w:spacing w:before="0" w:beforeAutospacing="0" w:after="0" w:afterAutospacing="0" w:line="480" w:lineRule="auto"/>
        <w:jc w:val="center"/>
        <w:rPr>
          <w:b/>
        </w:rPr>
      </w:pPr>
      <w:r w:rsidRPr="00F332DB">
        <w:rPr>
          <w:b/>
        </w:rPr>
        <w:t>Lecturer: Chris Cashin</w:t>
      </w:r>
    </w:p>
    <w:p w:rsidR="00420BC3" w:rsidRPr="00F332DB" w:rsidRDefault="00420BC3" w:rsidP="00420BC3">
      <w:pPr>
        <w:pStyle w:val="NormalWeb"/>
        <w:spacing w:before="0" w:beforeAutospacing="0" w:after="0" w:afterAutospacing="0" w:line="480" w:lineRule="auto"/>
        <w:jc w:val="center"/>
        <w:rPr>
          <w:b/>
        </w:rPr>
      </w:pPr>
      <w:r w:rsidRPr="00F332DB">
        <w:rPr>
          <w:b/>
        </w:rPr>
        <w:t>Submission Date:</w:t>
      </w:r>
    </w:p>
    <w:p w:rsidR="00420BC3" w:rsidRPr="00F332DB" w:rsidRDefault="00420BC3" w:rsidP="00BB6AD0">
      <w:pPr>
        <w:pStyle w:val="NormalWeb"/>
        <w:rPr>
          <w:b/>
        </w:rPr>
      </w:pPr>
    </w:p>
    <w:p w:rsidR="00420BC3" w:rsidRPr="00F332DB" w:rsidRDefault="00420BC3" w:rsidP="00BB6AD0">
      <w:pPr>
        <w:pStyle w:val="NormalWeb"/>
        <w:rPr>
          <w:b/>
        </w:rPr>
      </w:pPr>
    </w:p>
    <w:p w:rsidR="00420BC3" w:rsidRPr="00F332DB" w:rsidRDefault="00420BC3" w:rsidP="00BB6AD0">
      <w:pPr>
        <w:pStyle w:val="NormalWeb"/>
        <w:rPr>
          <w:b/>
        </w:rPr>
      </w:pPr>
    </w:p>
    <w:p w:rsidR="00420BC3" w:rsidRPr="00F332DB" w:rsidRDefault="00420BC3" w:rsidP="00BB6AD0">
      <w:pPr>
        <w:pStyle w:val="NormalWeb"/>
        <w:rPr>
          <w:b/>
        </w:rPr>
      </w:pPr>
    </w:p>
    <w:p w:rsidR="00420BC3" w:rsidRPr="00F332DB" w:rsidRDefault="00420BC3" w:rsidP="00BB6AD0">
      <w:pPr>
        <w:pStyle w:val="NormalWeb"/>
        <w:rPr>
          <w:b/>
        </w:rPr>
      </w:pPr>
    </w:p>
    <w:p w:rsidR="00420BC3" w:rsidRPr="00F332DB" w:rsidRDefault="00420BC3" w:rsidP="00BB6AD0">
      <w:pPr>
        <w:pStyle w:val="NormalWeb"/>
        <w:rPr>
          <w:b/>
        </w:rPr>
      </w:pPr>
    </w:p>
    <w:p w:rsidR="00BB6AD0" w:rsidRPr="00F332DB" w:rsidRDefault="00BB6AD0" w:rsidP="00F332DB">
      <w:pPr>
        <w:pStyle w:val="NormalWeb"/>
        <w:spacing w:before="0" w:beforeAutospacing="0" w:after="0" w:afterAutospacing="0" w:line="360" w:lineRule="auto"/>
        <w:jc w:val="both"/>
        <w:rPr>
          <w:b/>
        </w:rPr>
      </w:pPr>
      <w:r w:rsidRPr="00F332DB">
        <w:rPr>
          <w:b/>
        </w:rPr>
        <w:lastRenderedPageBreak/>
        <w:t xml:space="preserve">1. Introduction </w:t>
      </w:r>
    </w:p>
    <w:p w:rsidR="00FD779D" w:rsidRDefault="001A566E" w:rsidP="00F332DB">
      <w:pPr>
        <w:pStyle w:val="NormalWeb"/>
        <w:spacing w:before="0" w:beforeAutospacing="0" w:after="0" w:afterAutospacing="0" w:line="360" w:lineRule="auto"/>
        <w:jc w:val="both"/>
      </w:pPr>
      <w:r w:rsidRPr="00F332DB">
        <w:t>Nutritional analysis is a key part of the nutrition practice, as it allows practitioners to evaluate the nutritional intake and possible deficiencies of nutrients and help people to reach optimal health (</w:t>
      </w:r>
      <w:proofErr w:type="spellStart"/>
      <w:r w:rsidRPr="00F332DB">
        <w:t>Kesari</w:t>
      </w:r>
      <w:proofErr w:type="spellEnd"/>
      <w:r w:rsidRPr="00F332DB">
        <w:t xml:space="preserve"> and Noel, 2023). In this report, a nutritional analysis of a five-day food diary of one of the volunteers is presented. All the personal identifying information is not included to maintain the confidentiality of the study subjects in compliance with the Association for Nutrition (</w:t>
      </w:r>
      <w:proofErr w:type="spellStart"/>
      <w:r w:rsidRPr="00F332DB">
        <w:t>AfN</w:t>
      </w:r>
      <w:proofErr w:type="spellEnd"/>
      <w:r w:rsidRPr="00F332DB">
        <w:t>) Standards of Ethics, Conduct and Performance (</w:t>
      </w:r>
      <w:proofErr w:type="spellStart"/>
      <w:r w:rsidRPr="00F332DB">
        <w:t>AfN</w:t>
      </w:r>
      <w:proofErr w:type="spellEnd"/>
      <w:r w:rsidRPr="00F332DB">
        <w:t xml:space="preserve">, 2021).  The client is a 27-year-old male patient that lives in Cardiff and is a moderate-paced physical activity user. Anthropometry showed 1.78-m tall and a body mass of 82 kg which resulted in body mass index (BMI) of 25.9kg -2. This is the classification of the client as overweight according to the standard BMI classifications (Centers for Disease Control and Prevention, 2024). It was approximated that body fat percentage was around 22 per cent, which showed a moderate level of adiposity. </w:t>
      </w:r>
    </w:p>
    <w:p w:rsidR="00CD5E3E" w:rsidRPr="00F332DB" w:rsidRDefault="001A566E" w:rsidP="00F332DB">
      <w:pPr>
        <w:pStyle w:val="NormalWeb"/>
        <w:spacing w:before="0" w:beforeAutospacing="0" w:after="0" w:afterAutospacing="0" w:line="360" w:lineRule="auto"/>
        <w:jc w:val="both"/>
      </w:pPr>
      <w:r w:rsidRPr="00F332DB">
        <w:t>Although BMI does not differentiate lean and fat mass, it is a useful screening test when measured along with other measures and the lifestyles (Wu et al., 2024).</w:t>
      </w:r>
      <w:r w:rsidR="00FD779D">
        <w:t xml:space="preserve"> </w:t>
      </w:r>
      <w:r w:rsidRPr="00F332DB">
        <w:t xml:space="preserve">The client attends </w:t>
      </w:r>
      <w:proofErr w:type="spellStart"/>
      <w:r w:rsidRPr="00F332DB">
        <w:t>organised</w:t>
      </w:r>
      <w:proofErr w:type="spellEnd"/>
      <w:r w:rsidRPr="00F332DB">
        <w:t xml:space="preserve"> gym-based workouts three to four times weekly, which include resistance work and light cardiovascular workouts. He denies having any medical diagnoses and is not taking prescription drugs. The alcohol is taken on a social basis during weekends, usually 2-3 units at a time. There was a slight report of lactose intolerance, and this may affect the consumption of dairy and in turn affect the intake of calcium (</w:t>
      </w:r>
      <w:proofErr w:type="spellStart"/>
      <w:r w:rsidRPr="00F332DB">
        <w:t>Kawata</w:t>
      </w:r>
      <w:proofErr w:type="spellEnd"/>
      <w:r w:rsidRPr="00F332DB">
        <w:t xml:space="preserve"> et al., 2025).</w:t>
      </w:r>
      <w:r w:rsidR="007970F2" w:rsidRPr="00F332DB">
        <w:t xml:space="preserve"> </w:t>
      </w:r>
      <w:r w:rsidRPr="00F332DB">
        <w:t xml:space="preserve">The secondary goals </w:t>
      </w:r>
      <w:r w:rsidR="007970F2" w:rsidRPr="00F332DB">
        <w:t xml:space="preserve">of the client </w:t>
      </w:r>
      <w:r w:rsidRPr="00F332DB">
        <w:t>are the enhancement of the energy levels throughout the working week and more regular meal regimes (</w:t>
      </w:r>
      <w:proofErr w:type="spellStart"/>
      <w:r w:rsidRPr="00F332DB">
        <w:t>Nairn</w:t>
      </w:r>
      <w:proofErr w:type="spellEnd"/>
      <w:r w:rsidRPr="00F332DB">
        <w:t xml:space="preserve">, 2022). A five-day food diary was used which included household measures of a food diary from Tuesday to Saturday with one day of a weekend. </w:t>
      </w:r>
    </w:p>
    <w:p w:rsidR="00BB6AD0" w:rsidRPr="00F332DB" w:rsidRDefault="008531C7" w:rsidP="00F332DB">
      <w:pPr>
        <w:pStyle w:val="NormalWeb"/>
        <w:spacing w:before="0" w:beforeAutospacing="0" w:after="0" w:afterAutospacing="0" w:line="360" w:lineRule="auto"/>
        <w:jc w:val="both"/>
        <w:rPr>
          <w:b/>
        </w:rPr>
      </w:pPr>
      <w:r w:rsidRPr="00F332DB">
        <w:rPr>
          <w:b/>
        </w:rPr>
        <w:lastRenderedPageBreak/>
        <w:drawing>
          <wp:inline distT="0" distB="0" distL="0" distR="0" wp14:anchorId="2FACE199" wp14:editId="6E7B8440">
            <wp:extent cx="5943600" cy="23526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2352675"/>
                    </a:xfrm>
                    <a:prstGeom prst="rect">
                      <a:avLst/>
                    </a:prstGeom>
                  </pic:spPr>
                </pic:pic>
              </a:graphicData>
            </a:graphic>
          </wp:inline>
        </w:drawing>
      </w:r>
      <w:r w:rsidR="00BB6AD0" w:rsidRPr="00F332DB">
        <w:rPr>
          <w:b/>
        </w:rPr>
        <w:t xml:space="preserve">2. Nutritional Analysis Using Nutritics </w:t>
      </w:r>
    </w:p>
    <w:p w:rsidR="00EF123B" w:rsidRPr="00F332DB" w:rsidRDefault="00EF123B" w:rsidP="00F332DB">
      <w:pPr>
        <w:spacing w:after="0" w:line="360" w:lineRule="auto"/>
        <w:jc w:val="both"/>
        <w:rPr>
          <w:rFonts w:ascii="Times New Roman" w:eastAsia="Times New Roman" w:hAnsi="Times New Roman" w:cs="Times New Roman"/>
          <w:sz w:val="24"/>
          <w:szCs w:val="24"/>
        </w:rPr>
      </w:pPr>
      <w:r w:rsidRPr="00F332DB">
        <w:rPr>
          <w:rFonts w:ascii="Times New Roman" w:eastAsia="Times New Roman" w:hAnsi="Times New Roman" w:cs="Times New Roman"/>
          <w:sz w:val="24"/>
          <w:szCs w:val="24"/>
        </w:rPr>
        <w:t>The Nutritics nutritional analysis software was used in analysing a five-day food diary. Nutritics is an advanced nutritional analysis application that finds extensive application in clinical, academic, and sports nutrition (Nutritics, 2024). The software includes comprehensive databases of food composition, both branded and generic foods (UK-specific ones as well), to enable the correct estimation of the macro- and micronutrient intake.</w:t>
      </w:r>
      <w:r w:rsidR="00FD779D">
        <w:rPr>
          <w:rFonts w:ascii="Times New Roman" w:eastAsia="Times New Roman" w:hAnsi="Times New Roman" w:cs="Times New Roman"/>
          <w:sz w:val="24"/>
          <w:szCs w:val="24"/>
        </w:rPr>
        <w:t xml:space="preserve"> </w:t>
      </w:r>
      <w:r w:rsidRPr="00F332DB">
        <w:rPr>
          <w:rFonts w:ascii="Times New Roman" w:eastAsia="Times New Roman" w:hAnsi="Times New Roman" w:cs="Times New Roman"/>
          <w:sz w:val="24"/>
          <w:szCs w:val="24"/>
        </w:rPr>
        <w:t>The client recorded quantified portions of food she consumed on each day. The household measures were put into grams and millilitres</w:t>
      </w:r>
      <w:bookmarkStart w:id="0" w:name="_GoBack"/>
      <w:bookmarkEnd w:id="0"/>
      <w:r w:rsidRPr="00F332DB">
        <w:rPr>
          <w:rFonts w:ascii="Times New Roman" w:eastAsia="Times New Roman" w:hAnsi="Times New Roman" w:cs="Times New Roman"/>
          <w:sz w:val="24"/>
          <w:szCs w:val="24"/>
        </w:rPr>
        <w:t xml:space="preserve"> to enhance accuracy. Nutritionists have created nutrient values per day of total energy intake and macronutrients as well as the selected micronutrient, which were in turn averaged over the five days to give a view of habitual intake.</w:t>
      </w:r>
      <w:r w:rsidR="00FD779D">
        <w:rPr>
          <w:rFonts w:ascii="Times New Roman" w:eastAsia="Times New Roman" w:hAnsi="Times New Roman" w:cs="Times New Roman"/>
          <w:sz w:val="24"/>
          <w:szCs w:val="24"/>
        </w:rPr>
        <w:t xml:space="preserve"> </w:t>
      </w:r>
      <w:r w:rsidRPr="00F332DB">
        <w:rPr>
          <w:rFonts w:ascii="Times New Roman" w:eastAsia="Times New Roman" w:hAnsi="Times New Roman" w:cs="Times New Roman"/>
          <w:sz w:val="24"/>
          <w:szCs w:val="24"/>
        </w:rPr>
        <w:t>A five-day diary gives a better approximation of the typical intake than do shorter study periods, especially when the period extends to weekends. The introduction of a weekend day is notable because the eating habits tend to be varied with regard to social meals, takeaways and alcohol.</w:t>
      </w:r>
    </w:p>
    <w:p w:rsidR="00EF123B" w:rsidRPr="00F332DB" w:rsidRDefault="008531C7" w:rsidP="00F332DB">
      <w:pPr>
        <w:spacing w:after="0" w:line="360" w:lineRule="auto"/>
        <w:jc w:val="both"/>
        <w:rPr>
          <w:rFonts w:ascii="Times New Roman" w:eastAsia="Times New Roman" w:hAnsi="Times New Roman" w:cs="Times New Roman"/>
          <w:sz w:val="24"/>
          <w:szCs w:val="24"/>
        </w:rPr>
      </w:pPr>
      <w:r w:rsidRPr="00F332DB">
        <w:rPr>
          <w:rFonts w:ascii="Times New Roman" w:hAnsi="Times New Roman" w:cs="Times New Roman"/>
          <w:b/>
          <w:sz w:val="24"/>
          <w:szCs w:val="24"/>
        </w:rPr>
        <w:lastRenderedPageBreak/>
        <w:drawing>
          <wp:inline distT="0" distB="0" distL="0" distR="0" wp14:anchorId="1FDDBF88" wp14:editId="372291B2">
            <wp:extent cx="5943600" cy="2371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371725"/>
                    </a:xfrm>
                    <a:prstGeom prst="rect">
                      <a:avLst/>
                    </a:prstGeom>
                  </pic:spPr>
                </pic:pic>
              </a:graphicData>
            </a:graphic>
          </wp:inline>
        </w:drawing>
      </w:r>
      <w:r w:rsidR="00EF123B" w:rsidRPr="00F332DB">
        <w:rPr>
          <w:rFonts w:ascii="Times New Roman" w:eastAsia="Times New Roman" w:hAnsi="Times New Roman" w:cs="Times New Roman"/>
          <w:sz w:val="24"/>
          <w:szCs w:val="24"/>
        </w:rPr>
        <w:t>The analysis shows that the energy intake of the client is not very high, as compared to the energy intake that is recommended. The amount of fat was found to be below the recommended amount, probably because of the frequent intake of processed foods, fried foods, and cooking oils in amounts added to them (Dangal et al., 2024). The consumption of saturated fats was significantly greater on the days that involved pizza, burgers and full-fat animal foods.</w:t>
      </w:r>
      <w:r w:rsidR="00FD779D">
        <w:rPr>
          <w:rFonts w:ascii="Times New Roman" w:eastAsia="Times New Roman" w:hAnsi="Times New Roman" w:cs="Times New Roman"/>
          <w:sz w:val="24"/>
          <w:szCs w:val="24"/>
        </w:rPr>
        <w:t xml:space="preserve"> </w:t>
      </w:r>
      <w:r w:rsidR="00EF123B" w:rsidRPr="00F332DB">
        <w:rPr>
          <w:rFonts w:ascii="Times New Roman" w:eastAsia="Times New Roman" w:hAnsi="Times New Roman" w:cs="Times New Roman"/>
          <w:sz w:val="24"/>
          <w:szCs w:val="24"/>
        </w:rPr>
        <w:t xml:space="preserve">Protein consumption was moderate and mostly poultry, beef, eggs and protein supplements. Though it is sufficient to sustain overall health, this consumption might be less than optimal for a person who </w:t>
      </w:r>
      <w:proofErr w:type="spellStart"/>
      <w:r w:rsidR="00EF123B" w:rsidRPr="00F332DB">
        <w:rPr>
          <w:rFonts w:ascii="Times New Roman" w:eastAsia="Times New Roman" w:hAnsi="Times New Roman" w:cs="Times New Roman"/>
          <w:sz w:val="24"/>
          <w:szCs w:val="24"/>
        </w:rPr>
        <w:t>practises</w:t>
      </w:r>
      <w:proofErr w:type="spellEnd"/>
      <w:r w:rsidR="00EF123B" w:rsidRPr="00F332DB">
        <w:rPr>
          <w:rFonts w:ascii="Times New Roman" w:eastAsia="Times New Roman" w:hAnsi="Times New Roman" w:cs="Times New Roman"/>
          <w:sz w:val="24"/>
          <w:szCs w:val="24"/>
        </w:rPr>
        <w:t xml:space="preserve"> consistent resistance training (</w:t>
      </w:r>
      <w:proofErr w:type="spellStart"/>
      <w:r w:rsidR="00EF123B" w:rsidRPr="00F332DB">
        <w:rPr>
          <w:rFonts w:ascii="Times New Roman" w:eastAsia="Times New Roman" w:hAnsi="Times New Roman" w:cs="Times New Roman"/>
          <w:sz w:val="24"/>
          <w:szCs w:val="24"/>
        </w:rPr>
        <w:t>Wempen</w:t>
      </w:r>
      <w:proofErr w:type="spellEnd"/>
      <w:r w:rsidR="00EF123B" w:rsidRPr="00F332DB">
        <w:rPr>
          <w:rFonts w:ascii="Times New Roman" w:eastAsia="Times New Roman" w:hAnsi="Times New Roman" w:cs="Times New Roman"/>
          <w:sz w:val="24"/>
          <w:szCs w:val="24"/>
        </w:rPr>
        <w:t>, 2023). The carbohydrate intake was low and mainly included refined grains, that is, white bread, pasta, rice, and processed snack food, with little input of wholegrains.</w:t>
      </w:r>
    </w:p>
    <w:p w:rsidR="00EF123B" w:rsidRPr="00F332DB" w:rsidRDefault="00EF123B" w:rsidP="00F332DB">
      <w:pPr>
        <w:spacing w:after="0" w:line="360" w:lineRule="auto"/>
        <w:jc w:val="both"/>
        <w:rPr>
          <w:rFonts w:ascii="Times New Roman" w:eastAsia="Times New Roman" w:hAnsi="Times New Roman" w:cs="Times New Roman"/>
          <w:sz w:val="24"/>
          <w:szCs w:val="24"/>
        </w:rPr>
      </w:pPr>
      <w:r w:rsidRPr="00F332DB">
        <w:rPr>
          <w:rFonts w:ascii="Times New Roman" w:eastAsia="Times New Roman" w:hAnsi="Times New Roman" w:cs="Times New Roman"/>
          <w:sz w:val="24"/>
          <w:szCs w:val="24"/>
        </w:rPr>
        <w:t>The possible areas of concern that were detected through the micronutrient analysis were calcium and vitamin C intake. The calcium consumption was below 1,000-1,200 mg of the suggested levels of calcium in adults and was probably due to lactose intolerance and limited the amount of dairy products (National Institutes of Health, 2024). The level of vitamin C consumption throughout the week was also inconsistent, with more consumption recorded on the days where fruit and smoothies were consumed, whereas less was consumed on days where convenience foods were eaten.</w:t>
      </w:r>
      <w:r w:rsidR="00FD779D">
        <w:rPr>
          <w:rFonts w:ascii="Times New Roman" w:eastAsia="Times New Roman" w:hAnsi="Times New Roman" w:cs="Times New Roman"/>
          <w:sz w:val="24"/>
          <w:szCs w:val="24"/>
        </w:rPr>
        <w:t xml:space="preserve"> </w:t>
      </w:r>
      <w:r w:rsidRPr="00F332DB">
        <w:rPr>
          <w:rFonts w:ascii="Times New Roman" w:eastAsia="Times New Roman" w:hAnsi="Times New Roman" w:cs="Times New Roman"/>
          <w:sz w:val="24"/>
          <w:szCs w:val="24"/>
        </w:rPr>
        <w:t>The results of the Nutritics calculations were split into individual days, and the results are presented in the appendix. On the whole, the software allowed effective calculation of the intake of nutrients; nevertheless, the outcomes still depend on the proper recording of food and estimation of portions. Nevertheless, Nutritics is a useful system that can be used to determine dietary habits and nutrient deficiencies despite the drawbacks.</w:t>
      </w:r>
    </w:p>
    <w:p w:rsidR="00BB6AD0" w:rsidRPr="00F332DB" w:rsidRDefault="00BB6AD0" w:rsidP="00F332DB">
      <w:pPr>
        <w:pStyle w:val="NormalWeb"/>
        <w:spacing w:before="0" w:beforeAutospacing="0" w:after="0" w:afterAutospacing="0" w:line="360" w:lineRule="auto"/>
        <w:jc w:val="both"/>
        <w:rPr>
          <w:b/>
        </w:rPr>
      </w:pPr>
      <w:r w:rsidRPr="00F332DB">
        <w:rPr>
          <w:b/>
        </w:rPr>
        <w:t xml:space="preserve">3. Comparison with Dietary Reference Values </w:t>
      </w:r>
    </w:p>
    <w:p w:rsidR="00B51FF4" w:rsidRPr="00F332DB" w:rsidRDefault="00B51FF4" w:rsidP="00F332DB">
      <w:pPr>
        <w:spacing w:after="0" w:line="360" w:lineRule="auto"/>
        <w:jc w:val="both"/>
        <w:rPr>
          <w:rFonts w:ascii="Times New Roman" w:eastAsia="Times New Roman" w:hAnsi="Times New Roman" w:cs="Times New Roman"/>
          <w:sz w:val="24"/>
          <w:szCs w:val="24"/>
        </w:rPr>
      </w:pPr>
      <w:r w:rsidRPr="00F332DB">
        <w:rPr>
          <w:rFonts w:ascii="Times New Roman" w:eastAsia="Times New Roman" w:hAnsi="Times New Roman" w:cs="Times New Roman"/>
          <w:sz w:val="24"/>
          <w:szCs w:val="24"/>
        </w:rPr>
        <w:lastRenderedPageBreak/>
        <w:t>The average nutrient intakes were assessed against UK Dietary Reference Values (DRV) to determine how sufficient the diet of the client was (British Nutrition Foundation, 2021). The nutrient requirements were personalised according to age, sex, body weight, height, and physical activity level of the client, though DRVs were also used for the other nutrients. To sustain moderate exercise and slow fat burning, the energy demand of the client was estimated at about 2,400-2,500 kcal/day. The result of the five-day food diary is an approximation of 2,650 kcal of energy intake, which is above the requirement. These excesses are especially observed on the days of the weekend, where takeaway foods and alcohol were taken, and thus the overconsumption of energy may be a factor in the body composition objectives and loss of body fat (</w:t>
      </w:r>
      <w:proofErr w:type="spellStart"/>
      <w:r w:rsidRPr="00F332DB">
        <w:rPr>
          <w:rFonts w:ascii="Times New Roman" w:eastAsia="Times New Roman" w:hAnsi="Times New Roman" w:cs="Times New Roman"/>
          <w:sz w:val="24"/>
          <w:szCs w:val="24"/>
        </w:rPr>
        <w:t>Brenes</w:t>
      </w:r>
      <w:proofErr w:type="spellEnd"/>
      <w:r w:rsidRPr="00F332DB">
        <w:rPr>
          <w:rFonts w:ascii="Times New Roman" w:eastAsia="Times New Roman" w:hAnsi="Times New Roman" w:cs="Times New Roman"/>
          <w:sz w:val="24"/>
          <w:szCs w:val="24"/>
        </w:rPr>
        <w:t xml:space="preserve"> et al., 2021).</w:t>
      </w:r>
    </w:p>
    <w:p w:rsidR="00B51FF4" w:rsidRPr="00F332DB" w:rsidRDefault="008531C7" w:rsidP="00F332DB">
      <w:pPr>
        <w:pStyle w:val="NormalWeb"/>
        <w:spacing w:before="0" w:beforeAutospacing="0" w:after="0" w:afterAutospacing="0" w:line="360" w:lineRule="auto"/>
        <w:jc w:val="both"/>
      </w:pPr>
      <w:r w:rsidRPr="00F332DB">
        <w:rPr>
          <w:b/>
          <w:bCs/>
        </w:rPr>
        <w:drawing>
          <wp:inline distT="0" distB="0" distL="0" distR="0" wp14:anchorId="04E8DAF3" wp14:editId="4CB5BFDE">
            <wp:extent cx="5943600" cy="2409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409825"/>
                    </a:xfrm>
                    <a:prstGeom prst="rect">
                      <a:avLst/>
                    </a:prstGeom>
                  </pic:spPr>
                </pic:pic>
              </a:graphicData>
            </a:graphic>
          </wp:inline>
        </w:drawing>
      </w:r>
      <w:r w:rsidR="00B51FF4" w:rsidRPr="00F332DB">
        <w:t>Protein consumption is less than the reference intake of adult males, which is 0.8 grams of protein per kilogram of body weight (or 0.36 grams per pound), which is sufficient to maintain lean mass (</w:t>
      </w:r>
      <w:proofErr w:type="spellStart"/>
      <w:r w:rsidR="00B51FF4" w:rsidRPr="00F332DB">
        <w:t>Pendick</w:t>
      </w:r>
      <w:proofErr w:type="spellEnd"/>
      <w:r w:rsidR="00B51FF4" w:rsidRPr="00F332DB">
        <w:t xml:space="preserve">, 2023). In a physically active person who does resistance training, an increase in protein consumption in small quantities could be used to maximise muscle recovery and adaptation. Protein sources used were mainly of animal origin, such as chicken, beef and eggs, with the quota of protein powders being used occasionally. The protein sources have a balanced sequence of essential amino acids, but the proportion might be enhanced with additional plant-based proteins to promote the diversity of </w:t>
      </w:r>
      <w:proofErr w:type="spellStart"/>
      <w:r w:rsidR="00B51FF4" w:rsidRPr="00F332DB">
        <w:t>fibre</w:t>
      </w:r>
      <w:proofErr w:type="spellEnd"/>
      <w:r w:rsidR="00B51FF4" w:rsidRPr="00F332DB">
        <w:t xml:space="preserve"> and micronutrients (</w:t>
      </w:r>
      <w:proofErr w:type="spellStart"/>
      <w:r w:rsidR="00B51FF4" w:rsidRPr="00F332DB">
        <w:t>Langyan</w:t>
      </w:r>
      <w:proofErr w:type="spellEnd"/>
      <w:r w:rsidR="00B51FF4" w:rsidRPr="00F332DB">
        <w:t xml:space="preserve"> et al., 2022).</w:t>
      </w:r>
    </w:p>
    <w:p w:rsidR="00B51FF4" w:rsidRPr="00F332DB" w:rsidRDefault="00B51FF4" w:rsidP="00F332DB">
      <w:pPr>
        <w:pStyle w:val="NormalWeb"/>
        <w:spacing w:before="0" w:beforeAutospacing="0" w:after="0" w:afterAutospacing="0" w:line="360" w:lineRule="auto"/>
        <w:jc w:val="both"/>
      </w:pPr>
      <w:r w:rsidRPr="00F332DB">
        <w:t xml:space="preserve">The consumption of fats exceeded the recommended ratios of total energy intake, and the saturated fats were high, consisting of processed meat, cheese, pizza and fried takeaways. Saturated fatty acids have a high cardiovascular risk profile and in this regard should be reduced by replacing them with unsaturated lipids found in dietary sources such as olive oil, nuts, seeds, and oily fish (Maki et al.; Kirkpatrick, 2021).  The rate of carbohydrates energy consumption was lower than it </w:t>
      </w:r>
      <w:r w:rsidRPr="00F332DB">
        <w:lastRenderedPageBreak/>
        <w:t xml:space="preserve">should be as most consumption of carbohydrates was made up of refined foods like white bread, pasta, and rice as opposed to whole grains. There is also low </w:t>
      </w:r>
      <w:proofErr w:type="spellStart"/>
      <w:r w:rsidRPr="00F332DB">
        <w:t>fibre</w:t>
      </w:r>
      <w:proofErr w:type="spellEnd"/>
      <w:r w:rsidRPr="00F332DB">
        <w:t xml:space="preserve"> intake especially on weekdays; this is an indication of low intake in fruits, vegetables and wholegrains.</w:t>
      </w:r>
    </w:p>
    <w:p w:rsidR="00B51FF4" w:rsidRPr="00F332DB" w:rsidRDefault="00B51FF4" w:rsidP="00F332DB">
      <w:pPr>
        <w:pStyle w:val="NormalWeb"/>
        <w:spacing w:before="0" w:beforeAutospacing="0" w:after="0" w:afterAutospacing="0" w:line="360" w:lineRule="auto"/>
        <w:jc w:val="both"/>
      </w:pPr>
      <w:r w:rsidRPr="00F332DB">
        <w:t xml:space="preserve">The level of iron was also sufficient, mainly due to red meat and poultry, whereas the level of calcium was lower than the suggested one, probably because of lactose intolerance and insufficient dairy products. There was adequate intake of vitamin C, mainly through fruits and vegetables, which was not consistent throughout the week, with lower intake being taken on days that were </w:t>
      </w:r>
      <w:proofErr w:type="spellStart"/>
      <w:r w:rsidRPr="00F332DB">
        <w:t>characterised</w:t>
      </w:r>
      <w:proofErr w:type="spellEnd"/>
      <w:r w:rsidRPr="00F332DB">
        <w:t xml:space="preserve"> by convenience foods. Such trends indicate a necessity for regular fruit and vegetable intake to enhance the nutritional sufficiency of the micronutrients and the quality of the diet (</w:t>
      </w:r>
      <w:proofErr w:type="spellStart"/>
      <w:r w:rsidRPr="00F332DB">
        <w:t>Devirgiliis</w:t>
      </w:r>
      <w:proofErr w:type="spellEnd"/>
      <w:r w:rsidRPr="00F332DB">
        <w:t xml:space="preserve"> et al., 2024).</w:t>
      </w:r>
    </w:p>
    <w:p w:rsidR="00B51FF4" w:rsidRPr="00F332DB" w:rsidRDefault="007970F2" w:rsidP="00F332DB">
      <w:pPr>
        <w:pStyle w:val="NormalWeb"/>
        <w:spacing w:before="0" w:beforeAutospacing="0" w:after="0" w:afterAutospacing="0" w:line="360" w:lineRule="auto"/>
        <w:jc w:val="both"/>
      </w:pPr>
      <w:r w:rsidRPr="00F332DB">
        <w:t>W</w:t>
      </w:r>
      <w:r w:rsidR="00B51FF4" w:rsidRPr="00F332DB">
        <w:t xml:space="preserve">hen compared with DRVs, significant aspects of improvement are identified, especially energy balance, the quality of fats, calcium consumption, the quality of carbohydrates, and </w:t>
      </w:r>
      <w:proofErr w:type="spellStart"/>
      <w:r w:rsidR="00B51FF4" w:rsidRPr="00F332DB">
        <w:t>fibre</w:t>
      </w:r>
      <w:proofErr w:type="spellEnd"/>
      <w:r w:rsidR="00B51FF4" w:rsidRPr="00F332DB">
        <w:t xml:space="preserve"> consumption. For et al. (2025) suggest that adding more vegetables and wholegrains, less processed and high-fat foods, and adding calcium-enriched options would help the client achieve his or her training requirements, energy balance, and health outcome in the long run.</w:t>
      </w:r>
    </w:p>
    <w:p w:rsidR="00BB6AD0" w:rsidRPr="00F332DB" w:rsidRDefault="00BB6AD0" w:rsidP="00F332DB">
      <w:pPr>
        <w:pStyle w:val="NormalWeb"/>
        <w:spacing w:before="0" w:beforeAutospacing="0" w:after="0" w:afterAutospacing="0" w:line="360" w:lineRule="auto"/>
        <w:jc w:val="both"/>
        <w:rPr>
          <w:b/>
        </w:rPr>
      </w:pPr>
      <w:r w:rsidRPr="00F332DB">
        <w:rPr>
          <w:b/>
        </w:rPr>
        <w:t xml:space="preserve">4. Critical Discussion: Role of Nutritional Analysis </w:t>
      </w:r>
    </w:p>
    <w:p w:rsidR="00FD779D" w:rsidRDefault="00FB1474" w:rsidP="00F332DB">
      <w:pPr>
        <w:pStyle w:val="NormalWeb"/>
        <w:spacing w:before="0" w:beforeAutospacing="0" w:after="0" w:afterAutospacing="0" w:line="360" w:lineRule="auto"/>
        <w:jc w:val="both"/>
      </w:pPr>
      <w:r w:rsidRPr="00F332DB">
        <w:t>Nutritional analysis is the basic subject of nutrition practice, as it allows practitioners to evaluate dietary intake, determine potential nutritional hazards, and draw up individual dietary recommendations. The correct analysis is also necessary in assisting health, performance, and disease prevention, especially in the case of particular populations, such as athletes, older people, or people with certain medical conditions (</w:t>
      </w:r>
      <w:proofErr w:type="spellStart"/>
      <w:r w:rsidRPr="00F332DB">
        <w:t>Amawi</w:t>
      </w:r>
      <w:proofErr w:type="spellEnd"/>
      <w:r w:rsidRPr="00F332DB">
        <w:t xml:space="preserve"> et al., 2024).</w:t>
      </w:r>
      <w:r w:rsidR="007970F2" w:rsidRPr="00F332DB">
        <w:t xml:space="preserve"> </w:t>
      </w:r>
      <w:r w:rsidRPr="00F332DB">
        <w:t>The approaches in dietary assessment can be divided into two broad categories, namely prospective and retrospective. Prospective research, including weighed or estimated food diaries, entails that a person documents the consumption of food and beverages (</w:t>
      </w:r>
      <w:proofErr w:type="spellStart"/>
      <w:r w:rsidRPr="00F332DB">
        <w:t>Windus</w:t>
      </w:r>
      <w:proofErr w:type="spellEnd"/>
      <w:r w:rsidRPr="00F332DB">
        <w:t xml:space="preserve"> et al., 2025). Such techniques might enhance the accuracy because they </w:t>
      </w:r>
      <w:proofErr w:type="spellStart"/>
      <w:r w:rsidRPr="00F332DB">
        <w:t>minimise</w:t>
      </w:r>
      <w:proofErr w:type="spellEnd"/>
      <w:r w:rsidRPr="00F332DB">
        <w:t xml:space="preserve"> the use of memory. Nevertheless, they are also able to modify eating behaviour because of heightened intake awareness, which is referred to as reactivity.</w:t>
      </w:r>
    </w:p>
    <w:p w:rsidR="00FB1474" w:rsidRPr="00F332DB" w:rsidRDefault="00FB1474" w:rsidP="00F332DB">
      <w:pPr>
        <w:pStyle w:val="NormalWeb"/>
        <w:spacing w:before="0" w:beforeAutospacing="0" w:after="0" w:afterAutospacing="0" w:line="360" w:lineRule="auto"/>
        <w:jc w:val="both"/>
      </w:pPr>
      <w:r w:rsidRPr="00F332DB">
        <w:t xml:space="preserve"> The future approach is cumbersome to the clients and may decrease the adherence rate, especially when the diaries are large or when the weight of foods needs to be measured accurately (Bailey, 2021). Nevertheless, they are detailed in the form of quantitative information, which is especially useful in the analysis of nutrients and in tracking changes in a particular diet.</w:t>
      </w:r>
    </w:p>
    <w:p w:rsidR="00FD779D" w:rsidRDefault="00FB1474" w:rsidP="00F332DB">
      <w:pPr>
        <w:pStyle w:val="NormalWeb"/>
        <w:spacing w:before="0" w:beforeAutospacing="0" w:after="0" w:afterAutospacing="0" w:line="360" w:lineRule="auto"/>
        <w:jc w:val="both"/>
      </w:pPr>
      <w:r w:rsidRPr="00F332DB">
        <w:lastRenderedPageBreak/>
        <w:t xml:space="preserve">Retrospective designs, such as 24-hour recalls and food frequency questionnaires (FFQ), are less intensive and can be delivered faster (Wright, 2022). They depend on the memory and estimating ability of the individual, which may lower their accuracy, especially when it comes to portion size or consumed foods that are not regularly consumed. FFQs are useful in determining patterns of habitual consumption and long-term eating patterns but are less accurate in giving quantitative data. </w:t>
      </w:r>
    </w:p>
    <w:p w:rsidR="00FB1474" w:rsidRPr="00F332DB" w:rsidRDefault="00FB1474" w:rsidP="00F332DB">
      <w:pPr>
        <w:pStyle w:val="NormalWeb"/>
        <w:spacing w:before="0" w:beforeAutospacing="0" w:after="0" w:afterAutospacing="0" w:line="360" w:lineRule="auto"/>
        <w:jc w:val="both"/>
      </w:pPr>
      <w:r w:rsidRPr="00F332DB">
        <w:t>Prospective and retrospective methods are complementary to each other, and the methodology to be used is determined by the goals of the assessment and the population of the clients as well as the available resources.</w:t>
      </w:r>
      <w:r w:rsidR="007970F2" w:rsidRPr="00F332DB">
        <w:t xml:space="preserve"> </w:t>
      </w:r>
      <w:r w:rsidRPr="00F332DB">
        <w:t>The software of nutritional analysis complements these methods by transforming food consumption to more detailed macronutrient and micronutrient data. There are also software tools like Nutritics, with which practitioners may compare intake with reference values, diagnose deficiencies or excesses of it, and produce reports that may be used in the clinic and in education (British Nutrition Foundation, 2021). Such limitations are the possible inaccuracy of food composition databases, under-reporting or over-reporting of foodstuffs, and the bias in estimating portion size (Kirkpatrick S, 2024). The practice must be ethical, especially in terms of confidentiality and informed consent, and the recommendations should not be out of scope (</w:t>
      </w:r>
      <w:proofErr w:type="spellStart"/>
      <w:r w:rsidRPr="00F332DB">
        <w:t>Barrocas</w:t>
      </w:r>
      <w:proofErr w:type="spellEnd"/>
      <w:r w:rsidRPr="00F332DB">
        <w:t xml:space="preserve"> et al., 2023). </w:t>
      </w:r>
    </w:p>
    <w:p w:rsidR="00FB1474" w:rsidRPr="00F332DB" w:rsidRDefault="00FB1474" w:rsidP="00F332DB">
      <w:pPr>
        <w:pStyle w:val="NormalWeb"/>
        <w:spacing w:before="0" w:beforeAutospacing="0" w:after="0" w:afterAutospacing="0" w:line="360" w:lineRule="auto"/>
        <w:jc w:val="both"/>
        <w:rPr>
          <w:b/>
        </w:rPr>
      </w:pPr>
      <w:r w:rsidRPr="00F332DB">
        <w:rPr>
          <w:b/>
        </w:rPr>
        <w:t>5. Client Nutritional Report</w:t>
      </w:r>
    </w:p>
    <w:p w:rsidR="00FB1474" w:rsidRPr="00F332DB" w:rsidRDefault="00FB1474" w:rsidP="00F332DB">
      <w:pPr>
        <w:pStyle w:val="NormalWeb"/>
        <w:spacing w:before="0" w:beforeAutospacing="0" w:after="0" w:afterAutospacing="0" w:line="360" w:lineRule="auto"/>
        <w:jc w:val="both"/>
      </w:pPr>
      <w:r w:rsidRPr="00F332DB">
        <w:t>This report gives an analysis of your diet according to the five-day food diary which you filled out. Overall, your diet is sufficient in protein and iron, which will help to maintain the integrity of muscles and health in general. Consistent gym visits are a commendable behaviour that can ensure that one gets fit.</w:t>
      </w:r>
      <w:r w:rsidR="0087762F" w:rsidRPr="00F332DB">
        <w:t xml:space="preserve"> </w:t>
      </w:r>
      <w:r w:rsidRPr="00F332DB">
        <w:t>Your total energy consumption was a bit more than what you should be consuming especially during weekends where the takeaway food and alcohol added great value to your total energy consumption. It can complicate the process of body fat reduction. Cutting down on the amount of high-fat food and eating takeaway meals on a special occasion can serve your purpose.</w:t>
      </w:r>
      <w:r w:rsidR="0087762F" w:rsidRPr="00F332DB">
        <w:t xml:space="preserve"> </w:t>
      </w:r>
      <w:r w:rsidRPr="00F332DB">
        <w:t>The daily intake of fats and saturated fat in particular was above the recommended rates. To improve the quality of fats, it would help to select leaner portions of meat, grill, and reduce processed foods including pizza and burgers. More unsaturated fats like or olive oil, nuts, and seeds should be used moderately which may be helpful.</w:t>
      </w:r>
    </w:p>
    <w:p w:rsidR="00FB1474" w:rsidRPr="00F332DB" w:rsidRDefault="00FB1474" w:rsidP="00F332DB">
      <w:pPr>
        <w:pStyle w:val="NormalWeb"/>
        <w:spacing w:before="0" w:beforeAutospacing="0" w:after="0" w:afterAutospacing="0" w:line="360" w:lineRule="auto"/>
        <w:jc w:val="both"/>
      </w:pPr>
      <w:r w:rsidRPr="00F332DB">
        <w:t xml:space="preserve">The level of calcium intake was lower than recommended; probably as a result of not taking much dairy. Dairy products are an additional source of calcium, and lactose-free makes would be </w:t>
      </w:r>
      <w:r w:rsidRPr="00F332DB">
        <w:lastRenderedPageBreak/>
        <w:t>beneficial to you as you have lactose intolerance or fortified alternatives like plant-based milks.</w:t>
      </w:r>
      <w:r w:rsidR="0087762F" w:rsidRPr="00F332DB">
        <w:t xml:space="preserve"> </w:t>
      </w:r>
      <w:r w:rsidRPr="00F332DB">
        <w:t xml:space="preserve">Carbohydrate seems to be the main component in your diet which is refined. The higher intake of whole grains, fruit, and vegetables would increase the intake of dietary </w:t>
      </w:r>
      <w:proofErr w:type="spellStart"/>
      <w:r w:rsidRPr="00F332DB">
        <w:t>fibre</w:t>
      </w:r>
      <w:proofErr w:type="spellEnd"/>
      <w:r w:rsidRPr="00F332DB">
        <w:t>, improve digestion and maintain the energy levels during the training sessions and in the activities of everyday life.</w:t>
      </w:r>
      <w:r w:rsidR="0087762F" w:rsidRPr="00F332DB">
        <w:t xml:space="preserve"> </w:t>
      </w:r>
      <w:r w:rsidRPr="00F332DB">
        <w:t>Simple, practical steps that can be taken to make impressive changes to overall diet quality are meal planning, eating more vegetables on lunch and dinner, and having regular eating habits. Such modifications can contribute to your performance in training, energy and health in the long-term.</w:t>
      </w:r>
    </w:p>
    <w:p w:rsidR="00FB1474" w:rsidRDefault="00FB1474"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Default="00F332DB" w:rsidP="00BB6AD0">
      <w:pPr>
        <w:pStyle w:val="NormalWeb"/>
      </w:pPr>
    </w:p>
    <w:p w:rsidR="00F332DB" w:rsidRPr="00F332DB" w:rsidRDefault="00F332DB" w:rsidP="00BB6AD0">
      <w:pPr>
        <w:pStyle w:val="NormalWeb"/>
      </w:pPr>
    </w:p>
    <w:p w:rsidR="00FB6AE2" w:rsidRPr="00F332DB" w:rsidRDefault="00227C26" w:rsidP="00F332DB">
      <w:pPr>
        <w:pStyle w:val="NormalWeb"/>
        <w:spacing w:before="0" w:beforeAutospacing="0" w:after="0" w:afterAutospacing="0" w:line="360" w:lineRule="auto"/>
        <w:rPr>
          <w:b/>
        </w:rPr>
      </w:pPr>
      <w:r w:rsidRPr="00F332DB">
        <w:rPr>
          <w:b/>
        </w:rPr>
        <w:lastRenderedPageBreak/>
        <w:t>References</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AfN</w:t>
      </w:r>
      <w:proofErr w:type="spellEnd"/>
      <w:r w:rsidRPr="00F332DB">
        <w:rPr>
          <w:color w:val="000000"/>
        </w:rPr>
        <w:t xml:space="preserve"> (2021). </w:t>
      </w:r>
      <w:r w:rsidRPr="00F332DB">
        <w:rPr>
          <w:i/>
          <w:iCs/>
          <w:color w:val="000000"/>
        </w:rPr>
        <w:t xml:space="preserve">Updated </w:t>
      </w:r>
      <w:proofErr w:type="spellStart"/>
      <w:r w:rsidRPr="00F332DB">
        <w:rPr>
          <w:i/>
          <w:iCs/>
          <w:color w:val="000000"/>
        </w:rPr>
        <w:t>AfN</w:t>
      </w:r>
      <w:proofErr w:type="spellEnd"/>
      <w:r w:rsidRPr="00F332DB">
        <w:rPr>
          <w:i/>
          <w:iCs/>
          <w:color w:val="000000"/>
        </w:rPr>
        <w:t xml:space="preserve"> Standards of Ethics, Conduct &amp; Performance Released</w:t>
      </w:r>
      <w:r w:rsidRPr="00F332DB">
        <w:rPr>
          <w:color w:val="000000"/>
        </w:rPr>
        <w:t xml:space="preserve">. [online] Association for Nutrition. Available at: </w:t>
      </w:r>
      <w:hyperlink r:id="rId9" w:history="1">
        <w:r w:rsidRPr="00F332DB">
          <w:rPr>
            <w:rStyle w:val="Hyperlink"/>
          </w:rPr>
          <w:t>https://www.associationfornutrition.org/latest-news/updated-afn-standards-of-ethics-conduct-performance-released</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Amawi</w:t>
      </w:r>
      <w:proofErr w:type="spellEnd"/>
      <w:r w:rsidRPr="00F332DB">
        <w:rPr>
          <w:color w:val="000000"/>
        </w:rPr>
        <w:t>, A.T., Al-</w:t>
      </w:r>
      <w:proofErr w:type="spellStart"/>
      <w:r w:rsidRPr="00F332DB">
        <w:rPr>
          <w:color w:val="000000"/>
        </w:rPr>
        <w:t>Kasasbeh</w:t>
      </w:r>
      <w:proofErr w:type="spellEnd"/>
      <w:r w:rsidRPr="00F332DB">
        <w:rPr>
          <w:color w:val="000000"/>
        </w:rPr>
        <w:t xml:space="preserve">, W.J., </w:t>
      </w:r>
      <w:proofErr w:type="spellStart"/>
      <w:r w:rsidRPr="00F332DB">
        <w:rPr>
          <w:color w:val="000000"/>
        </w:rPr>
        <w:t>Jaradat</w:t>
      </w:r>
      <w:proofErr w:type="spellEnd"/>
      <w:r w:rsidRPr="00F332DB">
        <w:rPr>
          <w:color w:val="000000"/>
        </w:rPr>
        <w:t xml:space="preserve">, M., </w:t>
      </w:r>
      <w:proofErr w:type="spellStart"/>
      <w:r w:rsidRPr="00F332DB">
        <w:rPr>
          <w:color w:val="000000"/>
        </w:rPr>
        <w:t>Almasri</w:t>
      </w:r>
      <w:proofErr w:type="spellEnd"/>
      <w:r w:rsidRPr="00F332DB">
        <w:rPr>
          <w:color w:val="000000"/>
        </w:rPr>
        <w:t xml:space="preserve">, A., </w:t>
      </w:r>
      <w:proofErr w:type="spellStart"/>
      <w:r w:rsidRPr="00F332DB">
        <w:rPr>
          <w:color w:val="000000"/>
        </w:rPr>
        <w:t>Alobaidi</w:t>
      </w:r>
      <w:proofErr w:type="spellEnd"/>
      <w:r w:rsidRPr="00F332DB">
        <w:rPr>
          <w:color w:val="000000"/>
        </w:rPr>
        <w:t xml:space="preserve">, S., Hammad, A., </w:t>
      </w:r>
      <w:proofErr w:type="spellStart"/>
      <w:r w:rsidRPr="00F332DB">
        <w:rPr>
          <w:color w:val="000000"/>
        </w:rPr>
        <w:t>Bishtawi</w:t>
      </w:r>
      <w:proofErr w:type="spellEnd"/>
      <w:r w:rsidRPr="00F332DB">
        <w:rPr>
          <w:color w:val="000000"/>
        </w:rPr>
        <w:t xml:space="preserve">, T., </w:t>
      </w:r>
      <w:proofErr w:type="spellStart"/>
      <w:r w:rsidRPr="00F332DB">
        <w:rPr>
          <w:color w:val="000000"/>
        </w:rPr>
        <w:t>Fataftah</w:t>
      </w:r>
      <w:proofErr w:type="spellEnd"/>
      <w:r w:rsidRPr="00F332DB">
        <w:rPr>
          <w:color w:val="000000"/>
        </w:rPr>
        <w:t xml:space="preserve">, B., </w:t>
      </w:r>
      <w:proofErr w:type="spellStart"/>
      <w:r w:rsidRPr="00F332DB">
        <w:rPr>
          <w:color w:val="000000"/>
        </w:rPr>
        <w:t>Türk</w:t>
      </w:r>
      <w:proofErr w:type="spellEnd"/>
      <w:r w:rsidRPr="00F332DB">
        <w:rPr>
          <w:color w:val="000000"/>
        </w:rPr>
        <w:t xml:space="preserve">, N., </w:t>
      </w:r>
      <w:proofErr w:type="spellStart"/>
      <w:r w:rsidRPr="00F332DB">
        <w:rPr>
          <w:color w:val="000000"/>
        </w:rPr>
        <w:t>Saoud</w:t>
      </w:r>
      <w:proofErr w:type="spellEnd"/>
      <w:r w:rsidRPr="00F332DB">
        <w:rPr>
          <w:color w:val="000000"/>
        </w:rPr>
        <w:t xml:space="preserve">, H.A., </w:t>
      </w:r>
      <w:proofErr w:type="spellStart"/>
      <w:r w:rsidRPr="00F332DB">
        <w:rPr>
          <w:color w:val="000000"/>
        </w:rPr>
        <w:t>Jarrar</w:t>
      </w:r>
      <w:proofErr w:type="spellEnd"/>
      <w:r w:rsidRPr="00F332DB">
        <w:rPr>
          <w:color w:val="000000"/>
        </w:rPr>
        <w:t xml:space="preserve">, A.H. and </w:t>
      </w:r>
      <w:proofErr w:type="spellStart"/>
      <w:r w:rsidRPr="00F332DB">
        <w:rPr>
          <w:color w:val="000000"/>
        </w:rPr>
        <w:t>Ghazzawi</w:t>
      </w:r>
      <w:proofErr w:type="spellEnd"/>
      <w:r w:rsidRPr="00F332DB">
        <w:rPr>
          <w:color w:val="000000"/>
        </w:rPr>
        <w:t xml:space="preserve">, H.A. (2024). Athletes’ nutritional demands: a narrative review of nutritional requirements. </w:t>
      </w:r>
      <w:r w:rsidRPr="00F332DB">
        <w:rPr>
          <w:i/>
          <w:iCs/>
          <w:color w:val="000000"/>
        </w:rPr>
        <w:t>Frontiers in Nutrition</w:t>
      </w:r>
      <w:r w:rsidRPr="00F332DB">
        <w:rPr>
          <w:color w:val="000000"/>
        </w:rPr>
        <w:t xml:space="preserve">, [online] 10(10). </w:t>
      </w:r>
      <w:proofErr w:type="spellStart"/>
      <w:r w:rsidRPr="00F332DB">
        <w:rPr>
          <w:color w:val="000000"/>
        </w:rPr>
        <w:t>doi</w:t>
      </w:r>
      <w:proofErr w:type="spellEnd"/>
      <w:r w:rsidRPr="00F332DB">
        <w:rPr>
          <w:color w:val="000000"/>
        </w:rPr>
        <w:t xml:space="preserve">: </w:t>
      </w:r>
      <w:hyperlink r:id="rId10" w:history="1">
        <w:r w:rsidRPr="00F332DB">
          <w:rPr>
            <w:rStyle w:val="Hyperlink"/>
          </w:rPr>
          <w:t>https://doi.org/10.3389/fnut.2023.1331854</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Bailey, R.L. (2021). Overview of dietary assessment methods for measuring intakes of foods, beverages, and dietary supplements in research studies. </w:t>
      </w:r>
      <w:r w:rsidRPr="00F332DB">
        <w:rPr>
          <w:i/>
          <w:iCs/>
          <w:color w:val="000000"/>
        </w:rPr>
        <w:t>Current Opinion in Biotechnology</w:t>
      </w:r>
      <w:r w:rsidRPr="00F332DB">
        <w:rPr>
          <w:color w:val="000000"/>
        </w:rPr>
        <w:t xml:space="preserve">, [online] 70, pp.91–96. </w:t>
      </w:r>
      <w:proofErr w:type="spellStart"/>
      <w:r w:rsidRPr="00F332DB">
        <w:rPr>
          <w:color w:val="000000"/>
        </w:rPr>
        <w:t>doi</w:t>
      </w:r>
      <w:proofErr w:type="spellEnd"/>
      <w:r w:rsidRPr="00F332DB">
        <w:rPr>
          <w:color w:val="000000"/>
        </w:rPr>
        <w:t xml:space="preserve">: </w:t>
      </w:r>
      <w:hyperlink r:id="rId11" w:history="1">
        <w:r w:rsidRPr="00F332DB">
          <w:rPr>
            <w:rStyle w:val="Hyperlink"/>
          </w:rPr>
          <w:t>https://doi.org/10.1016/j.copbio.2021.02.007</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Barrocas</w:t>
      </w:r>
      <w:proofErr w:type="spellEnd"/>
      <w:r w:rsidRPr="00F332DB">
        <w:rPr>
          <w:color w:val="000000"/>
        </w:rPr>
        <w:t xml:space="preserve">, A., Schwartz, D.B., </w:t>
      </w:r>
      <w:proofErr w:type="spellStart"/>
      <w:r w:rsidRPr="00F332DB">
        <w:rPr>
          <w:color w:val="000000"/>
        </w:rPr>
        <w:t>Guinhut</w:t>
      </w:r>
      <w:proofErr w:type="spellEnd"/>
      <w:r w:rsidRPr="00F332DB">
        <w:rPr>
          <w:color w:val="000000"/>
        </w:rPr>
        <w:t xml:space="preserve">, M., Oquendo, G. and Cárdenas, D. (2023). The ethical dimension of nutrition support teams and clinical nutrition professionals in dealing with disease-related malnutrition and access to nutrition care with The Troubling Trichotomy as a foundation. </w:t>
      </w:r>
      <w:r w:rsidRPr="00F332DB">
        <w:rPr>
          <w:i/>
          <w:iCs/>
          <w:color w:val="000000"/>
        </w:rPr>
        <w:t>Clinical Nutrition Open Science</w:t>
      </w:r>
      <w:r w:rsidRPr="00F332DB">
        <w:rPr>
          <w:color w:val="000000"/>
        </w:rPr>
        <w:t xml:space="preserve">, [online] 49, pp.1–16. </w:t>
      </w:r>
      <w:proofErr w:type="spellStart"/>
      <w:r w:rsidRPr="00F332DB">
        <w:rPr>
          <w:color w:val="000000"/>
        </w:rPr>
        <w:t>doi</w:t>
      </w:r>
      <w:proofErr w:type="spellEnd"/>
      <w:r w:rsidRPr="00F332DB">
        <w:rPr>
          <w:color w:val="000000"/>
        </w:rPr>
        <w:t xml:space="preserve">: </w:t>
      </w:r>
      <w:hyperlink r:id="rId12" w:history="1">
        <w:r w:rsidRPr="00F332DB">
          <w:rPr>
            <w:rStyle w:val="Hyperlink"/>
          </w:rPr>
          <w:t>https://doi.org/10.1016/j.nutos.2023.03.007</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Brenes</w:t>
      </w:r>
      <w:proofErr w:type="spellEnd"/>
      <w:r w:rsidRPr="00F332DB">
        <w:rPr>
          <w:color w:val="000000"/>
        </w:rPr>
        <w:t xml:space="preserve">, J.C., Gómez, G., Quesada, D., </w:t>
      </w:r>
      <w:proofErr w:type="spellStart"/>
      <w:r w:rsidRPr="00F332DB">
        <w:rPr>
          <w:color w:val="000000"/>
        </w:rPr>
        <w:t>Kovalskys</w:t>
      </w:r>
      <w:proofErr w:type="spellEnd"/>
      <w:r w:rsidRPr="00F332DB">
        <w:rPr>
          <w:color w:val="000000"/>
        </w:rPr>
        <w:t xml:space="preserve">, I., </w:t>
      </w:r>
      <w:proofErr w:type="spellStart"/>
      <w:r w:rsidRPr="00F332DB">
        <w:rPr>
          <w:color w:val="000000"/>
        </w:rPr>
        <w:t>Rigotti</w:t>
      </w:r>
      <w:proofErr w:type="spellEnd"/>
      <w:r w:rsidRPr="00F332DB">
        <w:rPr>
          <w:color w:val="000000"/>
        </w:rPr>
        <w:t xml:space="preserve">, A., Cortés, L.Y., </w:t>
      </w:r>
      <w:proofErr w:type="spellStart"/>
      <w:r w:rsidRPr="00F332DB">
        <w:rPr>
          <w:color w:val="000000"/>
        </w:rPr>
        <w:t>Yépez</w:t>
      </w:r>
      <w:proofErr w:type="spellEnd"/>
      <w:r w:rsidRPr="00F332DB">
        <w:rPr>
          <w:color w:val="000000"/>
        </w:rPr>
        <w:t xml:space="preserve"> García, M.C., </w:t>
      </w:r>
      <w:proofErr w:type="spellStart"/>
      <w:r w:rsidRPr="00F332DB">
        <w:rPr>
          <w:color w:val="000000"/>
        </w:rPr>
        <w:t>Liria</w:t>
      </w:r>
      <w:proofErr w:type="spellEnd"/>
      <w:r w:rsidRPr="00F332DB">
        <w:rPr>
          <w:color w:val="000000"/>
        </w:rPr>
        <w:t xml:space="preserve">-Domínguez, R., Herrera-Cuenca, M., Guajardo, V., </w:t>
      </w:r>
      <w:proofErr w:type="spellStart"/>
      <w:r w:rsidRPr="00F332DB">
        <w:rPr>
          <w:color w:val="000000"/>
        </w:rPr>
        <w:t>Fisberg</w:t>
      </w:r>
      <w:proofErr w:type="spellEnd"/>
      <w:r w:rsidRPr="00F332DB">
        <w:rPr>
          <w:color w:val="000000"/>
        </w:rPr>
        <w:t xml:space="preserve">, R.M., </w:t>
      </w:r>
      <w:proofErr w:type="spellStart"/>
      <w:r w:rsidRPr="00F332DB">
        <w:rPr>
          <w:color w:val="000000"/>
        </w:rPr>
        <w:t>Leme</w:t>
      </w:r>
      <w:proofErr w:type="spellEnd"/>
      <w:r w:rsidRPr="00F332DB">
        <w:rPr>
          <w:color w:val="000000"/>
        </w:rPr>
        <w:t xml:space="preserve">, A.C.B., Ferrari, G. and </w:t>
      </w:r>
      <w:proofErr w:type="spellStart"/>
      <w:r w:rsidRPr="00F332DB">
        <w:rPr>
          <w:color w:val="000000"/>
        </w:rPr>
        <w:t>Fisberg</w:t>
      </w:r>
      <w:proofErr w:type="spellEnd"/>
      <w:r w:rsidRPr="00F332DB">
        <w:rPr>
          <w:color w:val="000000"/>
        </w:rPr>
        <w:t xml:space="preserve">, M. (2021). Alcohol Contribution to Total Energy Intake and Its Association with Nutritional Status and Diet Quality in Eight Latina American Countries. </w:t>
      </w:r>
      <w:r w:rsidRPr="00F332DB">
        <w:rPr>
          <w:i/>
          <w:iCs/>
          <w:color w:val="000000"/>
        </w:rPr>
        <w:t>International Journal of Environmental Research and Public Health</w:t>
      </w:r>
      <w:r w:rsidRPr="00F332DB">
        <w:rPr>
          <w:color w:val="000000"/>
        </w:rPr>
        <w:t xml:space="preserve">, [online] 18(24), p.13130. </w:t>
      </w:r>
      <w:proofErr w:type="spellStart"/>
      <w:r w:rsidRPr="00F332DB">
        <w:rPr>
          <w:color w:val="000000"/>
        </w:rPr>
        <w:t>doi</w:t>
      </w:r>
      <w:proofErr w:type="spellEnd"/>
      <w:r w:rsidRPr="00F332DB">
        <w:rPr>
          <w:color w:val="000000"/>
        </w:rPr>
        <w:t xml:space="preserve">: </w:t>
      </w:r>
      <w:hyperlink r:id="rId13" w:history="1">
        <w:r w:rsidRPr="00F332DB">
          <w:rPr>
            <w:rStyle w:val="Hyperlink"/>
          </w:rPr>
          <w:t>https://doi.org/10.3390/ijerph182413130</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British Nutrition Foundation (2021). </w:t>
      </w:r>
      <w:r w:rsidRPr="00F332DB">
        <w:rPr>
          <w:i/>
          <w:iCs/>
          <w:color w:val="000000"/>
        </w:rPr>
        <w:t>Nutrition Requirements</w:t>
      </w:r>
      <w:r w:rsidRPr="00F332DB">
        <w:rPr>
          <w:color w:val="000000"/>
        </w:rPr>
        <w:t xml:space="preserve">. [online] </w:t>
      </w:r>
      <w:r w:rsidRPr="00F332DB">
        <w:rPr>
          <w:i/>
          <w:iCs/>
          <w:color w:val="000000"/>
        </w:rPr>
        <w:t>British Nutrition Foundation</w:t>
      </w:r>
      <w:r w:rsidRPr="00F332DB">
        <w:rPr>
          <w:color w:val="000000"/>
        </w:rPr>
        <w:t xml:space="preserve">. Available at: </w:t>
      </w:r>
      <w:hyperlink r:id="rId14" w:history="1">
        <w:r w:rsidRPr="00F332DB">
          <w:rPr>
            <w:rStyle w:val="Hyperlink"/>
          </w:rPr>
          <w:t>https://www.nutrition.org.uk/media/nmmewdug/nutrition-requirements.pdf</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Centers for Disease Control and Prevention (2024). </w:t>
      </w:r>
      <w:r w:rsidRPr="00F332DB">
        <w:rPr>
          <w:i/>
          <w:iCs/>
          <w:color w:val="000000"/>
        </w:rPr>
        <w:t>Adult BMI Categories</w:t>
      </w:r>
      <w:r w:rsidRPr="00F332DB">
        <w:rPr>
          <w:color w:val="000000"/>
        </w:rPr>
        <w:t xml:space="preserve">. [online] CDC. Available at: </w:t>
      </w:r>
      <w:hyperlink r:id="rId15" w:history="1">
        <w:r w:rsidRPr="00F332DB">
          <w:rPr>
            <w:rStyle w:val="Hyperlink"/>
          </w:rPr>
          <w:t>https://www.cdc.gov/bmi/adult-calculator/bmi-categories.html</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Dangal, A., </w:t>
      </w:r>
      <w:proofErr w:type="spellStart"/>
      <w:r w:rsidRPr="00F332DB">
        <w:rPr>
          <w:color w:val="000000"/>
        </w:rPr>
        <w:t>Tahergorabi</w:t>
      </w:r>
      <w:proofErr w:type="spellEnd"/>
      <w:r w:rsidRPr="00F332DB">
        <w:rPr>
          <w:color w:val="000000"/>
        </w:rPr>
        <w:t xml:space="preserve">, R., Acharya, D., </w:t>
      </w:r>
      <w:proofErr w:type="spellStart"/>
      <w:r w:rsidRPr="00F332DB">
        <w:rPr>
          <w:color w:val="000000"/>
        </w:rPr>
        <w:t>Timsina</w:t>
      </w:r>
      <w:proofErr w:type="spellEnd"/>
      <w:r w:rsidRPr="00F332DB">
        <w:rPr>
          <w:color w:val="000000"/>
        </w:rPr>
        <w:t xml:space="preserve">, P., Rai, K., </w:t>
      </w:r>
      <w:proofErr w:type="spellStart"/>
      <w:r w:rsidRPr="00F332DB">
        <w:rPr>
          <w:color w:val="000000"/>
        </w:rPr>
        <w:t>Dahal</w:t>
      </w:r>
      <w:proofErr w:type="spellEnd"/>
      <w:r w:rsidRPr="00F332DB">
        <w:rPr>
          <w:color w:val="000000"/>
        </w:rPr>
        <w:t xml:space="preserve">, S., Acharya, P. and </w:t>
      </w:r>
      <w:proofErr w:type="spellStart"/>
      <w:r w:rsidRPr="00F332DB">
        <w:rPr>
          <w:color w:val="000000"/>
        </w:rPr>
        <w:t>Giuffrè</w:t>
      </w:r>
      <w:proofErr w:type="spellEnd"/>
      <w:r w:rsidRPr="00F332DB">
        <w:rPr>
          <w:color w:val="000000"/>
        </w:rPr>
        <w:t xml:space="preserve">, A.M. (2024). Review on deep-fat fried foods: physical and chemical attributes, and consequences of high consumption. </w:t>
      </w:r>
      <w:r w:rsidRPr="00F332DB">
        <w:rPr>
          <w:i/>
          <w:iCs/>
          <w:color w:val="000000"/>
        </w:rPr>
        <w:t>European Food Research and Technology</w:t>
      </w:r>
      <w:r w:rsidRPr="00F332DB">
        <w:rPr>
          <w:color w:val="000000"/>
        </w:rPr>
        <w:t xml:space="preserve">, 250. </w:t>
      </w:r>
      <w:proofErr w:type="spellStart"/>
      <w:r w:rsidRPr="00F332DB">
        <w:rPr>
          <w:color w:val="000000"/>
        </w:rPr>
        <w:t>doi</w:t>
      </w:r>
      <w:proofErr w:type="spellEnd"/>
      <w:r w:rsidRPr="00F332DB">
        <w:rPr>
          <w:color w:val="000000"/>
        </w:rPr>
        <w:t xml:space="preserve">: </w:t>
      </w:r>
      <w:hyperlink r:id="rId16" w:history="1">
        <w:r w:rsidRPr="00F332DB">
          <w:rPr>
            <w:rStyle w:val="Hyperlink"/>
          </w:rPr>
          <w:t>https://doi.org/10.1007/s00217-024-04482-3</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lastRenderedPageBreak/>
        <w:t>Devirgiliis</w:t>
      </w:r>
      <w:proofErr w:type="spellEnd"/>
      <w:r w:rsidRPr="00F332DB">
        <w:rPr>
          <w:color w:val="000000"/>
        </w:rPr>
        <w:t xml:space="preserve">, C., </w:t>
      </w:r>
      <w:proofErr w:type="spellStart"/>
      <w:r w:rsidRPr="00F332DB">
        <w:rPr>
          <w:color w:val="000000"/>
        </w:rPr>
        <w:t>Guberti</w:t>
      </w:r>
      <w:proofErr w:type="spellEnd"/>
      <w:r w:rsidRPr="00F332DB">
        <w:rPr>
          <w:color w:val="000000"/>
        </w:rPr>
        <w:t xml:space="preserve">, E., </w:t>
      </w:r>
      <w:proofErr w:type="spellStart"/>
      <w:r w:rsidRPr="00F332DB">
        <w:rPr>
          <w:color w:val="000000"/>
        </w:rPr>
        <w:t>Mistura</w:t>
      </w:r>
      <w:proofErr w:type="spellEnd"/>
      <w:r w:rsidRPr="00F332DB">
        <w:rPr>
          <w:color w:val="000000"/>
        </w:rPr>
        <w:t xml:space="preserve">, L. and </w:t>
      </w:r>
      <w:proofErr w:type="spellStart"/>
      <w:r w:rsidRPr="00F332DB">
        <w:rPr>
          <w:color w:val="000000"/>
        </w:rPr>
        <w:t>Raffo</w:t>
      </w:r>
      <w:proofErr w:type="spellEnd"/>
      <w:r w:rsidRPr="00F332DB">
        <w:rPr>
          <w:color w:val="000000"/>
        </w:rPr>
        <w:t xml:space="preserve">, A. (2024). Effect of Fruit and Vegetable Consumption on Human Health: An Update of the Literature. </w:t>
      </w:r>
      <w:r w:rsidRPr="00F332DB">
        <w:rPr>
          <w:i/>
          <w:iCs/>
          <w:color w:val="000000"/>
        </w:rPr>
        <w:t>Foods</w:t>
      </w:r>
      <w:r w:rsidRPr="00F332DB">
        <w:rPr>
          <w:color w:val="000000"/>
        </w:rPr>
        <w:t xml:space="preserve">, [online] 13(19), p.3149. </w:t>
      </w:r>
      <w:proofErr w:type="spellStart"/>
      <w:r w:rsidRPr="00F332DB">
        <w:rPr>
          <w:color w:val="000000"/>
        </w:rPr>
        <w:t>doi</w:t>
      </w:r>
      <w:proofErr w:type="spellEnd"/>
      <w:r w:rsidRPr="00F332DB">
        <w:rPr>
          <w:color w:val="000000"/>
        </w:rPr>
        <w:t xml:space="preserve">: </w:t>
      </w:r>
      <w:hyperlink r:id="rId17" w:history="1">
        <w:r w:rsidRPr="00F332DB">
          <w:rPr>
            <w:rStyle w:val="Hyperlink"/>
          </w:rPr>
          <w:t>https://doi.org/10.3390/foods13193149</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for, R., </w:t>
      </w:r>
      <w:proofErr w:type="spellStart"/>
      <w:r w:rsidRPr="00F332DB">
        <w:rPr>
          <w:color w:val="000000"/>
        </w:rPr>
        <w:t>Ernstmeyer</w:t>
      </w:r>
      <w:proofErr w:type="spellEnd"/>
      <w:r w:rsidRPr="00F332DB">
        <w:rPr>
          <w:color w:val="000000"/>
        </w:rPr>
        <w:t xml:space="preserve">, K. and </w:t>
      </w:r>
      <w:proofErr w:type="spellStart"/>
      <w:r w:rsidRPr="00F332DB">
        <w:rPr>
          <w:color w:val="000000"/>
        </w:rPr>
        <w:t>Christman</w:t>
      </w:r>
      <w:proofErr w:type="spellEnd"/>
      <w:r w:rsidRPr="00F332DB">
        <w:rPr>
          <w:color w:val="000000"/>
        </w:rPr>
        <w:t xml:space="preserve">, E. (2025). </w:t>
      </w:r>
      <w:r w:rsidRPr="00F332DB">
        <w:rPr>
          <w:i/>
          <w:iCs/>
          <w:color w:val="000000"/>
        </w:rPr>
        <w:t>HEALTHY DIETS</w:t>
      </w:r>
      <w:r w:rsidRPr="00F332DB">
        <w:rPr>
          <w:color w:val="000000"/>
        </w:rPr>
        <w:t xml:space="preserve">. [online] Nih.gov. Available at: </w:t>
      </w:r>
      <w:hyperlink r:id="rId18" w:history="1">
        <w:r w:rsidRPr="00F332DB">
          <w:rPr>
            <w:rStyle w:val="Hyperlink"/>
          </w:rPr>
          <w:t>https://www.ncbi.nlm.nih.gov/books/NBK615325/</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Kawata</w:t>
      </w:r>
      <w:proofErr w:type="spellEnd"/>
      <w:r w:rsidRPr="00F332DB">
        <w:rPr>
          <w:color w:val="000000"/>
        </w:rPr>
        <w:t xml:space="preserve">, D., Nakano, A., Ueno, H.M., </w:t>
      </w:r>
      <w:proofErr w:type="spellStart"/>
      <w:r w:rsidRPr="00F332DB">
        <w:rPr>
          <w:color w:val="000000"/>
        </w:rPr>
        <w:t>Tatara</w:t>
      </w:r>
      <w:proofErr w:type="spellEnd"/>
      <w:r w:rsidRPr="00F332DB">
        <w:rPr>
          <w:color w:val="000000"/>
        </w:rPr>
        <w:t xml:space="preserve">, Y., Sasaki, E., Ishibashi, Y., </w:t>
      </w:r>
      <w:proofErr w:type="spellStart"/>
      <w:r w:rsidRPr="00F332DB">
        <w:rPr>
          <w:color w:val="000000"/>
        </w:rPr>
        <w:t>Tamada</w:t>
      </w:r>
      <w:proofErr w:type="spellEnd"/>
      <w:r w:rsidRPr="00F332DB">
        <w:rPr>
          <w:color w:val="000000"/>
        </w:rPr>
        <w:t xml:space="preserve">, Y., </w:t>
      </w:r>
      <w:proofErr w:type="spellStart"/>
      <w:r w:rsidRPr="00F332DB">
        <w:rPr>
          <w:color w:val="000000"/>
        </w:rPr>
        <w:t>Mikami</w:t>
      </w:r>
      <w:proofErr w:type="spellEnd"/>
      <w:r w:rsidRPr="00F332DB">
        <w:rPr>
          <w:color w:val="000000"/>
        </w:rPr>
        <w:t xml:space="preserve">, T., </w:t>
      </w:r>
      <w:proofErr w:type="spellStart"/>
      <w:r w:rsidRPr="00F332DB">
        <w:rPr>
          <w:color w:val="000000"/>
        </w:rPr>
        <w:t>Murashita</w:t>
      </w:r>
      <w:proofErr w:type="spellEnd"/>
      <w:r w:rsidRPr="00F332DB">
        <w:rPr>
          <w:color w:val="000000"/>
        </w:rPr>
        <w:t xml:space="preserve">, K., </w:t>
      </w:r>
      <w:proofErr w:type="spellStart"/>
      <w:r w:rsidRPr="00F332DB">
        <w:rPr>
          <w:color w:val="000000"/>
        </w:rPr>
        <w:t>Nakaji</w:t>
      </w:r>
      <w:proofErr w:type="spellEnd"/>
      <w:r w:rsidRPr="00F332DB">
        <w:rPr>
          <w:color w:val="000000"/>
        </w:rPr>
        <w:t xml:space="preserve">, S. and Itoh, K. (2025). Self-reported lactose intolerance is inversely associated with calcium intake and bone mineral density: a cross-sectional data analysis from the Iwaki Health Promotion Project. </w:t>
      </w:r>
      <w:r w:rsidRPr="00F332DB">
        <w:rPr>
          <w:i/>
          <w:iCs/>
          <w:color w:val="000000"/>
        </w:rPr>
        <w:t>European Journal of Nutrition</w:t>
      </w:r>
      <w:r w:rsidRPr="00F332DB">
        <w:rPr>
          <w:color w:val="000000"/>
        </w:rPr>
        <w:t xml:space="preserve">, [online] 65(1). </w:t>
      </w:r>
      <w:proofErr w:type="spellStart"/>
      <w:r w:rsidRPr="00F332DB">
        <w:rPr>
          <w:color w:val="000000"/>
        </w:rPr>
        <w:t>doi</w:t>
      </w:r>
      <w:proofErr w:type="spellEnd"/>
      <w:r w:rsidRPr="00F332DB">
        <w:rPr>
          <w:color w:val="000000"/>
        </w:rPr>
        <w:t xml:space="preserve">: </w:t>
      </w:r>
      <w:hyperlink r:id="rId19" w:history="1">
        <w:r w:rsidRPr="00F332DB">
          <w:rPr>
            <w:rStyle w:val="Hyperlink"/>
          </w:rPr>
          <w:t>https://doi.org/10.1007/s00394-025-03856-x</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Kesari</w:t>
      </w:r>
      <w:proofErr w:type="spellEnd"/>
      <w:r w:rsidRPr="00F332DB">
        <w:rPr>
          <w:color w:val="000000"/>
        </w:rPr>
        <w:t xml:space="preserve">, A. and Noel, J.Y. (2023). </w:t>
      </w:r>
      <w:r w:rsidRPr="00F332DB">
        <w:rPr>
          <w:i/>
          <w:iCs/>
          <w:color w:val="000000"/>
        </w:rPr>
        <w:t>Nutritional Assessment</w:t>
      </w:r>
      <w:r w:rsidRPr="00F332DB">
        <w:rPr>
          <w:color w:val="000000"/>
        </w:rPr>
        <w:t xml:space="preserve">. [online] PubMed. Available at: </w:t>
      </w:r>
      <w:hyperlink r:id="rId20" w:history="1">
        <w:r w:rsidRPr="00F332DB">
          <w:rPr>
            <w:rStyle w:val="Hyperlink"/>
          </w:rPr>
          <w:t>https://www.ncbi.nlm.nih.gov/books/NBK580496/</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Kirkpatrick S (2024). </w:t>
      </w:r>
      <w:r w:rsidRPr="00F332DB">
        <w:rPr>
          <w:i/>
          <w:iCs/>
          <w:color w:val="000000"/>
        </w:rPr>
        <w:t>Nutritional Assessment: Measurement Error in Dietary assessment</w:t>
      </w:r>
      <w:r w:rsidRPr="00F332DB">
        <w:rPr>
          <w:color w:val="000000"/>
        </w:rPr>
        <w:t xml:space="preserve">. [online] Nutritionalassessment.org. Available at: </w:t>
      </w:r>
      <w:hyperlink r:id="rId21" w:history="1">
        <w:r w:rsidRPr="00F332DB">
          <w:rPr>
            <w:rStyle w:val="Hyperlink"/>
          </w:rPr>
          <w:t>https://nutritionalassessment.org/errors/</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Langyan</w:t>
      </w:r>
      <w:proofErr w:type="spellEnd"/>
      <w:r w:rsidRPr="00F332DB">
        <w:rPr>
          <w:color w:val="000000"/>
        </w:rPr>
        <w:t xml:space="preserve">, S., Yadava, P., Khan, F.N., Dar, Z.A., Singh, R. and Kumar, A. (2022). Sustaining Protein Nutrition Through Plant-Based Foods. </w:t>
      </w:r>
      <w:r w:rsidRPr="00F332DB">
        <w:rPr>
          <w:i/>
          <w:iCs/>
          <w:color w:val="000000"/>
        </w:rPr>
        <w:t>Frontiers in Nutrition</w:t>
      </w:r>
      <w:r w:rsidRPr="00F332DB">
        <w:rPr>
          <w:color w:val="000000"/>
        </w:rPr>
        <w:t xml:space="preserve">, 8(772573). </w:t>
      </w:r>
      <w:proofErr w:type="spellStart"/>
      <w:r w:rsidRPr="00F332DB">
        <w:rPr>
          <w:color w:val="000000"/>
        </w:rPr>
        <w:t>doi</w:t>
      </w:r>
      <w:proofErr w:type="spellEnd"/>
      <w:r w:rsidRPr="00F332DB">
        <w:rPr>
          <w:color w:val="000000"/>
        </w:rPr>
        <w:t xml:space="preserve">: </w:t>
      </w:r>
      <w:hyperlink r:id="rId22" w:history="1">
        <w:r w:rsidRPr="00F332DB">
          <w:rPr>
            <w:rStyle w:val="Hyperlink"/>
          </w:rPr>
          <w:t>https://doi.org/10.3389/fnut.2021.772573</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Maki, K.C., </w:t>
      </w:r>
      <w:proofErr w:type="spellStart"/>
      <w:r w:rsidRPr="00F332DB">
        <w:rPr>
          <w:color w:val="000000"/>
        </w:rPr>
        <w:t>Dicklin</w:t>
      </w:r>
      <w:proofErr w:type="spellEnd"/>
      <w:r w:rsidRPr="00F332DB">
        <w:rPr>
          <w:color w:val="000000"/>
        </w:rPr>
        <w:t xml:space="preserve">, M.R. and Kirkpatrick, C.F. (2021). Saturated fats and cardiovascular health: Current evidence and controversies. </w:t>
      </w:r>
      <w:r w:rsidRPr="00F332DB">
        <w:rPr>
          <w:i/>
          <w:iCs/>
          <w:color w:val="000000"/>
        </w:rPr>
        <w:t>Journal of Clinical Lipidology</w:t>
      </w:r>
      <w:r w:rsidRPr="00F332DB">
        <w:rPr>
          <w:color w:val="000000"/>
        </w:rPr>
        <w:t xml:space="preserve">, [online] 15(6), pp.765–772. </w:t>
      </w:r>
      <w:proofErr w:type="spellStart"/>
      <w:r w:rsidRPr="00F332DB">
        <w:rPr>
          <w:color w:val="000000"/>
        </w:rPr>
        <w:t>doi</w:t>
      </w:r>
      <w:proofErr w:type="spellEnd"/>
      <w:r w:rsidRPr="00F332DB">
        <w:rPr>
          <w:color w:val="000000"/>
        </w:rPr>
        <w:t xml:space="preserve">: </w:t>
      </w:r>
      <w:hyperlink r:id="rId23" w:history="1">
        <w:r w:rsidRPr="00F332DB">
          <w:rPr>
            <w:rStyle w:val="Hyperlink"/>
          </w:rPr>
          <w:t>https://doi.org/10.1016/j.jacl.2021.09.049</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Nairn</w:t>
      </w:r>
      <w:proofErr w:type="spellEnd"/>
      <w:r w:rsidRPr="00F332DB">
        <w:rPr>
          <w:color w:val="000000"/>
        </w:rPr>
        <w:t xml:space="preserve">, R. (2022). </w:t>
      </w:r>
      <w:r w:rsidRPr="00F332DB">
        <w:rPr>
          <w:i/>
          <w:iCs/>
          <w:color w:val="000000"/>
        </w:rPr>
        <w:t>Timing is everything: Why eating on a regular schedule supports overall well-being - Johns Hopkins University Student Well-Being</w:t>
      </w:r>
      <w:r w:rsidRPr="00F332DB">
        <w:rPr>
          <w:color w:val="000000"/>
        </w:rPr>
        <w:t xml:space="preserve">. [online] Johns Hopkins University Student Well-Being. Available at: </w:t>
      </w:r>
      <w:hyperlink r:id="rId24" w:history="1">
        <w:r w:rsidRPr="00F332DB">
          <w:rPr>
            <w:rStyle w:val="Hyperlink"/>
          </w:rPr>
          <w:t>https://wellbeing.jhu.edu/blog/2022/12/09/timing-is-everything-why-eating-on-a-regular-schedule-supports-overall-well-being/</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National Institutes of Health (2024). </w:t>
      </w:r>
      <w:r w:rsidRPr="00F332DB">
        <w:rPr>
          <w:i/>
          <w:iCs/>
          <w:color w:val="000000"/>
        </w:rPr>
        <w:t>Calcium</w:t>
      </w:r>
      <w:r w:rsidRPr="00F332DB">
        <w:rPr>
          <w:color w:val="000000"/>
        </w:rPr>
        <w:t xml:space="preserve">. [online] National Institutes of Health Office of Dietary Supplements. Available at: </w:t>
      </w:r>
      <w:hyperlink r:id="rId25" w:history="1">
        <w:r w:rsidRPr="00F332DB">
          <w:rPr>
            <w:rStyle w:val="Hyperlink"/>
          </w:rPr>
          <w:t>https://ods.od.nih.gov/factsheets/Calcium-HealthProfessional/</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Nutritics. (2024). </w:t>
      </w:r>
      <w:r w:rsidRPr="00F332DB">
        <w:rPr>
          <w:i/>
          <w:iCs/>
          <w:color w:val="000000"/>
        </w:rPr>
        <w:t>Sports Nutrition &amp; Diet Analysis for Professionals - Nutritics</w:t>
      </w:r>
      <w:r w:rsidRPr="00F332DB">
        <w:rPr>
          <w:color w:val="000000"/>
        </w:rPr>
        <w:t xml:space="preserve">. [online] Available at: </w:t>
      </w:r>
      <w:hyperlink r:id="rId26" w:history="1">
        <w:r w:rsidRPr="00F332DB">
          <w:rPr>
            <w:rStyle w:val="Hyperlink"/>
          </w:rPr>
          <w:t>https://www.nutritics.com/en/sectors/sports-nutrition/</w:t>
        </w:r>
      </w:hyperlink>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lastRenderedPageBreak/>
        <w:t>Pendick</w:t>
      </w:r>
      <w:proofErr w:type="spellEnd"/>
      <w:r w:rsidRPr="00F332DB">
        <w:rPr>
          <w:color w:val="000000"/>
        </w:rPr>
        <w:t xml:space="preserve">, D. (2023). </w:t>
      </w:r>
      <w:r w:rsidRPr="00F332DB">
        <w:rPr>
          <w:i/>
          <w:iCs/>
          <w:color w:val="000000"/>
        </w:rPr>
        <w:t>How much protein do you need every day?</w:t>
      </w:r>
      <w:r w:rsidRPr="00F332DB">
        <w:rPr>
          <w:color w:val="000000"/>
        </w:rPr>
        <w:t xml:space="preserve"> [online] Harvard Health Blog. Available at: </w:t>
      </w:r>
      <w:hyperlink r:id="rId27" w:history="1">
        <w:r w:rsidRPr="00F332DB">
          <w:rPr>
            <w:rStyle w:val="Hyperlink"/>
          </w:rPr>
          <w:t>https://www.health.harvard.edu/blog/how-much-protein-do-you-need-every-day-201506188096</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Wempen</w:t>
      </w:r>
      <w:proofErr w:type="spellEnd"/>
      <w:r w:rsidRPr="00F332DB">
        <w:rPr>
          <w:color w:val="000000"/>
        </w:rPr>
        <w:t xml:space="preserve">, K. (2023). </w:t>
      </w:r>
      <w:r w:rsidRPr="00F332DB">
        <w:rPr>
          <w:i/>
          <w:iCs/>
          <w:color w:val="000000"/>
        </w:rPr>
        <w:t>Assessing protein needs for performance</w:t>
      </w:r>
      <w:r w:rsidRPr="00F332DB">
        <w:rPr>
          <w:color w:val="000000"/>
        </w:rPr>
        <w:t xml:space="preserve">. [online] Mayo Clinic Health System. Available at: </w:t>
      </w:r>
      <w:hyperlink r:id="rId28" w:history="1">
        <w:r w:rsidRPr="00F332DB">
          <w:rPr>
            <w:rStyle w:val="Hyperlink"/>
          </w:rPr>
          <w:t>https://www.mayoclinichealthsystem.org/hometown-health/speaking-of-health/assessing-protein-needs-for-performance</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proofErr w:type="spellStart"/>
      <w:r w:rsidRPr="00F332DB">
        <w:rPr>
          <w:color w:val="000000"/>
        </w:rPr>
        <w:t>Windus</w:t>
      </w:r>
      <w:proofErr w:type="spellEnd"/>
      <w:r w:rsidRPr="00F332DB">
        <w:rPr>
          <w:color w:val="000000"/>
        </w:rPr>
        <w:t xml:space="preserve">, J.L., Stewart, S.J., Marc, Dodd, C.T., Burrows, T.L., Collins, C.E. and Rollo, M.E. (2025). Exploring Dietary Assessment Methods Used to Measure Individual Dietary Intakes in Low- and Middle-Income Countries and Under-Served Populations in High-Income Countries. </w:t>
      </w:r>
      <w:r w:rsidRPr="00F332DB">
        <w:rPr>
          <w:i/>
          <w:iCs/>
          <w:color w:val="000000"/>
        </w:rPr>
        <w:t>Nutrients</w:t>
      </w:r>
      <w:r w:rsidRPr="00F332DB">
        <w:rPr>
          <w:color w:val="000000"/>
        </w:rPr>
        <w:t xml:space="preserve">, 17(2), pp.360–360. </w:t>
      </w:r>
      <w:proofErr w:type="spellStart"/>
      <w:r w:rsidRPr="00F332DB">
        <w:rPr>
          <w:color w:val="000000"/>
        </w:rPr>
        <w:t>doi</w:t>
      </w:r>
      <w:proofErr w:type="spellEnd"/>
      <w:r w:rsidRPr="00F332DB">
        <w:rPr>
          <w:color w:val="000000"/>
        </w:rPr>
        <w:t xml:space="preserve">: </w:t>
      </w:r>
      <w:hyperlink r:id="rId29" w:history="1">
        <w:r w:rsidRPr="00F332DB">
          <w:rPr>
            <w:rStyle w:val="Hyperlink"/>
          </w:rPr>
          <w:t>https://doi.org/10.3390/nu17020360</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wright, M. (2022). </w:t>
      </w:r>
      <w:r w:rsidRPr="00F332DB">
        <w:rPr>
          <w:i/>
          <w:iCs/>
          <w:color w:val="000000"/>
        </w:rPr>
        <w:t>Food Frequency Questionnaire - an overview | ScienceDirect Topics</w:t>
      </w:r>
      <w:r w:rsidRPr="00F332DB">
        <w:rPr>
          <w:color w:val="000000"/>
        </w:rPr>
        <w:t xml:space="preserve">. [online] www.sciencedirect.com. Available at: </w:t>
      </w:r>
      <w:hyperlink r:id="rId30" w:history="1">
        <w:r w:rsidRPr="00F332DB">
          <w:rPr>
            <w:rStyle w:val="Hyperlink"/>
          </w:rPr>
          <w:t>https://www.sciencedirect.com/topics/medicine-and-dentistry/food-frequency-questionnaire</w:t>
        </w:r>
      </w:hyperlink>
      <w:r w:rsidRPr="00F332DB">
        <w:rPr>
          <w:color w:val="000000"/>
        </w:rPr>
        <w:t>.</w:t>
      </w:r>
    </w:p>
    <w:p w:rsidR="00FB6AE2" w:rsidRPr="00F332DB" w:rsidRDefault="00FB6AE2" w:rsidP="00F332DB">
      <w:pPr>
        <w:pStyle w:val="NormalWeb"/>
        <w:shd w:val="clear" w:color="auto" w:fill="FFFFFF"/>
        <w:spacing w:before="0" w:beforeAutospacing="0" w:after="0" w:afterAutospacing="0" w:line="360" w:lineRule="auto"/>
        <w:jc w:val="both"/>
        <w:rPr>
          <w:color w:val="000000"/>
        </w:rPr>
      </w:pPr>
      <w:r w:rsidRPr="00F332DB">
        <w:rPr>
          <w:color w:val="000000"/>
        </w:rPr>
        <w:t xml:space="preserve">Wu, Y., Li, D. and </w:t>
      </w:r>
      <w:proofErr w:type="spellStart"/>
      <w:r w:rsidRPr="00F332DB">
        <w:rPr>
          <w:color w:val="000000"/>
        </w:rPr>
        <w:t>Vermund</w:t>
      </w:r>
      <w:proofErr w:type="spellEnd"/>
      <w:r w:rsidRPr="00F332DB">
        <w:rPr>
          <w:color w:val="000000"/>
        </w:rPr>
        <w:t xml:space="preserve">, S.H. (2024). Advantages and Limitations of the Body Mass Index (BMI) to Assess Adult Obesity. </w:t>
      </w:r>
      <w:r w:rsidRPr="00F332DB">
        <w:rPr>
          <w:i/>
          <w:iCs/>
          <w:color w:val="000000"/>
        </w:rPr>
        <w:t>International Journal of Environmental Research and Public Health</w:t>
      </w:r>
      <w:r w:rsidRPr="00F332DB">
        <w:rPr>
          <w:color w:val="000000"/>
        </w:rPr>
        <w:t xml:space="preserve">, [online] 21(6), p.757. </w:t>
      </w:r>
      <w:proofErr w:type="spellStart"/>
      <w:r w:rsidRPr="00F332DB">
        <w:rPr>
          <w:color w:val="000000"/>
        </w:rPr>
        <w:t>doi</w:t>
      </w:r>
      <w:proofErr w:type="spellEnd"/>
      <w:r w:rsidRPr="00F332DB">
        <w:rPr>
          <w:color w:val="000000"/>
        </w:rPr>
        <w:t xml:space="preserve">: </w:t>
      </w:r>
      <w:hyperlink r:id="rId31" w:history="1">
        <w:r w:rsidRPr="00F332DB">
          <w:rPr>
            <w:rStyle w:val="Hyperlink"/>
          </w:rPr>
          <w:t>https://doi.org/10.3390/ijerph21060757</w:t>
        </w:r>
      </w:hyperlink>
      <w:r w:rsidRPr="00F332DB">
        <w:rPr>
          <w:color w:val="000000"/>
        </w:rPr>
        <w:t>.</w:t>
      </w:r>
    </w:p>
    <w:p w:rsidR="00227C26" w:rsidRPr="00F332DB" w:rsidRDefault="00227C26" w:rsidP="00BB6AD0">
      <w:pPr>
        <w:pStyle w:val="NormalWeb"/>
      </w:pPr>
    </w:p>
    <w:p w:rsidR="00BB6AD0" w:rsidRPr="00F332DB" w:rsidRDefault="00BB6AD0">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sz w:val="24"/>
          <w:szCs w:val="24"/>
        </w:rPr>
      </w:pPr>
    </w:p>
    <w:p w:rsidR="00EC4EDE" w:rsidRPr="00F332DB" w:rsidRDefault="00EC4EDE">
      <w:pPr>
        <w:rPr>
          <w:rFonts w:ascii="Times New Roman" w:hAnsi="Times New Roman" w:cs="Times New Roman"/>
          <w:b/>
          <w:sz w:val="24"/>
          <w:szCs w:val="24"/>
        </w:rPr>
      </w:pPr>
      <w:r w:rsidRPr="00F332DB">
        <w:rPr>
          <w:rFonts w:ascii="Times New Roman" w:hAnsi="Times New Roman" w:cs="Times New Roman"/>
          <w:b/>
          <w:sz w:val="24"/>
          <w:szCs w:val="24"/>
        </w:rPr>
        <w:lastRenderedPageBreak/>
        <w:t>Appendix</w:t>
      </w:r>
    </w:p>
    <w:p w:rsidR="00320EDF" w:rsidRPr="00F332DB" w:rsidRDefault="00E56B3B">
      <w:pPr>
        <w:rPr>
          <w:rFonts w:ascii="Times New Roman" w:hAnsi="Times New Roman" w:cs="Times New Roman"/>
          <w:b/>
          <w:sz w:val="24"/>
          <w:szCs w:val="24"/>
        </w:rPr>
      </w:pPr>
      <w:r w:rsidRPr="00F332DB">
        <w:rPr>
          <w:rFonts w:ascii="Times New Roman" w:hAnsi="Times New Roman" w:cs="Times New Roman"/>
          <w:b/>
          <w:noProof/>
          <w:sz w:val="24"/>
          <w:szCs w:val="24"/>
        </w:rPr>
        <w:drawing>
          <wp:inline distT="0" distB="0" distL="0" distR="0" wp14:anchorId="666300B3" wp14:editId="579AFCEE">
            <wp:extent cx="5943600" cy="33439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43600" cy="3343910"/>
                    </a:xfrm>
                    <a:prstGeom prst="rect">
                      <a:avLst/>
                    </a:prstGeom>
                  </pic:spPr>
                </pic:pic>
              </a:graphicData>
            </a:graphic>
          </wp:inline>
        </w:drawing>
      </w:r>
    </w:p>
    <w:p w:rsidR="00E56B3B" w:rsidRPr="00F332DB" w:rsidRDefault="00E56B3B">
      <w:pPr>
        <w:rPr>
          <w:rFonts w:ascii="Times New Roman" w:hAnsi="Times New Roman" w:cs="Times New Roman"/>
          <w:b/>
          <w:sz w:val="24"/>
          <w:szCs w:val="24"/>
        </w:rPr>
      </w:pPr>
      <w:r w:rsidRPr="00F332DB">
        <w:rPr>
          <w:rFonts w:ascii="Times New Roman" w:hAnsi="Times New Roman" w:cs="Times New Roman"/>
          <w:b/>
          <w:noProof/>
          <w:sz w:val="24"/>
          <w:szCs w:val="24"/>
        </w:rPr>
        <w:drawing>
          <wp:inline distT="0" distB="0" distL="0" distR="0" wp14:anchorId="50F8DC2A" wp14:editId="638081E6">
            <wp:extent cx="5943600" cy="30968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3600" cy="3096895"/>
                    </a:xfrm>
                    <a:prstGeom prst="rect">
                      <a:avLst/>
                    </a:prstGeom>
                  </pic:spPr>
                </pic:pic>
              </a:graphicData>
            </a:graphic>
          </wp:inline>
        </w:drawing>
      </w:r>
    </w:p>
    <w:p w:rsidR="00B94385" w:rsidRPr="00F332DB" w:rsidRDefault="00B94385">
      <w:pPr>
        <w:rPr>
          <w:rFonts w:ascii="Times New Roman" w:hAnsi="Times New Roman" w:cs="Times New Roman"/>
          <w:b/>
          <w:sz w:val="24"/>
          <w:szCs w:val="24"/>
        </w:rPr>
      </w:pPr>
      <w:r w:rsidRPr="00F332DB">
        <w:rPr>
          <w:rFonts w:ascii="Times New Roman" w:hAnsi="Times New Roman" w:cs="Times New Roman"/>
          <w:b/>
          <w:noProof/>
          <w:sz w:val="24"/>
          <w:szCs w:val="24"/>
        </w:rPr>
        <w:lastRenderedPageBreak/>
        <w:drawing>
          <wp:inline distT="0" distB="0" distL="0" distR="0" wp14:anchorId="1777F535" wp14:editId="49835AD5">
            <wp:extent cx="5943600" cy="23774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943600" cy="2377440"/>
                    </a:xfrm>
                    <a:prstGeom prst="rect">
                      <a:avLst/>
                    </a:prstGeom>
                  </pic:spPr>
                </pic:pic>
              </a:graphicData>
            </a:graphic>
          </wp:inline>
        </w:drawing>
      </w:r>
    </w:p>
    <w:p w:rsidR="00B94385" w:rsidRPr="00F332DB" w:rsidRDefault="00B94385">
      <w:pPr>
        <w:rPr>
          <w:rFonts w:ascii="Times New Roman" w:hAnsi="Times New Roman" w:cs="Times New Roman"/>
          <w:b/>
          <w:sz w:val="24"/>
          <w:szCs w:val="24"/>
        </w:rPr>
      </w:pPr>
      <w:r w:rsidRPr="00F332DB">
        <w:rPr>
          <w:rFonts w:ascii="Times New Roman" w:hAnsi="Times New Roman" w:cs="Times New Roman"/>
          <w:b/>
          <w:noProof/>
          <w:sz w:val="24"/>
          <w:szCs w:val="24"/>
        </w:rPr>
        <w:drawing>
          <wp:inline distT="0" distB="0" distL="0" distR="0" wp14:anchorId="0194F515" wp14:editId="51ED7AA2">
            <wp:extent cx="5943600" cy="313626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943600" cy="3136265"/>
                    </a:xfrm>
                    <a:prstGeom prst="rect">
                      <a:avLst/>
                    </a:prstGeom>
                  </pic:spPr>
                </pic:pic>
              </a:graphicData>
            </a:graphic>
          </wp:inline>
        </w:drawing>
      </w:r>
    </w:p>
    <w:p w:rsidR="00B94385" w:rsidRPr="00F332DB" w:rsidRDefault="00B94385">
      <w:pPr>
        <w:rPr>
          <w:rFonts w:ascii="Times New Roman" w:hAnsi="Times New Roman" w:cs="Times New Roman"/>
          <w:b/>
          <w:sz w:val="24"/>
          <w:szCs w:val="24"/>
        </w:rPr>
      </w:pPr>
      <w:r w:rsidRPr="00F332DB">
        <w:rPr>
          <w:rFonts w:ascii="Times New Roman" w:hAnsi="Times New Roman" w:cs="Times New Roman"/>
          <w:b/>
          <w:noProof/>
          <w:sz w:val="24"/>
          <w:szCs w:val="24"/>
        </w:rPr>
        <w:lastRenderedPageBreak/>
        <w:drawing>
          <wp:inline distT="0" distB="0" distL="0" distR="0" wp14:anchorId="51ECB83A" wp14:editId="745A586E">
            <wp:extent cx="5943600" cy="2889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943600" cy="2889885"/>
                    </a:xfrm>
                    <a:prstGeom prst="rect">
                      <a:avLst/>
                    </a:prstGeom>
                  </pic:spPr>
                </pic:pic>
              </a:graphicData>
            </a:graphic>
          </wp:inline>
        </w:drawing>
      </w:r>
    </w:p>
    <w:p w:rsidR="00B94385" w:rsidRPr="00F332DB" w:rsidRDefault="00B94385">
      <w:pPr>
        <w:rPr>
          <w:rFonts w:ascii="Times New Roman" w:hAnsi="Times New Roman" w:cs="Times New Roman"/>
          <w:b/>
          <w:sz w:val="24"/>
          <w:szCs w:val="24"/>
        </w:rPr>
      </w:pPr>
      <w:r w:rsidRPr="00F332DB">
        <w:rPr>
          <w:rFonts w:ascii="Times New Roman" w:hAnsi="Times New Roman" w:cs="Times New Roman"/>
          <w:b/>
          <w:noProof/>
          <w:sz w:val="24"/>
          <w:szCs w:val="24"/>
        </w:rPr>
        <w:drawing>
          <wp:inline distT="0" distB="0" distL="0" distR="0" wp14:anchorId="672CA709" wp14:editId="0069819E">
            <wp:extent cx="5943600" cy="22428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43600" cy="2242820"/>
                    </a:xfrm>
                    <a:prstGeom prst="rect">
                      <a:avLst/>
                    </a:prstGeom>
                  </pic:spPr>
                </pic:pic>
              </a:graphicData>
            </a:graphic>
          </wp:inline>
        </w:drawing>
      </w:r>
    </w:p>
    <w:sectPr w:rsidR="00B94385" w:rsidRPr="00F332DB">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6841" w:rsidRDefault="00EE6841" w:rsidP="00420BC3">
      <w:pPr>
        <w:spacing w:after="0" w:line="240" w:lineRule="auto"/>
      </w:pPr>
      <w:r>
        <w:separator/>
      </w:r>
    </w:p>
  </w:endnote>
  <w:endnote w:type="continuationSeparator" w:id="0">
    <w:p w:rsidR="00EE6841" w:rsidRDefault="00EE6841" w:rsidP="00420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6841" w:rsidRDefault="00EE6841" w:rsidP="00420BC3">
      <w:pPr>
        <w:spacing w:after="0" w:line="240" w:lineRule="auto"/>
      </w:pPr>
      <w:r>
        <w:separator/>
      </w:r>
    </w:p>
  </w:footnote>
  <w:footnote w:type="continuationSeparator" w:id="0">
    <w:p w:rsidR="00EE6841" w:rsidRDefault="00EE6841" w:rsidP="00420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8967091"/>
      <w:docPartObj>
        <w:docPartGallery w:val="Page Numbers (Top of Page)"/>
        <w:docPartUnique/>
      </w:docPartObj>
    </w:sdtPr>
    <w:sdtEndPr>
      <w:rPr>
        <w:noProof/>
      </w:rPr>
    </w:sdtEndPr>
    <w:sdtContent>
      <w:p w:rsidR="00420BC3" w:rsidRDefault="00420BC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20BC3" w:rsidRDefault="00420B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AD0"/>
    <w:rsid w:val="0010065A"/>
    <w:rsid w:val="00132E5D"/>
    <w:rsid w:val="001A566E"/>
    <w:rsid w:val="00227C26"/>
    <w:rsid w:val="002463C4"/>
    <w:rsid w:val="00320EDF"/>
    <w:rsid w:val="003C5074"/>
    <w:rsid w:val="00420BC3"/>
    <w:rsid w:val="004549B1"/>
    <w:rsid w:val="00506AC0"/>
    <w:rsid w:val="005B4BA5"/>
    <w:rsid w:val="00614844"/>
    <w:rsid w:val="00657D5B"/>
    <w:rsid w:val="006A1675"/>
    <w:rsid w:val="006A441B"/>
    <w:rsid w:val="007970F2"/>
    <w:rsid w:val="007A7300"/>
    <w:rsid w:val="007F2E72"/>
    <w:rsid w:val="00802AB4"/>
    <w:rsid w:val="00813F42"/>
    <w:rsid w:val="00826A58"/>
    <w:rsid w:val="008531C7"/>
    <w:rsid w:val="0087762F"/>
    <w:rsid w:val="009523A6"/>
    <w:rsid w:val="009A4CA2"/>
    <w:rsid w:val="00A62346"/>
    <w:rsid w:val="00AA4D04"/>
    <w:rsid w:val="00B219E2"/>
    <w:rsid w:val="00B46C8E"/>
    <w:rsid w:val="00B51FF4"/>
    <w:rsid w:val="00B75607"/>
    <w:rsid w:val="00B93D6C"/>
    <w:rsid w:val="00B94385"/>
    <w:rsid w:val="00BA210E"/>
    <w:rsid w:val="00BA7ED8"/>
    <w:rsid w:val="00BB124D"/>
    <w:rsid w:val="00BB6AD0"/>
    <w:rsid w:val="00BC478C"/>
    <w:rsid w:val="00C03DE4"/>
    <w:rsid w:val="00C62FF2"/>
    <w:rsid w:val="00C7167E"/>
    <w:rsid w:val="00CA0AB5"/>
    <w:rsid w:val="00CC3C19"/>
    <w:rsid w:val="00CC69D1"/>
    <w:rsid w:val="00CD5E3E"/>
    <w:rsid w:val="00CE1E77"/>
    <w:rsid w:val="00D21C9C"/>
    <w:rsid w:val="00D357C4"/>
    <w:rsid w:val="00D874A4"/>
    <w:rsid w:val="00D92824"/>
    <w:rsid w:val="00D9652E"/>
    <w:rsid w:val="00DB6C89"/>
    <w:rsid w:val="00E2562A"/>
    <w:rsid w:val="00E56B3B"/>
    <w:rsid w:val="00EB32A1"/>
    <w:rsid w:val="00EC4EDE"/>
    <w:rsid w:val="00EE6841"/>
    <w:rsid w:val="00EF123B"/>
    <w:rsid w:val="00F332DB"/>
    <w:rsid w:val="00F54D19"/>
    <w:rsid w:val="00F64E4B"/>
    <w:rsid w:val="00FB1474"/>
    <w:rsid w:val="00FB6AE2"/>
    <w:rsid w:val="00FD4ADA"/>
    <w:rsid w:val="00FD779D"/>
    <w:rsid w:val="00FE0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E1692"/>
  <w15:chartTrackingRefBased/>
  <w15:docId w15:val="{9562E643-A2C0-4E67-810D-5902146F8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20BC3"/>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420BC3"/>
    <w:pPr>
      <w:keepNext/>
      <w:spacing w:before="120" w:after="120" w:line="240" w:lineRule="auto"/>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A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BB6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B6AD0"/>
    <w:rPr>
      <w:b/>
      <w:bCs/>
    </w:rPr>
  </w:style>
  <w:style w:type="character" w:customStyle="1" w:styleId="Heading2Char">
    <w:name w:val="Heading 2 Char"/>
    <w:basedOn w:val="DefaultParagraphFont"/>
    <w:link w:val="Heading2"/>
    <w:rsid w:val="00420BC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420BC3"/>
    <w:rPr>
      <w:rFonts w:ascii="Times New Roman" w:eastAsia="Times New Roman" w:hAnsi="Times New Roman" w:cs="Times New Roman"/>
      <w:sz w:val="40"/>
      <w:szCs w:val="20"/>
      <w:lang w:val="en-GB" w:eastAsia="en-GB"/>
    </w:rPr>
  </w:style>
  <w:style w:type="paragraph" w:styleId="Header">
    <w:name w:val="header"/>
    <w:basedOn w:val="Normal"/>
    <w:link w:val="HeaderChar"/>
    <w:uiPriority w:val="99"/>
    <w:rsid w:val="00420BC3"/>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uiPriority w:val="99"/>
    <w:rsid w:val="00420BC3"/>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420B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BC3"/>
  </w:style>
  <w:style w:type="character" w:styleId="Hyperlink">
    <w:name w:val="Hyperlink"/>
    <w:basedOn w:val="DefaultParagraphFont"/>
    <w:uiPriority w:val="99"/>
    <w:unhideWhenUsed/>
    <w:rsid w:val="00FB6AE2"/>
    <w:rPr>
      <w:color w:val="0563C1" w:themeColor="hyperlink"/>
      <w:u w:val="single"/>
    </w:rPr>
  </w:style>
  <w:style w:type="paragraph" w:styleId="BalloonText">
    <w:name w:val="Balloon Text"/>
    <w:basedOn w:val="Normal"/>
    <w:link w:val="BalloonTextChar"/>
    <w:uiPriority w:val="99"/>
    <w:semiHidden/>
    <w:unhideWhenUsed/>
    <w:rsid w:val="00FD4A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4A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707821">
      <w:bodyDiv w:val="1"/>
      <w:marLeft w:val="0"/>
      <w:marRight w:val="0"/>
      <w:marTop w:val="0"/>
      <w:marBottom w:val="0"/>
      <w:divBdr>
        <w:top w:val="none" w:sz="0" w:space="0" w:color="auto"/>
        <w:left w:val="none" w:sz="0" w:space="0" w:color="auto"/>
        <w:bottom w:val="none" w:sz="0" w:space="0" w:color="auto"/>
        <w:right w:val="none" w:sz="0" w:space="0" w:color="auto"/>
      </w:divBdr>
      <w:divsChild>
        <w:div w:id="1458185332">
          <w:marLeft w:val="0"/>
          <w:marRight w:val="0"/>
          <w:marTop w:val="0"/>
          <w:marBottom w:val="0"/>
          <w:divBdr>
            <w:top w:val="none" w:sz="0" w:space="0" w:color="auto"/>
            <w:left w:val="none" w:sz="0" w:space="0" w:color="auto"/>
            <w:bottom w:val="none" w:sz="0" w:space="0" w:color="auto"/>
            <w:right w:val="none" w:sz="0" w:space="0" w:color="auto"/>
          </w:divBdr>
          <w:divsChild>
            <w:div w:id="169726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92988">
      <w:bodyDiv w:val="1"/>
      <w:marLeft w:val="0"/>
      <w:marRight w:val="0"/>
      <w:marTop w:val="0"/>
      <w:marBottom w:val="0"/>
      <w:divBdr>
        <w:top w:val="none" w:sz="0" w:space="0" w:color="auto"/>
        <w:left w:val="none" w:sz="0" w:space="0" w:color="auto"/>
        <w:bottom w:val="none" w:sz="0" w:space="0" w:color="auto"/>
        <w:right w:val="none" w:sz="0" w:space="0" w:color="auto"/>
      </w:divBdr>
    </w:div>
    <w:div w:id="555047650">
      <w:bodyDiv w:val="1"/>
      <w:marLeft w:val="0"/>
      <w:marRight w:val="0"/>
      <w:marTop w:val="0"/>
      <w:marBottom w:val="0"/>
      <w:divBdr>
        <w:top w:val="none" w:sz="0" w:space="0" w:color="auto"/>
        <w:left w:val="none" w:sz="0" w:space="0" w:color="auto"/>
        <w:bottom w:val="none" w:sz="0" w:space="0" w:color="auto"/>
        <w:right w:val="none" w:sz="0" w:space="0" w:color="auto"/>
      </w:divBdr>
      <w:divsChild>
        <w:div w:id="1623071143">
          <w:marLeft w:val="0"/>
          <w:marRight w:val="0"/>
          <w:marTop w:val="0"/>
          <w:marBottom w:val="0"/>
          <w:divBdr>
            <w:top w:val="none" w:sz="0" w:space="0" w:color="auto"/>
            <w:left w:val="none" w:sz="0" w:space="0" w:color="auto"/>
            <w:bottom w:val="none" w:sz="0" w:space="0" w:color="auto"/>
            <w:right w:val="none" w:sz="0" w:space="0" w:color="auto"/>
          </w:divBdr>
          <w:divsChild>
            <w:div w:id="14933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118690">
      <w:bodyDiv w:val="1"/>
      <w:marLeft w:val="0"/>
      <w:marRight w:val="0"/>
      <w:marTop w:val="0"/>
      <w:marBottom w:val="0"/>
      <w:divBdr>
        <w:top w:val="none" w:sz="0" w:space="0" w:color="auto"/>
        <w:left w:val="none" w:sz="0" w:space="0" w:color="auto"/>
        <w:bottom w:val="none" w:sz="0" w:space="0" w:color="auto"/>
        <w:right w:val="none" w:sz="0" w:space="0" w:color="auto"/>
      </w:divBdr>
    </w:div>
    <w:div w:id="928395196">
      <w:bodyDiv w:val="1"/>
      <w:marLeft w:val="0"/>
      <w:marRight w:val="0"/>
      <w:marTop w:val="0"/>
      <w:marBottom w:val="0"/>
      <w:divBdr>
        <w:top w:val="none" w:sz="0" w:space="0" w:color="auto"/>
        <w:left w:val="none" w:sz="0" w:space="0" w:color="auto"/>
        <w:bottom w:val="none" w:sz="0" w:space="0" w:color="auto"/>
        <w:right w:val="none" w:sz="0" w:space="0" w:color="auto"/>
      </w:divBdr>
    </w:div>
    <w:div w:id="1382512194">
      <w:bodyDiv w:val="1"/>
      <w:marLeft w:val="0"/>
      <w:marRight w:val="0"/>
      <w:marTop w:val="0"/>
      <w:marBottom w:val="0"/>
      <w:divBdr>
        <w:top w:val="none" w:sz="0" w:space="0" w:color="auto"/>
        <w:left w:val="none" w:sz="0" w:space="0" w:color="auto"/>
        <w:bottom w:val="none" w:sz="0" w:space="0" w:color="auto"/>
        <w:right w:val="none" w:sz="0" w:space="0" w:color="auto"/>
      </w:divBdr>
    </w:div>
    <w:div w:id="1394112029">
      <w:bodyDiv w:val="1"/>
      <w:marLeft w:val="0"/>
      <w:marRight w:val="0"/>
      <w:marTop w:val="0"/>
      <w:marBottom w:val="0"/>
      <w:divBdr>
        <w:top w:val="none" w:sz="0" w:space="0" w:color="auto"/>
        <w:left w:val="none" w:sz="0" w:space="0" w:color="auto"/>
        <w:bottom w:val="none" w:sz="0" w:space="0" w:color="auto"/>
        <w:right w:val="none" w:sz="0" w:space="0" w:color="auto"/>
      </w:divBdr>
    </w:div>
    <w:div w:id="1418669970">
      <w:bodyDiv w:val="1"/>
      <w:marLeft w:val="0"/>
      <w:marRight w:val="0"/>
      <w:marTop w:val="0"/>
      <w:marBottom w:val="0"/>
      <w:divBdr>
        <w:top w:val="none" w:sz="0" w:space="0" w:color="auto"/>
        <w:left w:val="none" w:sz="0" w:space="0" w:color="auto"/>
        <w:bottom w:val="none" w:sz="0" w:space="0" w:color="auto"/>
        <w:right w:val="none" w:sz="0" w:space="0" w:color="auto"/>
      </w:divBdr>
    </w:div>
    <w:div w:id="1556431080">
      <w:bodyDiv w:val="1"/>
      <w:marLeft w:val="0"/>
      <w:marRight w:val="0"/>
      <w:marTop w:val="0"/>
      <w:marBottom w:val="0"/>
      <w:divBdr>
        <w:top w:val="none" w:sz="0" w:space="0" w:color="auto"/>
        <w:left w:val="none" w:sz="0" w:space="0" w:color="auto"/>
        <w:bottom w:val="none" w:sz="0" w:space="0" w:color="auto"/>
        <w:right w:val="none" w:sz="0" w:space="0" w:color="auto"/>
      </w:divBdr>
    </w:div>
    <w:div w:id="1632514457">
      <w:bodyDiv w:val="1"/>
      <w:marLeft w:val="0"/>
      <w:marRight w:val="0"/>
      <w:marTop w:val="0"/>
      <w:marBottom w:val="0"/>
      <w:divBdr>
        <w:top w:val="none" w:sz="0" w:space="0" w:color="auto"/>
        <w:left w:val="none" w:sz="0" w:space="0" w:color="auto"/>
        <w:bottom w:val="none" w:sz="0" w:space="0" w:color="auto"/>
        <w:right w:val="none" w:sz="0" w:space="0" w:color="auto"/>
      </w:divBdr>
    </w:div>
    <w:div w:id="174417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3390/ijerph182413130" TargetMode="External"/><Relationship Id="rId18" Type="http://schemas.openxmlformats.org/officeDocument/2006/relationships/hyperlink" Target="https://www.ncbi.nlm.nih.gov/books/NBK615325/" TargetMode="External"/><Relationship Id="rId26" Type="http://schemas.openxmlformats.org/officeDocument/2006/relationships/hyperlink" Target="https://www.nutritics.com/en/sectors/sports-nutrition/"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nutritionalassessment.org/errors/" TargetMode="External"/><Relationship Id="rId34" Type="http://schemas.openxmlformats.org/officeDocument/2006/relationships/image" Target="media/image6.png"/><Relationship Id="rId7" Type="http://schemas.openxmlformats.org/officeDocument/2006/relationships/image" Target="media/image2.png"/><Relationship Id="rId12" Type="http://schemas.openxmlformats.org/officeDocument/2006/relationships/hyperlink" Target="https://doi.org/10.1016/j.nutos.2023.03.007" TargetMode="External"/><Relationship Id="rId17" Type="http://schemas.openxmlformats.org/officeDocument/2006/relationships/hyperlink" Target="https://doi.org/10.3390/foods13193149" TargetMode="External"/><Relationship Id="rId25" Type="http://schemas.openxmlformats.org/officeDocument/2006/relationships/hyperlink" Target="https://ods.od.nih.gov/factsheets/Calcium-HealthProfessional/" TargetMode="External"/><Relationship Id="rId33" Type="http://schemas.openxmlformats.org/officeDocument/2006/relationships/image" Target="media/image5.png"/><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07/s00217-024-04482-3" TargetMode="External"/><Relationship Id="rId20" Type="http://schemas.openxmlformats.org/officeDocument/2006/relationships/hyperlink" Target="https://www.ncbi.nlm.nih.gov/books/NBK580496/" TargetMode="External"/><Relationship Id="rId29" Type="http://schemas.openxmlformats.org/officeDocument/2006/relationships/hyperlink" Target="https://doi.org/10.3390/nu1702036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016/j.copbio.2021.02.007" TargetMode="External"/><Relationship Id="rId24" Type="http://schemas.openxmlformats.org/officeDocument/2006/relationships/hyperlink" Target="https://wellbeing.jhu.edu/blog/2022/12/09/timing-is-everything-why-eating-on-a-regular-schedule-supports-overall-well-being/"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cdc.gov/bmi/adult-calculator/bmi-categories.html" TargetMode="External"/><Relationship Id="rId23" Type="http://schemas.openxmlformats.org/officeDocument/2006/relationships/hyperlink" Target="https://doi.org/10.1016/j.jacl.2021.09.049" TargetMode="External"/><Relationship Id="rId28" Type="http://schemas.openxmlformats.org/officeDocument/2006/relationships/hyperlink" Target="https://www.mayoclinichealthsystem.org/hometown-health/speaking-of-health/assessing-protein-needs-for-performance" TargetMode="External"/><Relationship Id="rId36" Type="http://schemas.openxmlformats.org/officeDocument/2006/relationships/image" Target="media/image8.png"/><Relationship Id="rId10" Type="http://schemas.openxmlformats.org/officeDocument/2006/relationships/hyperlink" Target="https://doi.org/10.3389/fnut.2023.1331854" TargetMode="External"/><Relationship Id="rId19" Type="http://schemas.openxmlformats.org/officeDocument/2006/relationships/hyperlink" Target="https://doi.org/10.1007/s00394-025-03856-x" TargetMode="External"/><Relationship Id="rId31" Type="http://schemas.openxmlformats.org/officeDocument/2006/relationships/hyperlink" Target="https://doi.org/10.3390/ijerph21060757" TargetMode="External"/><Relationship Id="rId4" Type="http://schemas.openxmlformats.org/officeDocument/2006/relationships/footnotes" Target="footnotes.xml"/><Relationship Id="rId9" Type="http://schemas.openxmlformats.org/officeDocument/2006/relationships/hyperlink" Target="https://www.associationfornutrition.org/latest-news/updated-afn-standards-of-ethics-conduct-performance-released" TargetMode="External"/><Relationship Id="rId14" Type="http://schemas.openxmlformats.org/officeDocument/2006/relationships/hyperlink" Target="https://www.nutrition.org.uk/media/nmmewdug/nutrition-requirements.pdf" TargetMode="External"/><Relationship Id="rId22" Type="http://schemas.openxmlformats.org/officeDocument/2006/relationships/hyperlink" Target="https://doi.org/10.3389/fnut.2021.772573" TargetMode="External"/><Relationship Id="rId27" Type="http://schemas.openxmlformats.org/officeDocument/2006/relationships/hyperlink" Target="https://www.health.harvard.edu/blog/how-much-protein-do-you-need-every-day-201506188096" TargetMode="External"/><Relationship Id="rId30" Type="http://schemas.openxmlformats.org/officeDocument/2006/relationships/hyperlink" Target="https://www.sciencedirect.com/topics/medicine-and-dentistry/food-frequency-questionnaire" TargetMode="External"/><Relationship Id="rId35"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3149</Words>
  <Characters>17951</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2026-01-22T10:24:00Z</dcterms:created>
  <dcterms:modified xsi:type="dcterms:W3CDTF">2026-01-22T10:24:00Z</dcterms:modified>
</cp:coreProperties>
</file>