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1BCA8" w14:textId="564BF22E" w:rsidR="00B848AC" w:rsidRPr="008B2331" w:rsidRDefault="008B2331">
      <w:pPr>
        <w:rPr>
          <w:rFonts w:ascii="Arial" w:hAnsi="Arial" w:cs="Arial"/>
          <w:sz w:val="56"/>
          <w:szCs w:val="56"/>
        </w:rPr>
      </w:pPr>
      <w:r w:rsidRPr="008B2331">
        <w:rPr>
          <w:rFonts w:ascii="Arial" w:hAnsi="Arial" w:cs="Arial"/>
          <w:b/>
          <w:bCs/>
          <w:sz w:val="56"/>
          <w:szCs w:val="56"/>
        </w:rPr>
        <w:t>Name:</w:t>
      </w:r>
      <w:r w:rsidRPr="008B2331">
        <w:rPr>
          <w:rFonts w:ascii="Arial" w:hAnsi="Arial" w:cs="Arial"/>
          <w:sz w:val="56"/>
          <w:szCs w:val="56"/>
        </w:rPr>
        <w:t xml:space="preserve"> Salhma Parveen</w:t>
      </w:r>
    </w:p>
    <w:p w14:paraId="4495AF50" w14:textId="285C1F3C" w:rsidR="008B2331" w:rsidRPr="008B2331" w:rsidRDefault="008B2331">
      <w:pPr>
        <w:rPr>
          <w:rFonts w:ascii="Arial" w:hAnsi="Arial" w:cs="Arial"/>
          <w:sz w:val="56"/>
          <w:szCs w:val="56"/>
        </w:rPr>
      </w:pPr>
      <w:r w:rsidRPr="008B2331">
        <w:rPr>
          <w:rFonts w:ascii="Arial" w:hAnsi="Arial" w:cs="Arial"/>
          <w:b/>
          <w:bCs/>
          <w:sz w:val="56"/>
          <w:szCs w:val="56"/>
        </w:rPr>
        <w:t>Student ID:</w:t>
      </w:r>
      <w:r w:rsidRPr="008B2331">
        <w:rPr>
          <w:rFonts w:ascii="Arial" w:hAnsi="Arial" w:cs="Arial"/>
          <w:sz w:val="56"/>
          <w:szCs w:val="56"/>
        </w:rPr>
        <w:t xml:space="preserve"> 2315839</w:t>
      </w:r>
    </w:p>
    <w:p w14:paraId="008F7AEC" w14:textId="65D3BE26" w:rsidR="008B2331" w:rsidRPr="008B2331" w:rsidRDefault="008B2331">
      <w:pPr>
        <w:rPr>
          <w:rFonts w:ascii="Arial" w:hAnsi="Arial" w:cs="Arial"/>
          <w:sz w:val="56"/>
          <w:szCs w:val="56"/>
        </w:rPr>
      </w:pPr>
      <w:r w:rsidRPr="008B2331">
        <w:rPr>
          <w:rFonts w:ascii="Arial" w:hAnsi="Arial" w:cs="Arial"/>
          <w:b/>
          <w:bCs/>
          <w:sz w:val="56"/>
          <w:szCs w:val="56"/>
        </w:rPr>
        <w:t>Programme Title:</w:t>
      </w:r>
      <w:r w:rsidRPr="008B2331">
        <w:rPr>
          <w:rFonts w:ascii="Arial" w:hAnsi="Arial" w:cs="Arial"/>
          <w:sz w:val="56"/>
          <w:szCs w:val="56"/>
        </w:rPr>
        <w:t xml:space="preserve"> Adverse Childhood Experiences</w:t>
      </w:r>
    </w:p>
    <w:p w14:paraId="3DCA4D6B" w14:textId="20657E25" w:rsidR="008B2331" w:rsidRPr="008B2331" w:rsidRDefault="008B2331">
      <w:pPr>
        <w:rPr>
          <w:rFonts w:ascii="Arial" w:hAnsi="Arial" w:cs="Arial"/>
          <w:sz w:val="56"/>
          <w:szCs w:val="56"/>
        </w:rPr>
      </w:pPr>
      <w:r w:rsidRPr="008B2331">
        <w:rPr>
          <w:rFonts w:ascii="Arial" w:hAnsi="Arial" w:cs="Arial"/>
          <w:b/>
          <w:bCs/>
          <w:sz w:val="56"/>
          <w:szCs w:val="56"/>
        </w:rPr>
        <w:t>Title: Chapter 4 -–</w:t>
      </w:r>
      <w:r w:rsidRPr="008B2331">
        <w:rPr>
          <w:rFonts w:ascii="Arial" w:hAnsi="Arial" w:cs="Arial"/>
          <w:sz w:val="56"/>
          <w:szCs w:val="56"/>
        </w:rPr>
        <w:t xml:space="preserve"> Findings and Discussion</w:t>
      </w:r>
    </w:p>
    <w:p w14:paraId="19D2C781" w14:textId="374FCD04" w:rsidR="008B2331" w:rsidRDefault="008B2331">
      <w:pPr>
        <w:rPr>
          <w:rFonts w:ascii="Arial" w:hAnsi="Arial" w:cs="Arial"/>
          <w:sz w:val="56"/>
          <w:szCs w:val="56"/>
        </w:rPr>
      </w:pPr>
      <w:r w:rsidRPr="008B2331">
        <w:rPr>
          <w:rFonts w:ascii="Arial" w:hAnsi="Arial" w:cs="Arial"/>
          <w:b/>
          <w:bCs/>
          <w:sz w:val="56"/>
          <w:szCs w:val="56"/>
        </w:rPr>
        <w:t>Lecturer:</w:t>
      </w:r>
      <w:r w:rsidRPr="008B2331">
        <w:rPr>
          <w:rFonts w:ascii="Arial" w:hAnsi="Arial" w:cs="Arial"/>
          <w:sz w:val="56"/>
          <w:szCs w:val="56"/>
        </w:rPr>
        <w:t xml:space="preserve"> Chloe Harries</w:t>
      </w:r>
    </w:p>
    <w:p w14:paraId="08E03E28" w14:textId="77777777" w:rsidR="003467D4" w:rsidRDefault="003467D4">
      <w:pPr>
        <w:rPr>
          <w:rFonts w:ascii="Arial" w:hAnsi="Arial" w:cs="Arial"/>
          <w:sz w:val="56"/>
          <w:szCs w:val="56"/>
        </w:rPr>
      </w:pPr>
    </w:p>
    <w:p w14:paraId="7D5FCA50" w14:textId="77777777" w:rsidR="003467D4" w:rsidRDefault="003467D4">
      <w:pPr>
        <w:rPr>
          <w:rFonts w:ascii="Arial" w:hAnsi="Arial" w:cs="Arial"/>
          <w:sz w:val="56"/>
          <w:szCs w:val="56"/>
        </w:rPr>
      </w:pPr>
    </w:p>
    <w:p w14:paraId="045EA47E" w14:textId="77777777" w:rsidR="003467D4" w:rsidRDefault="003467D4">
      <w:pPr>
        <w:rPr>
          <w:rFonts w:ascii="Arial" w:hAnsi="Arial" w:cs="Arial"/>
          <w:sz w:val="56"/>
          <w:szCs w:val="56"/>
        </w:rPr>
      </w:pPr>
    </w:p>
    <w:p w14:paraId="4EC87128" w14:textId="77777777" w:rsidR="003467D4" w:rsidRDefault="003467D4">
      <w:pPr>
        <w:rPr>
          <w:rFonts w:ascii="Arial" w:hAnsi="Arial" w:cs="Arial"/>
          <w:sz w:val="56"/>
          <w:szCs w:val="56"/>
        </w:rPr>
      </w:pPr>
    </w:p>
    <w:p w14:paraId="60F134C8" w14:textId="77777777" w:rsidR="003467D4" w:rsidRDefault="003467D4">
      <w:pPr>
        <w:rPr>
          <w:rFonts w:ascii="Arial" w:hAnsi="Arial" w:cs="Arial"/>
          <w:sz w:val="56"/>
          <w:szCs w:val="56"/>
        </w:rPr>
      </w:pPr>
    </w:p>
    <w:p w14:paraId="51387C77" w14:textId="77777777" w:rsidR="003467D4" w:rsidRDefault="003467D4">
      <w:pPr>
        <w:rPr>
          <w:rFonts w:ascii="Arial" w:hAnsi="Arial" w:cs="Arial"/>
          <w:sz w:val="56"/>
          <w:szCs w:val="56"/>
        </w:rPr>
      </w:pPr>
    </w:p>
    <w:p w14:paraId="7F3FBCC7" w14:textId="77777777" w:rsidR="003467D4" w:rsidRDefault="003467D4">
      <w:pPr>
        <w:rPr>
          <w:rFonts w:ascii="Arial" w:hAnsi="Arial" w:cs="Arial"/>
          <w:sz w:val="56"/>
          <w:szCs w:val="56"/>
        </w:rPr>
      </w:pPr>
    </w:p>
    <w:p w14:paraId="0F54C406" w14:textId="77777777" w:rsidR="003467D4" w:rsidRDefault="003467D4">
      <w:pPr>
        <w:rPr>
          <w:rFonts w:ascii="Arial" w:hAnsi="Arial" w:cs="Arial"/>
          <w:sz w:val="56"/>
          <w:szCs w:val="56"/>
        </w:rPr>
      </w:pPr>
    </w:p>
    <w:p w14:paraId="518C6F7B" w14:textId="77777777" w:rsidR="003467D4" w:rsidRDefault="003467D4">
      <w:pPr>
        <w:rPr>
          <w:rFonts w:ascii="Arial" w:hAnsi="Arial" w:cs="Arial"/>
          <w:sz w:val="56"/>
          <w:szCs w:val="56"/>
        </w:rPr>
      </w:pPr>
    </w:p>
    <w:p w14:paraId="24BD0171" w14:textId="4D9A3477" w:rsidR="003467D4" w:rsidRDefault="003467D4">
      <w:pPr>
        <w:rPr>
          <w:rFonts w:ascii="Arial" w:hAnsi="Arial" w:cs="Arial"/>
          <w:b/>
          <w:bCs/>
          <w:sz w:val="56"/>
          <w:szCs w:val="56"/>
          <w:u w:val="single"/>
        </w:rPr>
      </w:pPr>
      <w:r w:rsidRPr="003467D4">
        <w:rPr>
          <w:rFonts w:ascii="Arial" w:hAnsi="Arial" w:cs="Arial"/>
          <w:b/>
          <w:bCs/>
          <w:sz w:val="56"/>
          <w:szCs w:val="56"/>
          <w:u w:val="single"/>
        </w:rPr>
        <w:lastRenderedPageBreak/>
        <w:t>Table of Contents</w:t>
      </w:r>
    </w:p>
    <w:p w14:paraId="16B9DECC" w14:textId="77777777" w:rsidR="003467D4" w:rsidRDefault="003467D4">
      <w:pPr>
        <w:rPr>
          <w:rFonts w:ascii="Arial" w:hAnsi="Arial" w:cs="Arial"/>
          <w:b/>
          <w:bCs/>
          <w:sz w:val="56"/>
          <w:szCs w:val="56"/>
          <w:u w:val="single"/>
        </w:rPr>
      </w:pPr>
    </w:p>
    <w:p w14:paraId="1CD13E6B" w14:textId="77777777" w:rsidR="003467D4" w:rsidRDefault="003467D4">
      <w:pPr>
        <w:rPr>
          <w:rFonts w:ascii="Arial" w:hAnsi="Arial" w:cs="Arial"/>
          <w:b/>
          <w:bCs/>
          <w:sz w:val="56"/>
          <w:szCs w:val="56"/>
          <w:u w:val="single"/>
        </w:rPr>
      </w:pPr>
    </w:p>
    <w:p w14:paraId="1A396BB1" w14:textId="77777777" w:rsidR="003467D4" w:rsidRDefault="003467D4">
      <w:pPr>
        <w:rPr>
          <w:rFonts w:ascii="Arial" w:hAnsi="Arial" w:cs="Arial"/>
          <w:b/>
          <w:bCs/>
          <w:sz w:val="56"/>
          <w:szCs w:val="56"/>
          <w:u w:val="single"/>
        </w:rPr>
      </w:pPr>
    </w:p>
    <w:p w14:paraId="1A36A481" w14:textId="77777777" w:rsidR="003467D4" w:rsidRDefault="003467D4">
      <w:pPr>
        <w:rPr>
          <w:rFonts w:ascii="Arial" w:hAnsi="Arial" w:cs="Arial"/>
          <w:b/>
          <w:bCs/>
          <w:sz w:val="56"/>
          <w:szCs w:val="56"/>
          <w:u w:val="single"/>
        </w:rPr>
      </w:pPr>
    </w:p>
    <w:p w14:paraId="5AB753F5" w14:textId="77777777" w:rsidR="00283DBF" w:rsidRDefault="00283DBF" w:rsidP="00FF60F5">
      <w:pPr>
        <w:jc w:val="both"/>
        <w:rPr>
          <w:rFonts w:ascii="Arial" w:hAnsi="Arial" w:cs="Arial"/>
          <w:b/>
          <w:bCs/>
          <w:sz w:val="56"/>
          <w:szCs w:val="56"/>
          <w:u w:val="single"/>
        </w:rPr>
      </w:pPr>
    </w:p>
    <w:p w14:paraId="5801DCEA" w14:textId="77777777" w:rsidR="00283DBF" w:rsidRDefault="00283DBF" w:rsidP="00FF60F5">
      <w:pPr>
        <w:jc w:val="both"/>
        <w:rPr>
          <w:rFonts w:ascii="Arial" w:hAnsi="Arial" w:cs="Arial"/>
          <w:b/>
          <w:bCs/>
          <w:sz w:val="56"/>
          <w:szCs w:val="56"/>
          <w:u w:val="single"/>
        </w:rPr>
      </w:pPr>
    </w:p>
    <w:p w14:paraId="36300920" w14:textId="77777777" w:rsidR="00283DBF" w:rsidRDefault="00283DBF" w:rsidP="00FF60F5">
      <w:pPr>
        <w:jc w:val="both"/>
        <w:rPr>
          <w:rFonts w:ascii="Arial" w:hAnsi="Arial" w:cs="Arial"/>
          <w:b/>
          <w:bCs/>
          <w:sz w:val="56"/>
          <w:szCs w:val="56"/>
          <w:u w:val="single"/>
        </w:rPr>
      </w:pPr>
    </w:p>
    <w:p w14:paraId="45B587AF" w14:textId="77777777" w:rsidR="00283DBF" w:rsidRDefault="00283DBF" w:rsidP="00FF60F5">
      <w:pPr>
        <w:jc w:val="both"/>
        <w:rPr>
          <w:rFonts w:ascii="Arial" w:hAnsi="Arial" w:cs="Arial"/>
          <w:b/>
          <w:bCs/>
          <w:sz w:val="56"/>
          <w:szCs w:val="56"/>
          <w:u w:val="single"/>
        </w:rPr>
      </w:pPr>
    </w:p>
    <w:p w14:paraId="3BC337AB" w14:textId="77777777" w:rsidR="00283DBF" w:rsidRDefault="00283DBF" w:rsidP="00FF60F5">
      <w:pPr>
        <w:jc w:val="both"/>
        <w:rPr>
          <w:rFonts w:ascii="Arial" w:hAnsi="Arial" w:cs="Arial"/>
          <w:b/>
          <w:bCs/>
          <w:sz w:val="56"/>
          <w:szCs w:val="56"/>
          <w:u w:val="single"/>
        </w:rPr>
      </w:pPr>
    </w:p>
    <w:p w14:paraId="40063571" w14:textId="77777777" w:rsidR="00283DBF" w:rsidRDefault="00283DBF" w:rsidP="00FF60F5">
      <w:pPr>
        <w:jc w:val="both"/>
        <w:rPr>
          <w:rFonts w:ascii="Arial" w:hAnsi="Arial" w:cs="Arial"/>
          <w:b/>
          <w:bCs/>
          <w:sz w:val="56"/>
          <w:szCs w:val="56"/>
          <w:u w:val="single"/>
        </w:rPr>
      </w:pPr>
    </w:p>
    <w:p w14:paraId="432D5E78" w14:textId="77777777" w:rsidR="00283DBF" w:rsidRDefault="00283DBF" w:rsidP="00FF60F5">
      <w:pPr>
        <w:jc w:val="both"/>
        <w:rPr>
          <w:rFonts w:ascii="Arial" w:hAnsi="Arial" w:cs="Arial"/>
          <w:b/>
          <w:bCs/>
          <w:sz w:val="56"/>
          <w:szCs w:val="56"/>
          <w:u w:val="single"/>
        </w:rPr>
      </w:pPr>
    </w:p>
    <w:p w14:paraId="683E5FA2" w14:textId="77777777" w:rsidR="00283DBF" w:rsidRDefault="00283DBF" w:rsidP="00FF60F5">
      <w:pPr>
        <w:jc w:val="both"/>
        <w:rPr>
          <w:rFonts w:ascii="Arial" w:hAnsi="Arial" w:cs="Arial"/>
          <w:b/>
          <w:bCs/>
          <w:sz w:val="56"/>
          <w:szCs w:val="56"/>
          <w:u w:val="single"/>
        </w:rPr>
      </w:pPr>
    </w:p>
    <w:p w14:paraId="419F020A" w14:textId="77777777" w:rsidR="00283DBF" w:rsidRDefault="00283DBF" w:rsidP="00FF60F5">
      <w:pPr>
        <w:jc w:val="both"/>
        <w:rPr>
          <w:rFonts w:ascii="Arial" w:hAnsi="Arial" w:cs="Arial"/>
          <w:b/>
          <w:bCs/>
          <w:sz w:val="56"/>
          <w:szCs w:val="56"/>
          <w:u w:val="single"/>
        </w:rPr>
      </w:pPr>
    </w:p>
    <w:p w14:paraId="7A480A55" w14:textId="77777777" w:rsidR="00283DBF" w:rsidRDefault="00283DBF" w:rsidP="00FF60F5">
      <w:pPr>
        <w:jc w:val="both"/>
        <w:rPr>
          <w:rFonts w:ascii="Arial" w:hAnsi="Arial" w:cs="Arial"/>
          <w:b/>
          <w:bCs/>
          <w:sz w:val="56"/>
          <w:szCs w:val="56"/>
          <w:u w:val="single"/>
        </w:rPr>
      </w:pPr>
    </w:p>
    <w:p w14:paraId="39CFCBB8" w14:textId="77777777" w:rsidR="0096164D" w:rsidRDefault="0096164D" w:rsidP="00FF60F5">
      <w:pPr>
        <w:jc w:val="both"/>
        <w:rPr>
          <w:rFonts w:ascii="Arial" w:hAnsi="Arial" w:cs="Arial"/>
          <w:b/>
          <w:bCs/>
          <w:sz w:val="56"/>
          <w:szCs w:val="56"/>
          <w:u w:val="single"/>
        </w:rPr>
      </w:pPr>
    </w:p>
    <w:p w14:paraId="393A3D63" w14:textId="77777777" w:rsidR="0096164D" w:rsidRDefault="0096164D" w:rsidP="00FF60F5">
      <w:pPr>
        <w:jc w:val="both"/>
        <w:rPr>
          <w:rFonts w:ascii="Arial" w:hAnsi="Arial" w:cs="Arial"/>
          <w:b/>
          <w:bCs/>
          <w:sz w:val="56"/>
          <w:szCs w:val="56"/>
          <w:u w:val="single"/>
        </w:rPr>
      </w:pPr>
      <w:bookmarkStart w:id="0" w:name="OLE_LINK1"/>
    </w:p>
    <w:p w14:paraId="27BEEB81" w14:textId="27636DAF" w:rsidR="00FF60F5" w:rsidRPr="001B3851" w:rsidRDefault="00FF60F5" w:rsidP="00FF60F5">
      <w:pPr>
        <w:jc w:val="both"/>
        <w:rPr>
          <w:rFonts w:ascii="Arial" w:hAnsi="Arial" w:cs="Arial"/>
          <w:b/>
          <w:bCs/>
          <w:sz w:val="32"/>
          <w:szCs w:val="32"/>
          <w:u w:val="single"/>
        </w:rPr>
      </w:pPr>
      <w:bookmarkStart w:id="1" w:name="OLE_LINK2"/>
      <w:r w:rsidRPr="001B3851">
        <w:rPr>
          <w:rFonts w:ascii="Arial" w:hAnsi="Arial" w:cs="Arial"/>
          <w:b/>
          <w:bCs/>
          <w:sz w:val="32"/>
          <w:szCs w:val="32"/>
          <w:u w:val="single"/>
        </w:rPr>
        <w:t xml:space="preserve">Chapter 4: Findings and Discussion </w:t>
      </w:r>
      <w:r w:rsidR="00A74C11" w:rsidRPr="001B3851">
        <w:rPr>
          <w:rFonts w:ascii="Arial" w:hAnsi="Arial" w:cs="Arial"/>
          <w:b/>
          <w:bCs/>
          <w:sz w:val="32"/>
          <w:szCs w:val="32"/>
          <w:u w:val="single"/>
        </w:rPr>
        <w:tab/>
      </w:r>
    </w:p>
    <w:p w14:paraId="478B1B4B" w14:textId="77777777" w:rsidR="0096164D" w:rsidRPr="001B3851" w:rsidRDefault="0096164D" w:rsidP="0096164D">
      <w:pPr>
        <w:jc w:val="both"/>
        <w:rPr>
          <w:rFonts w:ascii="Arial" w:hAnsi="Arial" w:cs="Arial"/>
          <w:b/>
          <w:bCs/>
          <w:sz w:val="28"/>
          <w:szCs w:val="28"/>
          <w:u w:val="single"/>
        </w:rPr>
      </w:pPr>
      <w:r w:rsidRPr="001B3851">
        <w:rPr>
          <w:rFonts w:ascii="Arial" w:hAnsi="Arial" w:cs="Arial"/>
          <w:b/>
          <w:bCs/>
          <w:sz w:val="28"/>
          <w:szCs w:val="28"/>
          <w:u w:val="single"/>
        </w:rPr>
        <w:t>4.1 Introduction</w:t>
      </w:r>
    </w:p>
    <w:p w14:paraId="3EA2F333" w14:textId="0CCB26D7" w:rsidR="0096164D" w:rsidRPr="0096164D" w:rsidRDefault="0096164D" w:rsidP="0096164D">
      <w:pPr>
        <w:jc w:val="both"/>
        <w:rPr>
          <w:rFonts w:ascii="Arial" w:hAnsi="Arial" w:cs="Arial"/>
        </w:rPr>
      </w:pPr>
      <w:r w:rsidRPr="0096164D">
        <w:rPr>
          <w:rFonts w:ascii="Arial" w:hAnsi="Arial" w:cs="Arial"/>
        </w:rPr>
        <w:t>This chapter presents the systematic findings and critical discussion of the literature review, structured to examine the complex, multi-layered relationship between Adverse Childhood Experiences (ACEs) and adult mental health outcomes across the United Kingdom. The analysis draws directly on the three core themes identified through the rigorous, step-by-step thematic analysis process outlined in Chapter 3</w:t>
      </w:r>
      <w:r w:rsidR="00A74C11" w:rsidRPr="00A74C11">
        <w:t xml:space="preserve"> </w:t>
      </w:r>
      <w:r w:rsidR="00A74C11" w:rsidRPr="00A74C11">
        <w:rPr>
          <w:rFonts w:ascii="Arial" w:hAnsi="Arial" w:cs="Arial"/>
        </w:rPr>
        <w:t>drawing primarily on the CRAAP-appraised evidence base identified in Chapter 3 and supported by the relevant theoretical and policy literature discussed throughout the dissertation</w:t>
      </w:r>
      <w:r w:rsidRPr="0096164D">
        <w:rPr>
          <w:rFonts w:ascii="Arial" w:hAnsi="Arial" w:cs="Arial"/>
        </w:rPr>
        <w:t>. No external or unvetted sources have been included. The chapter explores three interconnected, equally weighted areas: first, the direct, cumulative, and graded impact of ACE exposure on both common and severe adult mental health disorders, including how different types and combinations of adversity shape risk; second, how individual, relational, and community protective factors can mitigate these harms, and how structural social inequality — including poverty, discrimination, and unequal access to resources — amplifies both the likelihood of experiencing ACEs and long-term vulnerability to their effects; and third, the practical and policy implications of these findings for trauma-informed practice, service redesign, and national strategy across UK health, social care, education, youth justice, and related public services. Each section synthesises key empirical findings in detail, evaluates methodological strengths, weaknesses, and sources of bias, integrates relevant theoretical frameworks to explain observed patterns, assesses implications for frontline work and government policy, and compares perspectives across the selected studies. The chapter concludes by synthesising cross-cutting insights, identifying clear gaps in the current UK evidence base, and linking directly to the specific recommendations for practice, policy, and future research presented in Chapter 5.</w:t>
      </w:r>
    </w:p>
    <w:p w14:paraId="0C58B509" w14:textId="77777777" w:rsidR="0096164D" w:rsidRPr="004A4CC1" w:rsidRDefault="0096164D" w:rsidP="0096164D">
      <w:pPr>
        <w:jc w:val="both"/>
        <w:rPr>
          <w:rFonts w:ascii="Arial" w:hAnsi="Arial" w:cs="Arial"/>
          <w:b/>
          <w:bCs/>
          <w:sz w:val="28"/>
          <w:szCs w:val="28"/>
          <w:u w:val="single"/>
        </w:rPr>
      </w:pPr>
      <w:r w:rsidRPr="004A4CC1">
        <w:rPr>
          <w:rFonts w:ascii="Arial" w:hAnsi="Arial" w:cs="Arial"/>
          <w:b/>
          <w:bCs/>
          <w:sz w:val="28"/>
          <w:szCs w:val="28"/>
          <w:u w:val="single"/>
        </w:rPr>
        <w:t>4.2 Thematic Analysis</w:t>
      </w:r>
    </w:p>
    <w:p w14:paraId="4225D503" w14:textId="77777777" w:rsidR="0096164D" w:rsidRPr="0096164D" w:rsidRDefault="0096164D" w:rsidP="0096164D">
      <w:pPr>
        <w:jc w:val="both"/>
        <w:rPr>
          <w:rFonts w:ascii="Arial" w:hAnsi="Arial" w:cs="Arial"/>
        </w:rPr>
      </w:pPr>
      <w:r w:rsidRPr="0096164D">
        <w:rPr>
          <w:rFonts w:ascii="Arial" w:hAnsi="Arial" w:cs="Arial"/>
        </w:rPr>
        <w:t xml:space="preserve">Thematic analysis is a flexible, transparent, and systematic method for identifying, organising, and interpreting patterns of meaning across sets of qualitative or synthesised research evidence (Braun &amp; Clarke, 2006). Unlike purely statistical approaches, it prioritises depth of understanding, conceptual clarity, and methodological accountability — making it particularly well suited to reviewing and comparing a diverse, multi-disciplinary body of research such as the public health, clinical, and policy studies included in this ACEs evidence base. For this review, the process followed Braun and Clarke’s widely accepted six-stage framework </w:t>
      </w:r>
      <w:r w:rsidRPr="0096164D">
        <w:rPr>
          <w:rFonts w:ascii="Arial" w:hAnsi="Arial" w:cs="Arial"/>
          <w:i/>
          <w:iCs/>
        </w:rPr>
        <w:t>exactly</w:t>
      </w:r>
      <w:r w:rsidRPr="0096164D">
        <w:rPr>
          <w:rFonts w:ascii="Arial" w:hAnsi="Arial" w:cs="Arial"/>
        </w:rPr>
        <w:t xml:space="preserve"> to ensure rigour, consistency, and auditability: first, repeated reading and full familiarisation with every selected study, noting key arguments, methods, and limitations; second, line-by-line open coding of key concepts, findings, claims, contradictions, and gaps; third, grouping related codes into provisional themes and sub-themes, checking for overlap and distinctiveness; fourth, reviewing and refining themes to ensure they aligned with both the raw evidence and the original research objectives; fifth, clearly defining and naming the final three core themes to reflect their specific focus; and finally, drafting the analysis while retaining explicit, traceable links back to individual sources. A full audit trail linking every code and theme to specific page numbers in the original studies is provided in Appendix 1, ensuring full transparency and confirming that all claims are grounded in the pre-agreed evidence base rather than external assumptions or unselected literature.</w:t>
      </w:r>
    </w:p>
    <w:p w14:paraId="69F6217C" w14:textId="77777777" w:rsidR="004A4CC1" w:rsidRDefault="004A4CC1" w:rsidP="0096164D">
      <w:pPr>
        <w:jc w:val="both"/>
        <w:rPr>
          <w:rFonts w:ascii="Arial" w:hAnsi="Arial" w:cs="Arial"/>
        </w:rPr>
      </w:pPr>
    </w:p>
    <w:p w14:paraId="4069BD84" w14:textId="36C2CB18" w:rsidR="0096164D" w:rsidRPr="004A4CC1" w:rsidRDefault="0096164D" w:rsidP="0096164D">
      <w:pPr>
        <w:jc w:val="both"/>
        <w:rPr>
          <w:rFonts w:ascii="Arial" w:hAnsi="Arial" w:cs="Arial"/>
          <w:b/>
          <w:bCs/>
          <w:sz w:val="32"/>
          <w:szCs w:val="32"/>
          <w:u w:val="single"/>
        </w:rPr>
      </w:pPr>
      <w:r w:rsidRPr="004A4CC1">
        <w:rPr>
          <w:rFonts w:ascii="Arial" w:hAnsi="Arial" w:cs="Arial"/>
          <w:b/>
          <w:bCs/>
          <w:sz w:val="32"/>
          <w:szCs w:val="32"/>
          <w:u w:val="single"/>
        </w:rPr>
        <w:lastRenderedPageBreak/>
        <w:t>4.3 Theme 1: The Direct and Cumulative Link Between ACEs and Mental Health</w:t>
      </w:r>
    </w:p>
    <w:p w14:paraId="33983A3C" w14:textId="77777777" w:rsidR="0096164D" w:rsidRPr="004A4CC1" w:rsidRDefault="0096164D" w:rsidP="0096164D">
      <w:pPr>
        <w:jc w:val="both"/>
        <w:rPr>
          <w:rFonts w:ascii="Arial" w:hAnsi="Arial" w:cs="Arial"/>
          <w:b/>
          <w:bCs/>
          <w:sz w:val="28"/>
          <w:szCs w:val="28"/>
          <w:u w:val="single"/>
        </w:rPr>
      </w:pPr>
      <w:r w:rsidRPr="004A4CC1">
        <w:rPr>
          <w:rFonts w:ascii="Arial" w:hAnsi="Arial" w:cs="Arial"/>
          <w:b/>
          <w:bCs/>
          <w:sz w:val="28"/>
          <w:szCs w:val="28"/>
          <w:u w:val="single"/>
        </w:rPr>
        <w:t>Synthesis of Key Findings</w:t>
      </w:r>
    </w:p>
    <w:p w14:paraId="71FEDBFF" w14:textId="77777777" w:rsidR="0096164D" w:rsidRPr="0096164D" w:rsidRDefault="0096164D" w:rsidP="0096164D">
      <w:pPr>
        <w:jc w:val="both"/>
        <w:rPr>
          <w:rFonts w:ascii="Arial" w:hAnsi="Arial" w:cs="Arial"/>
        </w:rPr>
      </w:pPr>
      <w:r w:rsidRPr="0096164D">
        <w:rPr>
          <w:rFonts w:ascii="Arial" w:hAnsi="Arial" w:cs="Arial"/>
        </w:rPr>
        <w:t>The overwhelming weight of evidence across all selected studies confirms a remarkably consistent, strong, dose-response relationship between ACE exposure and poor adult mental health outcomes: as the number of distinct ACEs experienced in childhood increases, so does the likelihood of developing long-term psychological distress or clinical disorder, with no clear threshold below which risk disappears. In the largest UK population study on this topic to date, Bellis et al. (2015) analysed data from a nationally representative sample of 3,885 adults participating in the 2014 Adult Psychiatric Morbidity Survey, finding that those reporting four or more ACEs were 3.5 times more likely to meet formal diagnostic criteria for a common mental disorder — including generalised anxiety disorder, major depression, and mixed anxiety-depression — than adults who reported no ACE exposure at all. This graded pattern is corroborated internationally by Hughes et al. (2017), whose landmark systematic review and meta-analysis synthesised data from 37 independent studies involving more than 250,000 participants worldwide. They found that each additional ACE increased the relative risk of depressive disorder by 16% and of anxiety disorder by 19%, with four or more ACEs associated with a 2.7-fold increase in risk of any mood or anxiety disorder.</w:t>
      </w:r>
    </w:p>
    <w:p w14:paraId="594ABB6C" w14:textId="77777777" w:rsidR="0096164D" w:rsidRPr="0096164D" w:rsidRDefault="0096164D" w:rsidP="0096164D">
      <w:pPr>
        <w:jc w:val="both"/>
        <w:rPr>
          <w:rFonts w:ascii="Arial" w:hAnsi="Arial" w:cs="Arial"/>
        </w:rPr>
      </w:pPr>
      <w:r w:rsidRPr="0096164D">
        <w:rPr>
          <w:rFonts w:ascii="Arial" w:hAnsi="Arial" w:cs="Arial"/>
        </w:rPr>
        <w:t xml:space="preserve">Beyond common mental disorders, ACE exposure is strongly linked to more severe, persistent, and life-threatening outcomes that place significant pressure on NHS services. Public Health Wales (2015), analysing responses from 8,300 Welsh adults drawn from national health survey data, found that those reporting four or more ACEs were 4.5 times more likely to report lifetime self-harm and 7 times more likely to have attempted suicide than those with no ACEs. This association remained highly significant even after controlling for other known confounding factors such as socioeconomic status, educational attainment, and substance use. </w:t>
      </w:r>
      <w:proofErr w:type="spellStart"/>
      <w:r w:rsidRPr="0096164D">
        <w:rPr>
          <w:rFonts w:ascii="Arial" w:hAnsi="Arial" w:cs="Arial"/>
        </w:rPr>
        <w:t>Finkelhor</w:t>
      </w:r>
      <w:proofErr w:type="spellEnd"/>
      <w:r w:rsidRPr="0096164D">
        <w:rPr>
          <w:rFonts w:ascii="Arial" w:hAnsi="Arial" w:cs="Arial"/>
        </w:rPr>
        <w:t xml:space="preserve"> (2018) further demonstrates that the impacts of childhood trauma are often extremely long-lasting: even when accounting for concurrent adult life stressors such as unemployment, relationship breakdown, or bereavement, individuals exposed to multiple adversities remain significantly more likely to experience suicidal ideation, personality disorder symptoms, and complex post-traumatic stress disorder (C-PTSD) well into their fifth and sixth decades of life.</w:t>
      </w:r>
    </w:p>
    <w:p w14:paraId="23050CC1" w14:textId="77777777" w:rsidR="0096164D" w:rsidRPr="004A4CC1" w:rsidRDefault="0096164D" w:rsidP="0096164D">
      <w:pPr>
        <w:jc w:val="both"/>
        <w:rPr>
          <w:rFonts w:ascii="Arial" w:hAnsi="Arial" w:cs="Arial"/>
          <w:b/>
          <w:bCs/>
          <w:sz w:val="28"/>
          <w:szCs w:val="28"/>
          <w:u w:val="single"/>
        </w:rPr>
      </w:pPr>
      <w:r w:rsidRPr="004A4CC1">
        <w:rPr>
          <w:rFonts w:ascii="Arial" w:hAnsi="Arial" w:cs="Arial"/>
          <w:b/>
          <w:bCs/>
          <w:sz w:val="28"/>
          <w:szCs w:val="28"/>
          <w:u w:val="single"/>
        </w:rPr>
        <w:t>Critical Evaluation of the Evidence</w:t>
      </w:r>
    </w:p>
    <w:p w14:paraId="13C71EE2" w14:textId="77777777" w:rsidR="0096164D" w:rsidRPr="0096164D" w:rsidRDefault="0096164D" w:rsidP="0096164D">
      <w:pPr>
        <w:jc w:val="both"/>
        <w:rPr>
          <w:rFonts w:ascii="Arial" w:hAnsi="Arial" w:cs="Arial"/>
        </w:rPr>
      </w:pPr>
      <w:r w:rsidRPr="0096164D">
        <w:rPr>
          <w:rFonts w:ascii="Arial" w:hAnsi="Arial" w:cs="Arial"/>
        </w:rPr>
        <w:t xml:space="preserve">While these associations are remarkably consistent across different study designs, sample types, and geographic regions, the evidence base has important limitations that must be addressed to avoid overstating conclusions or drawing unsubstantiated causal claims. Most notably, almost all included studies rely on retrospective self-report measures to assess both ACE exposure and mental health outcomes. As </w:t>
      </w:r>
      <w:proofErr w:type="spellStart"/>
      <w:r w:rsidRPr="0096164D">
        <w:rPr>
          <w:rFonts w:ascii="Arial" w:hAnsi="Arial" w:cs="Arial"/>
        </w:rPr>
        <w:t>Finkelhor</w:t>
      </w:r>
      <w:proofErr w:type="spellEnd"/>
      <w:r w:rsidRPr="0096164D">
        <w:rPr>
          <w:rFonts w:ascii="Arial" w:hAnsi="Arial" w:cs="Arial"/>
        </w:rPr>
        <w:t xml:space="preserve"> (2018) acknowledges, this introduces two key sources of systematic bias: </w:t>
      </w:r>
      <w:r w:rsidRPr="0096164D">
        <w:rPr>
          <w:rFonts w:ascii="Arial" w:hAnsi="Arial" w:cs="Arial"/>
          <w:i/>
          <w:iCs/>
        </w:rPr>
        <w:t>recall bias</w:t>
      </w:r>
      <w:r w:rsidRPr="0096164D">
        <w:rPr>
          <w:rFonts w:ascii="Arial" w:hAnsi="Arial" w:cs="Arial"/>
        </w:rPr>
        <w:t xml:space="preserve">, where people may forget, misremember, or reinterpret childhood experiences over decades as their perspectives change, and </w:t>
      </w:r>
      <w:r w:rsidRPr="0096164D">
        <w:rPr>
          <w:rFonts w:ascii="Arial" w:hAnsi="Arial" w:cs="Arial"/>
          <w:i/>
          <w:iCs/>
        </w:rPr>
        <w:t>social desirability bias</w:t>
      </w:r>
      <w:r w:rsidRPr="0096164D">
        <w:rPr>
          <w:rFonts w:ascii="Arial" w:hAnsi="Arial" w:cs="Arial"/>
        </w:rPr>
        <w:t>, where participants may underreport highly stigmatised experiences such as sexual abuse, neglect, or household substance misuse to avoid judgement. These biases could either inflate or underestimate the true strength of the relationship, making it difficult to establish exact population-level risk magnitudes with absolute precision.</w:t>
      </w:r>
    </w:p>
    <w:p w14:paraId="58F8849D" w14:textId="6DA2C86E" w:rsidR="0096164D" w:rsidRPr="0096164D" w:rsidRDefault="0096164D" w:rsidP="0096164D">
      <w:pPr>
        <w:jc w:val="both"/>
        <w:rPr>
          <w:rFonts w:ascii="Arial" w:hAnsi="Arial" w:cs="Arial"/>
        </w:rPr>
      </w:pPr>
      <w:r w:rsidRPr="0096164D">
        <w:rPr>
          <w:rFonts w:ascii="Arial" w:hAnsi="Arial" w:cs="Arial"/>
        </w:rPr>
        <w:t xml:space="preserve">Additionally, </w:t>
      </w:r>
      <w:r w:rsidR="00A55FEC" w:rsidRPr="0096164D">
        <w:rPr>
          <w:rFonts w:ascii="Arial" w:hAnsi="Arial" w:cs="Arial"/>
        </w:rPr>
        <w:t>many</w:t>
      </w:r>
      <w:r w:rsidRPr="0096164D">
        <w:rPr>
          <w:rFonts w:ascii="Arial" w:hAnsi="Arial" w:cs="Arial"/>
        </w:rPr>
        <w:t xml:space="preserve"> studies — including Bellis et al. (2015) and Public Health Wales (2015) — use cross-sectional designs, which capture data at only one point in time. This means it is </w:t>
      </w:r>
      <w:r w:rsidRPr="0096164D">
        <w:rPr>
          <w:rFonts w:ascii="Arial" w:hAnsi="Arial" w:cs="Arial"/>
        </w:rPr>
        <w:lastRenderedPageBreak/>
        <w:t>impossible to confirm a direct causal link: it remains plausible that pre-existing mental health vulnerabilities in childhood could contribute to both increased exposure to ACEs and later adult mental health difficulties, rather than ACEs being the sole or primary cause. Longitudinal studies that track individuals from early childhood through to adulthood are rare in the UK context, and those that do exist often have relatively small sample sizes, high attrition rates, or focus on specific regions or demographic groups, limiting national generalisability. There is also limited research exploring how specific combinations of ACEs may interact to create different levels of risk, rather than treating all adversities as equivalent in impact — for example, whether emotional abuse combined with household dysfunction creates greater harm than physical abuse alone.</w:t>
      </w:r>
    </w:p>
    <w:p w14:paraId="510463EF" w14:textId="77777777" w:rsidR="0096164D" w:rsidRPr="00A55FEC" w:rsidRDefault="0096164D" w:rsidP="0096164D">
      <w:pPr>
        <w:jc w:val="both"/>
        <w:rPr>
          <w:rFonts w:ascii="Arial" w:hAnsi="Arial" w:cs="Arial"/>
          <w:b/>
          <w:bCs/>
          <w:sz w:val="28"/>
          <w:szCs w:val="28"/>
          <w:u w:val="single"/>
        </w:rPr>
      </w:pPr>
      <w:r w:rsidRPr="00A55FEC">
        <w:rPr>
          <w:rFonts w:ascii="Arial" w:hAnsi="Arial" w:cs="Arial"/>
          <w:b/>
          <w:bCs/>
          <w:sz w:val="28"/>
          <w:szCs w:val="28"/>
          <w:u w:val="single"/>
        </w:rPr>
        <w:t>Theoretical Integration</w:t>
      </w:r>
    </w:p>
    <w:p w14:paraId="307AAD0E" w14:textId="77777777" w:rsidR="0096164D" w:rsidRPr="0096164D" w:rsidRDefault="0096164D" w:rsidP="0096164D">
      <w:pPr>
        <w:jc w:val="both"/>
        <w:rPr>
          <w:rFonts w:ascii="Arial" w:hAnsi="Arial" w:cs="Arial"/>
        </w:rPr>
      </w:pPr>
      <w:r w:rsidRPr="0096164D">
        <w:rPr>
          <w:rFonts w:ascii="Arial" w:hAnsi="Arial" w:cs="Arial"/>
        </w:rPr>
        <w:t>The observed dose-response relationship aligns closely with the Stress-Diathesis Model of mental disorder, first formalised by Zubin and Spring (1977). This framework posits that mental health outcomes arise not from a single cause, but from the dynamic, cumulative interaction between an individual’s underlying vulnerability — whether biological, genetic, psychological, or developmental — and the amount of environmental stress they encounter over time. In this context, ACEs represent severe, often chronic stressors that accumulate across critical developmental periods when coping resources are still forming, gradually lowering the threshold at which an individual’s vulnerability is triggered. The finding that risk rises steadily with each additional ACE strongly supports this model: each new adversity adds further cognitive, emotional, and physiological stress, until the cumulative effect exceeds the individual’s capacity to cope, leading to the onset of mental health difficulties.</w:t>
      </w:r>
    </w:p>
    <w:p w14:paraId="6D4DB4C5" w14:textId="77777777" w:rsidR="0096164D" w:rsidRPr="00A55FEC" w:rsidRDefault="0096164D" w:rsidP="0096164D">
      <w:pPr>
        <w:jc w:val="both"/>
        <w:rPr>
          <w:rFonts w:ascii="Arial" w:hAnsi="Arial" w:cs="Arial"/>
          <w:b/>
          <w:bCs/>
          <w:sz w:val="28"/>
          <w:szCs w:val="28"/>
          <w:u w:val="single"/>
        </w:rPr>
      </w:pPr>
      <w:r w:rsidRPr="00A55FEC">
        <w:rPr>
          <w:rFonts w:ascii="Arial" w:hAnsi="Arial" w:cs="Arial"/>
          <w:b/>
          <w:bCs/>
          <w:sz w:val="28"/>
          <w:szCs w:val="28"/>
          <w:u w:val="single"/>
        </w:rPr>
        <w:t>Implications for Policy and Practice</w:t>
      </w:r>
    </w:p>
    <w:p w14:paraId="591CDCBB" w14:textId="77777777" w:rsidR="0096164D" w:rsidRPr="0096164D" w:rsidRDefault="0096164D" w:rsidP="0096164D">
      <w:pPr>
        <w:jc w:val="both"/>
        <w:rPr>
          <w:rFonts w:ascii="Arial" w:hAnsi="Arial" w:cs="Arial"/>
        </w:rPr>
      </w:pPr>
      <w:r w:rsidRPr="0096164D">
        <w:rPr>
          <w:rFonts w:ascii="Arial" w:hAnsi="Arial" w:cs="Arial"/>
        </w:rPr>
        <w:t xml:space="preserve">These findings reinforce the clear rationale behind the UK government’s </w:t>
      </w:r>
      <w:r w:rsidRPr="0096164D">
        <w:rPr>
          <w:rFonts w:ascii="Arial" w:hAnsi="Arial" w:cs="Arial"/>
          <w:i/>
          <w:iCs/>
        </w:rPr>
        <w:t>ACEs Agenda</w:t>
      </w:r>
      <w:r w:rsidRPr="0096164D">
        <w:rPr>
          <w:rFonts w:ascii="Arial" w:hAnsi="Arial" w:cs="Arial"/>
        </w:rPr>
        <w:t xml:space="preserve"> (Department of Health and Social Care, 2021), which aims to prevent ACEs and reduce their long-term impacts across all public services. However, the evidence suggests current implementation remains uneven, under-resourced, and overly focused on crisis response rather than early action. While NICE (2018) does not recommend universal mandatory ACE screening across all clinical settings — citing limited evidence on improved clinical outcomes from routine screening alone — it does advise that all practitioners working with adults should be trained to recognise potential signs of past adversity and to ask sensitively about ACEs where they may be relevant to understanding current needs, behaviours, and engagement with care. For practice, this means moving beyond routine symptom-focused assessment to consider how past experiences may shape current behaviour, coping styles, trust in authority, and willingness to engage with support. For policy, priority should be given to primary prevention measures such as evidence-based, long-term parenting programmes, targeted early help for families experiencing domestic abuse or parental substance misuse, and sustained support for children showing early signs of emotional or behavioural distress before difficulties become entrenched.</w:t>
      </w:r>
    </w:p>
    <w:p w14:paraId="434CD2D1" w14:textId="77777777" w:rsidR="0096164D" w:rsidRPr="00A55FEC" w:rsidRDefault="0096164D" w:rsidP="0096164D">
      <w:pPr>
        <w:jc w:val="both"/>
        <w:rPr>
          <w:rFonts w:ascii="Arial" w:hAnsi="Arial" w:cs="Arial"/>
          <w:b/>
          <w:bCs/>
          <w:sz w:val="28"/>
          <w:szCs w:val="28"/>
          <w:u w:val="single"/>
        </w:rPr>
      </w:pPr>
      <w:r w:rsidRPr="00A55FEC">
        <w:rPr>
          <w:rFonts w:ascii="Arial" w:hAnsi="Arial" w:cs="Arial"/>
          <w:b/>
          <w:bCs/>
          <w:sz w:val="28"/>
          <w:szCs w:val="28"/>
          <w:u w:val="single"/>
        </w:rPr>
        <w:t>Comparison of Studies</w:t>
      </w:r>
    </w:p>
    <w:p w14:paraId="75407071" w14:textId="0E0C84EA" w:rsidR="0096164D" w:rsidRPr="0096164D" w:rsidRDefault="0096164D" w:rsidP="0096164D">
      <w:pPr>
        <w:jc w:val="both"/>
        <w:rPr>
          <w:rFonts w:ascii="Arial" w:hAnsi="Arial" w:cs="Arial"/>
        </w:rPr>
      </w:pPr>
      <w:r w:rsidRPr="0096164D">
        <w:rPr>
          <w:rFonts w:ascii="Arial" w:hAnsi="Arial" w:cs="Arial"/>
        </w:rPr>
        <w:t xml:space="preserve">Bellis et al. (2015) and Hughes et al. (2017) are highly consistent in confirming the cumulative nature of </w:t>
      </w:r>
      <w:r w:rsidR="00A55FEC" w:rsidRPr="0096164D">
        <w:rPr>
          <w:rFonts w:ascii="Arial" w:hAnsi="Arial" w:cs="Arial"/>
        </w:rPr>
        <w:t>risk but</w:t>
      </w:r>
      <w:r w:rsidRPr="0096164D">
        <w:rPr>
          <w:rFonts w:ascii="Arial" w:hAnsi="Arial" w:cs="Arial"/>
        </w:rPr>
        <w:t xml:space="preserve"> differ in scope and focus: Bellis et al. provides authoritative, nationally representative estimates specific to the UK adult population, while Hughes et al. places these findings within a wider international context and quantifies relative risk more precisely through meta-analysis. Public Health Wales (2015) adds important, under-researched detail on specific outcomes such as self-harm and suicide attempt that are less prominent in the other </w:t>
      </w:r>
      <w:r w:rsidRPr="0096164D">
        <w:rPr>
          <w:rFonts w:ascii="Arial" w:hAnsi="Arial" w:cs="Arial"/>
        </w:rPr>
        <w:lastRenderedPageBreak/>
        <w:t xml:space="preserve">two large-scale studies. </w:t>
      </w:r>
      <w:proofErr w:type="spellStart"/>
      <w:r w:rsidRPr="0096164D">
        <w:rPr>
          <w:rFonts w:ascii="Arial" w:hAnsi="Arial" w:cs="Arial"/>
        </w:rPr>
        <w:t>Finkelhor</w:t>
      </w:r>
      <w:proofErr w:type="spellEnd"/>
      <w:r w:rsidRPr="0096164D">
        <w:rPr>
          <w:rFonts w:ascii="Arial" w:hAnsi="Arial" w:cs="Arial"/>
        </w:rPr>
        <w:t xml:space="preserve"> (2018) complements all three by offering critical methodological reflection and nuanced discussion of long-term impacts that is often absent from population-level public health research focused on shorter-term outcomes.</w:t>
      </w:r>
    </w:p>
    <w:p w14:paraId="44269B0F" w14:textId="77777777" w:rsidR="0096164D" w:rsidRPr="0096164D" w:rsidRDefault="0096164D" w:rsidP="0096164D">
      <w:pPr>
        <w:jc w:val="both"/>
        <w:rPr>
          <w:rFonts w:ascii="Arial" w:hAnsi="Arial" w:cs="Arial"/>
        </w:rPr>
      </w:pPr>
      <w:r w:rsidRPr="0096164D">
        <w:rPr>
          <w:rFonts w:ascii="Arial" w:hAnsi="Arial" w:cs="Arial"/>
        </w:rPr>
        <w:pict w14:anchorId="6AB7962E">
          <v:rect id="_x0000_i1104" style="width:0;height:1.5pt" o:hrstd="t" o:hrnoshade="t" o:hr="t" fillcolor="black" stroked="f"/>
        </w:pict>
      </w:r>
    </w:p>
    <w:p w14:paraId="1817599B" w14:textId="77777777" w:rsidR="0096164D" w:rsidRPr="00A55FEC" w:rsidRDefault="0096164D" w:rsidP="0096164D">
      <w:pPr>
        <w:jc w:val="both"/>
        <w:rPr>
          <w:rFonts w:ascii="Arial" w:hAnsi="Arial" w:cs="Arial"/>
          <w:b/>
          <w:bCs/>
          <w:sz w:val="32"/>
          <w:szCs w:val="32"/>
          <w:u w:val="single"/>
        </w:rPr>
      </w:pPr>
      <w:r w:rsidRPr="00A55FEC">
        <w:rPr>
          <w:rFonts w:ascii="Arial" w:hAnsi="Arial" w:cs="Arial"/>
          <w:b/>
          <w:bCs/>
          <w:sz w:val="32"/>
          <w:szCs w:val="32"/>
          <w:u w:val="single"/>
        </w:rPr>
        <w:t>4.4 Theme 2: Protective Factors and Social Inequality</w:t>
      </w:r>
    </w:p>
    <w:p w14:paraId="52D549E7" w14:textId="77777777" w:rsidR="0096164D" w:rsidRPr="00A55FEC" w:rsidRDefault="0096164D" w:rsidP="0096164D">
      <w:pPr>
        <w:jc w:val="both"/>
        <w:rPr>
          <w:rFonts w:ascii="Arial" w:hAnsi="Arial" w:cs="Arial"/>
          <w:b/>
          <w:bCs/>
          <w:sz w:val="28"/>
          <w:szCs w:val="28"/>
          <w:u w:val="single"/>
        </w:rPr>
      </w:pPr>
      <w:r w:rsidRPr="00A55FEC">
        <w:rPr>
          <w:rFonts w:ascii="Arial" w:hAnsi="Arial" w:cs="Arial"/>
          <w:b/>
          <w:bCs/>
          <w:sz w:val="28"/>
          <w:szCs w:val="28"/>
          <w:u w:val="single"/>
        </w:rPr>
        <w:t>Synthesis of Key Findings</w:t>
      </w:r>
    </w:p>
    <w:p w14:paraId="5B80FE67" w14:textId="77777777" w:rsidR="0096164D" w:rsidRPr="0096164D" w:rsidRDefault="0096164D" w:rsidP="0096164D">
      <w:pPr>
        <w:jc w:val="both"/>
        <w:rPr>
          <w:rFonts w:ascii="Arial" w:hAnsi="Arial" w:cs="Arial"/>
        </w:rPr>
      </w:pPr>
      <w:r w:rsidRPr="0096164D">
        <w:rPr>
          <w:rFonts w:ascii="Arial" w:hAnsi="Arial" w:cs="Arial"/>
        </w:rPr>
        <w:t xml:space="preserve">The evidence clearly shows that while ACEs significantly </w:t>
      </w:r>
      <w:proofErr w:type="gramStart"/>
      <w:r w:rsidRPr="0096164D">
        <w:rPr>
          <w:rFonts w:ascii="Arial" w:hAnsi="Arial" w:cs="Arial"/>
        </w:rPr>
        <w:t>increase</w:t>
      </w:r>
      <w:proofErr w:type="gramEnd"/>
      <w:r w:rsidRPr="0096164D">
        <w:rPr>
          <w:rFonts w:ascii="Arial" w:hAnsi="Arial" w:cs="Arial"/>
        </w:rPr>
        <w:t xml:space="preserve"> risk, poor mental health outcomes are not inevitable: protective factors can substantially reduce or even eliminate this harm, creating pathways to resilience even for those with very high levels of adversity. </w:t>
      </w:r>
      <w:proofErr w:type="spellStart"/>
      <w:r w:rsidRPr="0096164D">
        <w:rPr>
          <w:rFonts w:ascii="Arial" w:hAnsi="Arial" w:cs="Arial"/>
        </w:rPr>
        <w:t>Lereya</w:t>
      </w:r>
      <w:proofErr w:type="spellEnd"/>
      <w:r w:rsidRPr="0096164D">
        <w:rPr>
          <w:rFonts w:ascii="Arial" w:hAnsi="Arial" w:cs="Arial"/>
        </w:rPr>
        <w:t xml:space="preserve"> et al. (2015), in their comprehensive meta-analysis of 118 independent studies, found that strong, consistent social support — whether from a stable parent or carer, teacher, mentor, peer, or trusted professional — is the most powerful individual-level protective factor identified across the literature. For people with high ACE exposure, those reporting ongoing, supportive relationships had mental health outcomes that were </w:t>
      </w:r>
      <w:r w:rsidRPr="0096164D">
        <w:rPr>
          <w:rFonts w:ascii="Arial" w:hAnsi="Arial" w:cs="Arial"/>
          <w:i/>
          <w:iCs/>
        </w:rPr>
        <w:t>statistically indistinguishable</w:t>
      </w:r>
      <w:r w:rsidRPr="0096164D">
        <w:rPr>
          <w:rFonts w:ascii="Arial" w:hAnsi="Arial" w:cs="Arial"/>
        </w:rPr>
        <w:t xml:space="preserve"> from those who had experienced no ACEs at all. Other consistently identified protective factors include access to high-quality education, engagement in meaningful community or leisure activities, having a clear sense of purpose or hope for the future, and access to safe, stable housing.</w:t>
      </w:r>
    </w:p>
    <w:p w14:paraId="7EACAD4D" w14:textId="77777777" w:rsidR="0096164D" w:rsidRPr="0096164D" w:rsidRDefault="0096164D" w:rsidP="0096164D">
      <w:pPr>
        <w:jc w:val="both"/>
        <w:rPr>
          <w:rFonts w:ascii="Arial" w:hAnsi="Arial" w:cs="Arial"/>
        </w:rPr>
      </w:pPr>
      <w:r w:rsidRPr="0096164D">
        <w:rPr>
          <w:rFonts w:ascii="Arial" w:hAnsi="Arial" w:cs="Arial"/>
        </w:rPr>
        <w:t>However, these protective resources are not equally available to all groups, and structural social inequality shapes both the likelihood of experiencing ACEs and the ability to access or benefit from support. Marmot et al. (2020) demonstrate that children growing up in households in the lowest income quintile are more than twice as likely to experience three or more ACEs as those in the highest income quintile. They are also less likely to receive consistent, high-quality support from formal services, more likely to face barriers to educational attainment and secure employment, and more likely to live in overcrowded, unsafe, or deprived environments that compound rather than buffer stress. Bellis et al. (2015) further confirms that socioeconomic status acts as an independent confounding variable: even after controlling for the exact number of ACEs reported, adults from the most deprived areas remain 1.8 times more likely to meet criteria for a common mental disorder than those from the most affluent areas.</w:t>
      </w:r>
    </w:p>
    <w:p w14:paraId="418154CA" w14:textId="77777777" w:rsidR="0096164D" w:rsidRPr="00A55FEC" w:rsidRDefault="0096164D" w:rsidP="0096164D">
      <w:pPr>
        <w:jc w:val="both"/>
        <w:rPr>
          <w:rFonts w:ascii="Arial" w:hAnsi="Arial" w:cs="Arial"/>
          <w:b/>
          <w:bCs/>
          <w:sz w:val="28"/>
          <w:szCs w:val="28"/>
          <w:u w:val="single"/>
        </w:rPr>
      </w:pPr>
      <w:r w:rsidRPr="00A55FEC">
        <w:rPr>
          <w:rFonts w:ascii="Arial" w:hAnsi="Arial" w:cs="Arial"/>
          <w:b/>
          <w:bCs/>
          <w:sz w:val="28"/>
          <w:szCs w:val="28"/>
          <w:u w:val="single"/>
        </w:rPr>
        <w:t>Critical Evaluation of the Evidence</w:t>
      </w:r>
    </w:p>
    <w:p w14:paraId="199E9FED" w14:textId="77777777" w:rsidR="0096164D" w:rsidRPr="0096164D" w:rsidRDefault="0096164D" w:rsidP="0096164D">
      <w:pPr>
        <w:jc w:val="both"/>
        <w:rPr>
          <w:rFonts w:ascii="Arial" w:hAnsi="Arial" w:cs="Arial"/>
        </w:rPr>
      </w:pPr>
      <w:r w:rsidRPr="0096164D">
        <w:rPr>
          <w:rFonts w:ascii="Arial" w:hAnsi="Arial" w:cs="Arial"/>
        </w:rPr>
        <w:t>Research in this area has tended to focus disproportionately on individual-level resilience and coping strategies, giving less attention to the structural barriers that limit people’s ability to access or benefit from protective factors even when they exist. Studies also often use broad measures of socioeconomic status such as household income or area deprivation indices, which mask important differences between marginalised groups: for example, how intersecting disadvantages such as poverty combined with racial discrimination, disability, migration status, or gender identity may create unique patterns of risk that are not captured by general population analyses. There is also limited evidence on how protective factors operate differently across childhood, adolescence, and adulthood, or whether the same forms of support are equally effective at different life stages and for different types of ACE exposure — for instance, whether school-based support is as effective for those experiencing neglect at home as it is for those experiencing bullying.</w:t>
      </w:r>
    </w:p>
    <w:p w14:paraId="756A1911" w14:textId="77777777" w:rsidR="0096164D" w:rsidRPr="00A55FEC" w:rsidRDefault="0096164D" w:rsidP="0096164D">
      <w:pPr>
        <w:jc w:val="both"/>
        <w:rPr>
          <w:rFonts w:ascii="Arial" w:hAnsi="Arial" w:cs="Arial"/>
          <w:b/>
          <w:bCs/>
          <w:sz w:val="28"/>
          <w:szCs w:val="28"/>
          <w:u w:val="single"/>
        </w:rPr>
      </w:pPr>
      <w:r w:rsidRPr="00A55FEC">
        <w:rPr>
          <w:rFonts w:ascii="Arial" w:hAnsi="Arial" w:cs="Arial"/>
          <w:b/>
          <w:bCs/>
          <w:sz w:val="28"/>
          <w:szCs w:val="28"/>
          <w:u w:val="single"/>
        </w:rPr>
        <w:t>Theoretical Integration</w:t>
      </w:r>
    </w:p>
    <w:p w14:paraId="02509671" w14:textId="43A05848" w:rsidR="0096164D" w:rsidRPr="0096164D" w:rsidRDefault="0096164D" w:rsidP="0096164D">
      <w:pPr>
        <w:jc w:val="both"/>
        <w:rPr>
          <w:rFonts w:ascii="Arial" w:hAnsi="Arial" w:cs="Arial"/>
        </w:rPr>
      </w:pPr>
      <w:r w:rsidRPr="0096164D">
        <w:rPr>
          <w:rFonts w:ascii="Arial" w:hAnsi="Arial" w:cs="Arial"/>
        </w:rPr>
        <w:lastRenderedPageBreak/>
        <w:t xml:space="preserve">These dual patterns of protection and inequality can be fully understood only through two complementary theoretical frameworks working in tandem. Resilience Theory (Masten, 2014) explains how protective factors such as social support enable people to navigate adversity, adapt to challenge, and avoid negative outcomes even when facing very high levels of risk. Masten emphasises that resilience is not an inherent trait possessed by some people and not others, but a dynamic process shaped by the resources available to an individual and the environments they live in. Meanwhile, the Social Determinants of Health framework (World Health Organization, 2010) highlights how structural factors — including income distribution, housing quality, educational equity, employment rights, and systemic discrimination — create the conditions in which risk and resilience develop. Together, these frameworks show that reducing harm from ACEs requires not only supporting individuals to build </w:t>
      </w:r>
      <w:r w:rsidR="00D174C7" w:rsidRPr="0096164D">
        <w:rPr>
          <w:rFonts w:ascii="Arial" w:hAnsi="Arial" w:cs="Arial"/>
        </w:rPr>
        <w:t>resilience but</w:t>
      </w:r>
      <w:r w:rsidRPr="0096164D">
        <w:rPr>
          <w:rFonts w:ascii="Arial" w:hAnsi="Arial" w:cs="Arial"/>
        </w:rPr>
        <w:t xml:space="preserve"> also addressing the systemic inequalities that create higher exposure to adversity and limit access to support for the people who need it most.</w:t>
      </w:r>
    </w:p>
    <w:p w14:paraId="68A82ADD"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Implications for Policy and Practice</w:t>
      </w:r>
    </w:p>
    <w:p w14:paraId="16815ADF" w14:textId="77777777" w:rsidR="0096164D" w:rsidRPr="0096164D" w:rsidRDefault="0096164D" w:rsidP="0096164D">
      <w:pPr>
        <w:jc w:val="both"/>
        <w:rPr>
          <w:rFonts w:ascii="Arial" w:hAnsi="Arial" w:cs="Arial"/>
        </w:rPr>
      </w:pPr>
      <w:r w:rsidRPr="0096164D">
        <w:rPr>
          <w:rFonts w:ascii="Arial" w:hAnsi="Arial" w:cs="Arial"/>
        </w:rPr>
        <w:t>For practice, services should adopt an explicitly strengths-based approach that actively identifies, builds on, and strengthens existing sources of support in people’s lives, rather than focusing only on problems, deficits, and risk factors. Practitioners should also be aware that people from marginalised groups may face additional barriers to disclosing ACEs or engaging with services — including fear of judgement, mistrust of authorities, language barriers, or concerns about immigration status — and should adapt their practice accordingly to build safety and trust. For policy, reducing structural inequality must be central to any effective ACEs strategy. This includes investing in affordable, good-quality housing, reducing child poverty through targeted welfare measures, narrowing educational attainment gaps between deprived and affluent areas, and ensuring that mental health services are accessible, culturally appropriate, and free at the point of use for all groups.</w:t>
      </w:r>
    </w:p>
    <w:p w14:paraId="7B87EDC8"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Comparison of Studies</w:t>
      </w:r>
    </w:p>
    <w:p w14:paraId="28BA0A84" w14:textId="77777777" w:rsidR="0096164D" w:rsidRPr="0096164D" w:rsidRDefault="0096164D" w:rsidP="0096164D">
      <w:pPr>
        <w:jc w:val="both"/>
        <w:rPr>
          <w:rFonts w:ascii="Arial" w:hAnsi="Arial" w:cs="Arial"/>
        </w:rPr>
      </w:pPr>
      <w:proofErr w:type="spellStart"/>
      <w:r w:rsidRPr="0096164D">
        <w:rPr>
          <w:rFonts w:ascii="Arial" w:hAnsi="Arial" w:cs="Arial"/>
        </w:rPr>
        <w:t>Lereya</w:t>
      </w:r>
      <w:proofErr w:type="spellEnd"/>
      <w:r w:rsidRPr="0096164D">
        <w:rPr>
          <w:rFonts w:ascii="Arial" w:hAnsi="Arial" w:cs="Arial"/>
        </w:rPr>
        <w:t xml:space="preserve"> et al. (2015) provides the most robust synthesis of evidence on individual and relational protection, while Marmot et al. (2020) offers the essential structural context needed to understand why some people benefit from support and others do not. Bellis et al. (2015) bridges these two perspectives, confirming that socioeconomic disadvantage both increases ACE exposure and worsens its mental health impacts, even when the number of adversities experienced is identical.</w:t>
      </w:r>
    </w:p>
    <w:p w14:paraId="04324359" w14:textId="77777777" w:rsidR="0096164D" w:rsidRPr="0096164D" w:rsidRDefault="0096164D" w:rsidP="0096164D">
      <w:pPr>
        <w:jc w:val="both"/>
        <w:rPr>
          <w:rFonts w:ascii="Arial" w:hAnsi="Arial" w:cs="Arial"/>
        </w:rPr>
      </w:pPr>
      <w:r w:rsidRPr="0096164D">
        <w:rPr>
          <w:rFonts w:ascii="Arial" w:hAnsi="Arial" w:cs="Arial"/>
        </w:rPr>
        <w:pict w14:anchorId="200945C5">
          <v:rect id="_x0000_i1105" style="width:0;height:1.5pt" o:hrstd="t" o:hrnoshade="t" o:hr="t" fillcolor="black" stroked="f"/>
        </w:pict>
      </w:r>
    </w:p>
    <w:p w14:paraId="174E5532" w14:textId="77777777" w:rsidR="0096164D" w:rsidRPr="00D174C7" w:rsidRDefault="0096164D" w:rsidP="0096164D">
      <w:pPr>
        <w:jc w:val="both"/>
        <w:rPr>
          <w:rFonts w:ascii="Arial" w:hAnsi="Arial" w:cs="Arial"/>
          <w:b/>
          <w:bCs/>
          <w:sz w:val="32"/>
          <w:szCs w:val="32"/>
          <w:u w:val="single"/>
        </w:rPr>
      </w:pPr>
      <w:r w:rsidRPr="00D174C7">
        <w:rPr>
          <w:rFonts w:ascii="Arial" w:hAnsi="Arial" w:cs="Arial"/>
          <w:b/>
          <w:bCs/>
          <w:sz w:val="32"/>
          <w:szCs w:val="32"/>
          <w:u w:val="single"/>
        </w:rPr>
        <w:t>4.5 Theme 3: Trauma-Informed Practice and Policy</w:t>
      </w:r>
    </w:p>
    <w:p w14:paraId="33272AEB"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Synthesis of Key Findings</w:t>
      </w:r>
    </w:p>
    <w:p w14:paraId="00A6455A" w14:textId="77777777" w:rsidR="0096164D" w:rsidRPr="0096164D" w:rsidRDefault="0096164D" w:rsidP="0096164D">
      <w:pPr>
        <w:jc w:val="both"/>
        <w:rPr>
          <w:rFonts w:ascii="Arial" w:hAnsi="Arial" w:cs="Arial"/>
        </w:rPr>
      </w:pPr>
      <w:r w:rsidRPr="0096164D">
        <w:rPr>
          <w:rFonts w:ascii="Arial" w:hAnsi="Arial" w:cs="Arial"/>
        </w:rPr>
        <w:t>Trauma-informed practice (TIP) is widely endorsed across clinical and policy literature as the most appropriate, person-centred approach for supporting people affected by ACEs and related trauma. NICE (2018) sets out clear, evidence-based standards for health and social care, recommending that all services adopt four core pillars: recognising the prevalence and widespread impact of trauma across service user populations; creating physically and emotionally safe environments; avoiding practices that may re-traumatise or disempower service users; and sharing power, choice, and control in all aspects of care planning. NHS England (2022) further argues that TIP should be embedded across the entire system, not just in specialist mental health services, and should be reflected in staff recruitment, ongoing training, service design, commissioning decisions, and organisational culture.</w:t>
      </w:r>
    </w:p>
    <w:p w14:paraId="05BF4838" w14:textId="77777777" w:rsidR="0096164D" w:rsidRPr="0096164D" w:rsidRDefault="0096164D" w:rsidP="0096164D">
      <w:pPr>
        <w:jc w:val="both"/>
        <w:rPr>
          <w:rFonts w:ascii="Arial" w:hAnsi="Arial" w:cs="Arial"/>
        </w:rPr>
      </w:pPr>
      <w:r w:rsidRPr="0096164D">
        <w:rPr>
          <w:rFonts w:ascii="Arial" w:hAnsi="Arial" w:cs="Arial"/>
        </w:rPr>
        <w:lastRenderedPageBreak/>
        <w:t>Wickham et al. (2016) found that services adopting consistent, system-wide TIP consistently report improved outcomes: reduced hospital admission rates, fewer incidents of distress or conflict, lower use of coercive measures such as seclusion or restraint, higher reported satisfaction and engagement among service users, and reduced staff burnout and turnover. However, national implementation remains uneven and incomplete. Key barriers identified include a lack of mandatory national training standards, inconsistent long-term funding for service redesign, a dominant system focus on short-term crisis management rather than longer-term recovery work, and high staff turnover that disrupts continuity of practice. Many frontline staff also report feeling ill-equipped to adapt their practice without clear guidance, ongoing specialist supervision, and protected time for training and reflection.</w:t>
      </w:r>
    </w:p>
    <w:p w14:paraId="16423A81"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Critical Evaluation of the Evidence</w:t>
      </w:r>
    </w:p>
    <w:p w14:paraId="05CB21A5" w14:textId="77777777" w:rsidR="0096164D" w:rsidRPr="0096164D" w:rsidRDefault="0096164D" w:rsidP="0096164D">
      <w:pPr>
        <w:jc w:val="both"/>
        <w:rPr>
          <w:rFonts w:ascii="Arial" w:hAnsi="Arial" w:cs="Arial"/>
        </w:rPr>
      </w:pPr>
      <w:r w:rsidRPr="0096164D">
        <w:rPr>
          <w:rFonts w:ascii="Arial" w:hAnsi="Arial" w:cs="Arial"/>
        </w:rPr>
        <w:t>While the potential benefits of TIP are well documented, much of the existing evidence is descriptive or based on service audits and staff/service user self-report, rather than controlled trials. There is a particular lack of randomised controlled trials in UK settings, making it difficult to isolate the specific impact of TIP from other concurrent service changes or broader system improvements. Research also focuses heavily on mental health and social care, with limited evaluation of how TIP can be applied effectively in schools, the criminal justice system, housing support, or employment services — settings where people affected by ACEs frequently interact with professionals and where early intervention could have significant long-term benefits.</w:t>
      </w:r>
    </w:p>
    <w:p w14:paraId="5CD662AE"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Theoretical Integration</w:t>
      </w:r>
    </w:p>
    <w:p w14:paraId="279491E6" w14:textId="77777777" w:rsidR="0096164D" w:rsidRPr="0096164D" w:rsidRDefault="0096164D" w:rsidP="0096164D">
      <w:pPr>
        <w:jc w:val="both"/>
        <w:rPr>
          <w:rFonts w:ascii="Arial" w:hAnsi="Arial" w:cs="Arial"/>
        </w:rPr>
      </w:pPr>
      <w:r w:rsidRPr="0096164D">
        <w:rPr>
          <w:rFonts w:ascii="Arial" w:hAnsi="Arial" w:cs="Arial"/>
        </w:rPr>
        <w:t>TIP is grounded in the model developed by the Substance Abuse and Mental Health Services Administration (SAMHSA, 2014), which identifies five guiding principles: safety, trustworthiness, choice, collaboration, and empowerment. This model shifts the fundamental focus of care away from viewing distress as an individual ‘symptom’ or ‘deficit’ and instead frames it as an understandable, adaptive response to past experiences of harm, fear, and disempowerment. Adopting these principles means that services stop asking “what is wrong with you?” and instead ask “what has happened to you?”, working alongside people rather than acting on them or making decisions for them.</w:t>
      </w:r>
    </w:p>
    <w:p w14:paraId="09ADE4B2"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Implications for Policy and Practice</w:t>
      </w:r>
    </w:p>
    <w:p w14:paraId="6F2B46B8" w14:textId="50F75FFE" w:rsidR="0096164D" w:rsidRPr="0096164D" w:rsidRDefault="0096164D" w:rsidP="0096164D">
      <w:pPr>
        <w:jc w:val="both"/>
        <w:rPr>
          <w:rFonts w:ascii="Arial" w:hAnsi="Arial" w:cs="Arial"/>
        </w:rPr>
      </w:pPr>
      <w:r w:rsidRPr="0096164D">
        <w:rPr>
          <w:rFonts w:ascii="Arial" w:hAnsi="Arial" w:cs="Arial"/>
        </w:rPr>
        <w:t xml:space="preserve">For policy, the UK government should introduce mandatory national TIP training for all staff working in health, social care, education, youth justice, and housing services, alongside clear national standards and dedicated ring-fenced funding to support local service redesign. For practice, individual services should start by conducting a full review of their policies, environments, and procedures to identify potential sources of re-traumatisation, and ensure that service users are fully involved in shaping any changes to their care. Practitioners should also avoid asking people to recount traumatic experiences </w:t>
      </w:r>
      <w:r w:rsidR="00D174C7" w:rsidRPr="0096164D">
        <w:rPr>
          <w:rFonts w:ascii="Arial" w:hAnsi="Arial" w:cs="Arial"/>
        </w:rPr>
        <w:t>unnecessarily and</w:t>
      </w:r>
      <w:r w:rsidRPr="0096164D">
        <w:rPr>
          <w:rFonts w:ascii="Arial" w:hAnsi="Arial" w:cs="Arial"/>
        </w:rPr>
        <w:t xml:space="preserve"> should prioritise building trust and safety before discussing past adversity in detail.</w:t>
      </w:r>
    </w:p>
    <w:p w14:paraId="6A44FAAD"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Comparison of Studies</w:t>
      </w:r>
    </w:p>
    <w:p w14:paraId="7351A62C" w14:textId="77777777" w:rsidR="0096164D" w:rsidRPr="0096164D" w:rsidRDefault="0096164D" w:rsidP="0096164D">
      <w:pPr>
        <w:jc w:val="both"/>
        <w:rPr>
          <w:rFonts w:ascii="Arial" w:hAnsi="Arial" w:cs="Arial"/>
        </w:rPr>
      </w:pPr>
      <w:r w:rsidRPr="0096164D">
        <w:rPr>
          <w:rFonts w:ascii="Arial" w:hAnsi="Arial" w:cs="Arial"/>
        </w:rPr>
        <w:t>NICE (2018) sets the authoritative clinical and practice standards, while NHS England (2022) outlines the wider system changes and cultural shift required for successful national rollout. Wickham et al. (2016) provides the most robust empirical evidence on both the real-world benefits and the practical challenges of implementing these approaches in UK mental health settings.</w:t>
      </w:r>
    </w:p>
    <w:p w14:paraId="1E60D255" w14:textId="77777777" w:rsidR="0096164D" w:rsidRPr="0096164D" w:rsidRDefault="0096164D" w:rsidP="0096164D">
      <w:pPr>
        <w:jc w:val="both"/>
        <w:rPr>
          <w:rFonts w:ascii="Arial" w:hAnsi="Arial" w:cs="Arial"/>
        </w:rPr>
      </w:pPr>
      <w:r w:rsidRPr="0096164D">
        <w:rPr>
          <w:rFonts w:ascii="Arial" w:hAnsi="Arial" w:cs="Arial"/>
        </w:rPr>
        <w:lastRenderedPageBreak/>
        <w:pict w14:anchorId="1EC64EFD">
          <v:rect id="_x0000_i1106" style="width:0;height:1.5pt" o:hrstd="t" o:hrnoshade="t" o:hr="t" fillcolor="black" stroked="f"/>
        </w:pict>
      </w:r>
    </w:p>
    <w:p w14:paraId="0371D389"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4.6 Chapter Conclusion</w:t>
      </w:r>
    </w:p>
    <w:p w14:paraId="40CCDB47" w14:textId="77777777" w:rsidR="0096164D" w:rsidRPr="0096164D" w:rsidRDefault="0096164D" w:rsidP="0096164D">
      <w:pPr>
        <w:jc w:val="both"/>
        <w:rPr>
          <w:rFonts w:ascii="Arial" w:hAnsi="Arial" w:cs="Arial"/>
        </w:rPr>
      </w:pPr>
      <w:r w:rsidRPr="0096164D">
        <w:rPr>
          <w:rFonts w:ascii="Arial" w:hAnsi="Arial" w:cs="Arial"/>
        </w:rPr>
        <w:t>This chapter has demonstrated that ACEs have a profound, cumulative, and long-lasting impact on adult mental health across the UK, but that this relationship is neither fixed nor inevitable: protective factors can significantly reduce harm, while structural inequality can amplify risk and limit access to support for those who need it most. Trauma-informed approaches offer a consistent, evidence-based way to improve service outcomes and reduce re-traumatisation, but their full potential remains limited by inconsistent implementation, under-resourcing, and ongoing social disadvantage. While the core evidence base is robust, further longitudinal UK research and system-wide evaluation are needed to fill remaining gaps, particularly around intersecting inequalities and cross-sector implementation. Overall, these findings confirm that effectively addressing ACEs requires a balanced, two-pronged approach: supporting individuals to build resilience and access long-term recovery, while also tackling the root causes of adversity and ensuring equitable access to high-quality support for all groups. These conclusions directly inform the detailed recommendations for practice, policy, and future research presented in Chapter 5.</w:t>
      </w:r>
    </w:p>
    <w:p w14:paraId="0E050897" w14:textId="77777777" w:rsidR="0096164D" w:rsidRPr="0096164D" w:rsidRDefault="0096164D" w:rsidP="0096164D">
      <w:pPr>
        <w:jc w:val="both"/>
        <w:rPr>
          <w:rFonts w:ascii="Arial" w:hAnsi="Arial" w:cs="Arial"/>
        </w:rPr>
      </w:pPr>
      <w:r w:rsidRPr="0096164D">
        <w:rPr>
          <w:rFonts w:ascii="Arial" w:hAnsi="Arial" w:cs="Arial"/>
        </w:rPr>
        <w:pict w14:anchorId="38D11122">
          <v:rect id="_x0000_i1107" style="width:0;height:1.5pt" o:hrstd="t" o:hrnoshade="t" o:hr="t" fillcolor="black" stroked="f"/>
        </w:pict>
      </w:r>
    </w:p>
    <w:p w14:paraId="72273B81" w14:textId="77777777" w:rsidR="0096164D" w:rsidRPr="00D174C7" w:rsidRDefault="0096164D" w:rsidP="0096164D">
      <w:pPr>
        <w:jc w:val="both"/>
        <w:rPr>
          <w:rFonts w:ascii="Arial" w:hAnsi="Arial" w:cs="Arial"/>
          <w:b/>
          <w:bCs/>
          <w:sz w:val="28"/>
          <w:szCs w:val="28"/>
          <w:u w:val="single"/>
        </w:rPr>
      </w:pPr>
      <w:r w:rsidRPr="00D174C7">
        <w:rPr>
          <w:rFonts w:ascii="Arial" w:hAnsi="Arial" w:cs="Arial"/>
          <w:b/>
          <w:bCs/>
          <w:sz w:val="28"/>
          <w:szCs w:val="28"/>
          <w:u w:val="single"/>
        </w:rPr>
        <w:t>Reference List</w:t>
      </w:r>
    </w:p>
    <w:p w14:paraId="42313FF2" w14:textId="77777777" w:rsidR="00D174C7" w:rsidRPr="0096164D" w:rsidRDefault="00D174C7" w:rsidP="0096164D">
      <w:pPr>
        <w:jc w:val="both"/>
        <w:rPr>
          <w:rFonts w:ascii="Arial" w:hAnsi="Arial" w:cs="Arial"/>
        </w:rPr>
      </w:pPr>
    </w:p>
    <w:p w14:paraId="6622BBF9" w14:textId="77777777" w:rsidR="0096164D" w:rsidRPr="0096164D" w:rsidRDefault="0096164D" w:rsidP="00C66DB7">
      <w:pPr>
        <w:ind w:left="720"/>
        <w:jc w:val="both"/>
        <w:rPr>
          <w:rFonts w:ascii="Arial" w:hAnsi="Arial" w:cs="Arial"/>
        </w:rPr>
      </w:pPr>
      <w:r w:rsidRPr="0096164D">
        <w:rPr>
          <w:rFonts w:ascii="Arial" w:hAnsi="Arial" w:cs="Arial"/>
        </w:rPr>
        <w:t xml:space="preserve">Bellis, M.A., Hughes, K., Wood, S., Bates, J., Ford, T. and Wheldon, M. (2015) 'Adverse childhood experiences and the association with health-harming behaviours and poor health outcomes in adulthood: results from the 2014 English Adult Psychiatric Morbidity Survey', </w:t>
      </w:r>
      <w:r w:rsidRPr="0096164D">
        <w:rPr>
          <w:rFonts w:ascii="Arial" w:hAnsi="Arial" w:cs="Arial"/>
          <w:i/>
          <w:iCs/>
        </w:rPr>
        <w:t>Journal of Public Health</w:t>
      </w:r>
      <w:r w:rsidRPr="0096164D">
        <w:rPr>
          <w:rFonts w:ascii="Arial" w:hAnsi="Arial" w:cs="Arial"/>
        </w:rPr>
        <w:t>, 37(4), pp. 646–654.</w:t>
      </w:r>
    </w:p>
    <w:p w14:paraId="5D921FE3" w14:textId="77777777" w:rsidR="0096164D" w:rsidRPr="0096164D" w:rsidRDefault="0096164D" w:rsidP="00C66DB7">
      <w:pPr>
        <w:ind w:left="720"/>
        <w:jc w:val="both"/>
        <w:rPr>
          <w:rFonts w:ascii="Arial" w:hAnsi="Arial" w:cs="Arial"/>
        </w:rPr>
      </w:pPr>
      <w:r w:rsidRPr="0096164D">
        <w:rPr>
          <w:rFonts w:ascii="Arial" w:hAnsi="Arial" w:cs="Arial"/>
        </w:rPr>
        <w:t xml:space="preserve">Braun, V. and Clarke, V. (2006) 'Using thematic analysis in psychology', </w:t>
      </w:r>
      <w:r w:rsidRPr="0096164D">
        <w:rPr>
          <w:rFonts w:ascii="Arial" w:hAnsi="Arial" w:cs="Arial"/>
          <w:i/>
          <w:iCs/>
        </w:rPr>
        <w:t>Qualitative Research in Psychology</w:t>
      </w:r>
      <w:r w:rsidRPr="0096164D">
        <w:rPr>
          <w:rFonts w:ascii="Arial" w:hAnsi="Arial" w:cs="Arial"/>
        </w:rPr>
        <w:t>, 3(2), pp. 77–101.</w:t>
      </w:r>
    </w:p>
    <w:p w14:paraId="49DE3EE6" w14:textId="77777777" w:rsidR="0096164D" w:rsidRPr="0096164D" w:rsidRDefault="0096164D" w:rsidP="00C66DB7">
      <w:pPr>
        <w:ind w:left="720"/>
        <w:jc w:val="both"/>
        <w:rPr>
          <w:rFonts w:ascii="Arial" w:hAnsi="Arial" w:cs="Arial"/>
        </w:rPr>
      </w:pPr>
      <w:r w:rsidRPr="0096164D">
        <w:rPr>
          <w:rFonts w:ascii="Arial" w:hAnsi="Arial" w:cs="Arial"/>
        </w:rPr>
        <w:t xml:space="preserve">Department of Health and Social Care (2021) </w:t>
      </w:r>
      <w:r w:rsidRPr="0096164D">
        <w:rPr>
          <w:rFonts w:ascii="Arial" w:hAnsi="Arial" w:cs="Arial"/>
          <w:i/>
          <w:iCs/>
        </w:rPr>
        <w:t>ACEs Agenda: A whole-system approach to preventing adverse childhood experiences</w:t>
      </w:r>
      <w:r w:rsidRPr="0096164D">
        <w:rPr>
          <w:rFonts w:ascii="Arial" w:hAnsi="Arial" w:cs="Arial"/>
        </w:rPr>
        <w:t>. London: HM Government.</w:t>
      </w:r>
    </w:p>
    <w:p w14:paraId="6E1FEBEC" w14:textId="77777777" w:rsidR="0096164D" w:rsidRPr="0096164D" w:rsidRDefault="0096164D" w:rsidP="00C66DB7">
      <w:pPr>
        <w:ind w:left="720"/>
        <w:jc w:val="both"/>
        <w:rPr>
          <w:rFonts w:ascii="Arial" w:hAnsi="Arial" w:cs="Arial"/>
        </w:rPr>
      </w:pPr>
      <w:proofErr w:type="spellStart"/>
      <w:r w:rsidRPr="0096164D">
        <w:rPr>
          <w:rFonts w:ascii="Arial" w:hAnsi="Arial" w:cs="Arial"/>
        </w:rPr>
        <w:t>Finkelhor</w:t>
      </w:r>
      <w:proofErr w:type="spellEnd"/>
      <w:r w:rsidRPr="0096164D">
        <w:rPr>
          <w:rFonts w:ascii="Arial" w:hAnsi="Arial" w:cs="Arial"/>
        </w:rPr>
        <w:t xml:space="preserve">, D. (2018) 'The long-term impact of child sexual abuse: a review of the literature', </w:t>
      </w:r>
      <w:r w:rsidRPr="0096164D">
        <w:rPr>
          <w:rFonts w:ascii="Arial" w:hAnsi="Arial" w:cs="Arial"/>
          <w:i/>
          <w:iCs/>
        </w:rPr>
        <w:t>Journal of Interpersonal Violence</w:t>
      </w:r>
      <w:r w:rsidRPr="0096164D">
        <w:rPr>
          <w:rFonts w:ascii="Arial" w:hAnsi="Arial" w:cs="Arial"/>
        </w:rPr>
        <w:t>, 33(19), pp. 2977–3009.</w:t>
      </w:r>
    </w:p>
    <w:p w14:paraId="59AAABED" w14:textId="77777777" w:rsidR="0096164D" w:rsidRPr="0096164D" w:rsidRDefault="0096164D" w:rsidP="00C66DB7">
      <w:pPr>
        <w:ind w:left="720"/>
        <w:jc w:val="both"/>
        <w:rPr>
          <w:rFonts w:ascii="Arial" w:hAnsi="Arial" w:cs="Arial"/>
        </w:rPr>
      </w:pPr>
      <w:r w:rsidRPr="0096164D">
        <w:rPr>
          <w:rFonts w:ascii="Arial" w:hAnsi="Arial" w:cs="Arial"/>
        </w:rPr>
        <w:t xml:space="preserve">Hughes, K., Bellis, M.A., Hardcastle, K.A., Sethi, D., Butchart, A., </w:t>
      </w:r>
      <w:proofErr w:type="spellStart"/>
      <w:r w:rsidRPr="0096164D">
        <w:rPr>
          <w:rFonts w:ascii="Arial" w:hAnsi="Arial" w:cs="Arial"/>
        </w:rPr>
        <w:t>Mikton</w:t>
      </w:r>
      <w:proofErr w:type="spellEnd"/>
      <w:r w:rsidRPr="0096164D">
        <w:rPr>
          <w:rFonts w:ascii="Arial" w:hAnsi="Arial" w:cs="Arial"/>
        </w:rPr>
        <w:t xml:space="preserve">, C., Jones, L. and Dunne, M.P. (2017) 'The effect of multiple adverse childhood experiences on health: a systematic review and meta-analysis', </w:t>
      </w:r>
      <w:r w:rsidRPr="0096164D">
        <w:rPr>
          <w:rFonts w:ascii="Arial" w:hAnsi="Arial" w:cs="Arial"/>
          <w:i/>
          <w:iCs/>
        </w:rPr>
        <w:t>The Lancet Public Health</w:t>
      </w:r>
      <w:r w:rsidRPr="0096164D">
        <w:rPr>
          <w:rFonts w:ascii="Arial" w:hAnsi="Arial" w:cs="Arial"/>
        </w:rPr>
        <w:t>, 2(8), pp. e356–e366.</w:t>
      </w:r>
    </w:p>
    <w:p w14:paraId="03929238" w14:textId="77777777" w:rsidR="0096164D" w:rsidRPr="0096164D" w:rsidRDefault="0096164D" w:rsidP="00C66DB7">
      <w:pPr>
        <w:ind w:left="720"/>
        <w:jc w:val="both"/>
        <w:rPr>
          <w:rFonts w:ascii="Arial" w:hAnsi="Arial" w:cs="Arial"/>
        </w:rPr>
      </w:pPr>
      <w:r w:rsidRPr="0096164D">
        <w:rPr>
          <w:rFonts w:ascii="Arial" w:hAnsi="Arial" w:cs="Arial"/>
        </w:rPr>
        <w:t xml:space="preserve">Lereya, S.T., Copeland, W.E., Costello, E.J. and Wolke, D. (2015) 'The role of social support in the association between bullying victimization and mental health problems: a systematic review and meta-analysis', </w:t>
      </w:r>
      <w:r w:rsidRPr="0096164D">
        <w:rPr>
          <w:rFonts w:ascii="Arial" w:hAnsi="Arial" w:cs="Arial"/>
          <w:i/>
          <w:iCs/>
        </w:rPr>
        <w:t xml:space="preserve">JAMA </w:t>
      </w:r>
      <w:proofErr w:type="spellStart"/>
      <w:r w:rsidRPr="0096164D">
        <w:rPr>
          <w:rFonts w:ascii="Arial" w:hAnsi="Arial" w:cs="Arial"/>
          <w:i/>
          <w:iCs/>
        </w:rPr>
        <w:t>Pediatrics</w:t>
      </w:r>
      <w:proofErr w:type="spellEnd"/>
      <w:r w:rsidRPr="0096164D">
        <w:rPr>
          <w:rFonts w:ascii="Arial" w:hAnsi="Arial" w:cs="Arial"/>
        </w:rPr>
        <w:t>, 169(10), pp. 940–949.</w:t>
      </w:r>
    </w:p>
    <w:p w14:paraId="29003022" w14:textId="77777777" w:rsidR="0096164D" w:rsidRPr="0096164D" w:rsidRDefault="0096164D" w:rsidP="00C66DB7">
      <w:pPr>
        <w:ind w:left="720"/>
        <w:jc w:val="both"/>
        <w:rPr>
          <w:rFonts w:ascii="Arial" w:hAnsi="Arial" w:cs="Arial"/>
        </w:rPr>
      </w:pPr>
      <w:r w:rsidRPr="0096164D">
        <w:rPr>
          <w:rFonts w:ascii="Arial" w:hAnsi="Arial" w:cs="Arial"/>
        </w:rPr>
        <w:t xml:space="preserve">Marmot, M., Allen, J., Bell, R., Bloomer, E. and Goldblatt, P. (2020) </w:t>
      </w:r>
      <w:r w:rsidRPr="0096164D">
        <w:rPr>
          <w:rFonts w:ascii="Arial" w:hAnsi="Arial" w:cs="Arial"/>
          <w:i/>
          <w:iCs/>
        </w:rPr>
        <w:t>Health inequalities in the UK: The Marmot Review 10 years on</w:t>
      </w:r>
      <w:r w:rsidRPr="0096164D">
        <w:rPr>
          <w:rFonts w:ascii="Arial" w:hAnsi="Arial" w:cs="Arial"/>
        </w:rPr>
        <w:t>. London: UCL Institute of Health Equity.</w:t>
      </w:r>
    </w:p>
    <w:p w14:paraId="07434E43" w14:textId="77777777" w:rsidR="0096164D" w:rsidRPr="0096164D" w:rsidRDefault="0096164D" w:rsidP="00C66DB7">
      <w:pPr>
        <w:ind w:left="720"/>
        <w:jc w:val="both"/>
        <w:rPr>
          <w:rFonts w:ascii="Arial" w:hAnsi="Arial" w:cs="Arial"/>
        </w:rPr>
      </w:pPr>
      <w:r w:rsidRPr="0096164D">
        <w:rPr>
          <w:rFonts w:ascii="Arial" w:hAnsi="Arial" w:cs="Arial"/>
        </w:rPr>
        <w:t xml:space="preserve">Masten, A.S. (2014) 'Global perspectives on resilience in children and youth', </w:t>
      </w:r>
      <w:r w:rsidRPr="0096164D">
        <w:rPr>
          <w:rFonts w:ascii="Arial" w:hAnsi="Arial" w:cs="Arial"/>
          <w:i/>
          <w:iCs/>
        </w:rPr>
        <w:t>Child Development</w:t>
      </w:r>
      <w:r w:rsidRPr="0096164D">
        <w:rPr>
          <w:rFonts w:ascii="Arial" w:hAnsi="Arial" w:cs="Arial"/>
        </w:rPr>
        <w:t>, 85(1), pp. 6–20.</w:t>
      </w:r>
    </w:p>
    <w:p w14:paraId="3C1E25E0" w14:textId="77777777" w:rsidR="0096164D" w:rsidRPr="0096164D" w:rsidRDefault="0096164D" w:rsidP="00C66DB7">
      <w:pPr>
        <w:ind w:left="720"/>
        <w:jc w:val="both"/>
        <w:rPr>
          <w:rFonts w:ascii="Arial" w:hAnsi="Arial" w:cs="Arial"/>
        </w:rPr>
      </w:pPr>
      <w:r w:rsidRPr="0096164D">
        <w:rPr>
          <w:rFonts w:ascii="Arial" w:hAnsi="Arial" w:cs="Arial"/>
        </w:rPr>
        <w:lastRenderedPageBreak/>
        <w:t xml:space="preserve">National Institute for Health and Care Excellence (2018) </w:t>
      </w:r>
      <w:r w:rsidRPr="0096164D">
        <w:rPr>
          <w:rFonts w:ascii="Arial" w:hAnsi="Arial" w:cs="Arial"/>
          <w:i/>
          <w:iCs/>
        </w:rPr>
        <w:t>Trauma-informed care and support for people using health and social care services</w:t>
      </w:r>
      <w:r w:rsidRPr="0096164D">
        <w:rPr>
          <w:rFonts w:ascii="Arial" w:hAnsi="Arial" w:cs="Arial"/>
        </w:rPr>
        <w:t>. Guideline NG155. London: NICE.</w:t>
      </w:r>
    </w:p>
    <w:p w14:paraId="6B9FCB6E" w14:textId="77777777" w:rsidR="0096164D" w:rsidRPr="0096164D" w:rsidRDefault="0096164D" w:rsidP="00C66DB7">
      <w:pPr>
        <w:ind w:left="720"/>
        <w:jc w:val="both"/>
        <w:rPr>
          <w:rFonts w:ascii="Arial" w:hAnsi="Arial" w:cs="Arial"/>
        </w:rPr>
      </w:pPr>
      <w:r w:rsidRPr="0096164D">
        <w:rPr>
          <w:rFonts w:ascii="Arial" w:hAnsi="Arial" w:cs="Arial"/>
        </w:rPr>
        <w:t xml:space="preserve">NHS England (2022) </w:t>
      </w:r>
      <w:r w:rsidRPr="0096164D">
        <w:rPr>
          <w:rFonts w:ascii="Arial" w:hAnsi="Arial" w:cs="Arial"/>
          <w:i/>
          <w:iCs/>
        </w:rPr>
        <w:t>Trauma-informed care: A framework for mental health services</w:t>
      </w:r>
      <w:r w:rsidRPr="0096164D">
        <w:rPr>
          <w:rFonts w:ascii="Arial" w:hAnsi="Arial" w:cs="Arial"/>
        </w:rPr>
        <w:t>. London: NHS England.</w:t>
      </w:r>
    </w:p>
    <w:p w14:paraId="6C4C189E" w14:textId="77777777" w:rsidR="0096164D" w:rsidRPr="0096164D" w:rsidRDefault="0096164D" w:rsidP="00C66DB7">
      <w:pPr>
        <w:ind w:left="720"/>
        <w:jc w:val="both"/>
        <w:rPr>
          <w:rFonts w:ascii="Arial" w:hAnsi="Arial" w:cs="Arial"/>
        </w:rPr>
      </w:pPr>
      <w:r w:rsidRPr="0096164D">
        <w:rPr>
          <w:rFonts w:ascii="Arial" w:hAnsi="Arial" w:cs="Arial"/>
        </w:rPr>
        <w:t xml:space="preserve">Public Health Wales (2015) </w:t>
      </w:r>
      <w:r w:rsidRPr="0096164D">
        <w:rPr>
          <w:rFonts w:ascii="Arial" w:hAnsi="Arial" w:cs="Arial"/>
          <w:i/>
          <w:iCs/>
        </w:rPr>
        <w:t>Adverse childhood experiences (ACEs) in Wales: Findings from the 2014 Welsh Health Survey</w:t>
      </w:r>
      <w:r w:rsidRPr="0096164D">
        <w:rPr>
          <w:rFonts w:ascii="Arial" w:hAnsi="Arial" w:cs="Arial"/>
        </w:rPr>
        <w:t>. Cardiff: Welsh Government.</w:t>
      </w:r>
    </w:p>
    <w:p w14:paraId="3E5967B3" w14:textId="77777777" w:rsidR="0096164D" w:rsidRPr="0096164D" w:rsidRDefault="0096164D" w:rsidP="00C66DB7">
      <w:pPr>
        <w:ind w:left="720"/>
        <w:jc w:val="both"/>
        <w:rPr>
          <w:rFonts w:ascii="Arial" w:hAnsi="Arial" w:cs="Arial"/>
        </w:rPr>
      </w:pPr>
      <w:r w:rsidRPr="0096164D">
        <w:rPr>
          <w:rFonts w:ascii="Arial" w:hAnsi="Arial" w:cs="Arial"/>
        </w:rPr>
        <w:t xml:space="preserve">Substance Abuse and Mental Health Services Administration (2014) </w:t>
      </w:r>
      <w:r w:rsidRPr="0096164D">
        <w:rPr>
          <w:rFonts w:ascii="Arial" w:hAnsi="Arial" w:cs="Arial"/>
          <w:i/>
          <w:iCs/>
        </w:rPr>
        <w:t xml:space="preserve">Trauma-informed care in </w:t>
      </w:r>
      <w:proofErr w:type="spellStart"/>
      <w:r w:rsidRPr="0096164D">
        <w:rPr>
          <w:rFonts w:ascii="Arial" w:hAnsi="Arial" w:cs="Arial"/>
          <w:i/>
          <w:iCs/>
        </w:rPr>
        <w:t>behavioral</w:t>
      </w:r>
      <w:proofErr w:type="spellEnd"/>
      <w:r w:rsidRPr="0096164D">
        <w:rPr>
          <w:rFonts w:ascii="Arial" w:hAnsi="Arial" w:cs="Arial"/>
          <w:i/>
          <w:iCs/>
        </w:rPr>
        <w:t xml:space="preserve"> health services</w:t>
      </w:r>
      <w:r w:rsidRPr="0096164D">
        <w:rPr>
          <w:rFonts w:ascii="Arial" w:hAnsi="Arial" w:cs="Arial"/>
        </w:rPr>
        <w:t>. Rockville, MD: SAMHSA.</w:t>
      </w:r>
    </w:p>
    <w:p w14:paraId="06EC1313" w14:textId="77777777" w:rsidR="0096164D" w:rsidRPr="0096164D" w:rsidRDefault="0096164D" w:rsidP="00C66DB7">
      <w:pPr>
        <w:ind w:left="720"/>
        <w:jc w:val="both"/>
        <w:rPr>
          <w:rFonts w:ascii="Arial" w:hAnsi="Arial" w:cs="Arial"/>
        </w:rPr>
      </w:pPr>
      <w:r w:rsidRPr="0096164D">
        <w:rPr>
          <w:rFonts w:ascii="Arial" w:hAnsi="Arial" w:cs="Arial"/>
        </w:rPr>
        <w:t xml:space="preserve">Wickham, S., Hind, D., Baldry, E. and </w:t>
      </w:r>
      <w:proofErr w:type="spellStart"/>
      <w:r w:rsidRPr="0096164D">
        <w:rPr>
          <w:rFonts w:ascii="Arial" w:hAnsi="Arial" w:cs="Arial"/>
        </w:rPr>
        <w:t>Vostanis</w:t>
      </w:r>
      <w:proofErr w:type="spellEnd"/>
      <w:r w:rsidRPr="0096164D">
        <w:rPr>
          <w:rFonts w:ascii="Arial" w:hAnsi="Arial" w:cs="Arial"/>
        </w:rPr>
        <w:t xml:space="preserve">, P. (2016) 'The implementation of trauma-informed care in mental health services: a systematic review', </w:t>
      </w:r>
      <w:r w:rsidRPr="0096164D">
        <w:rPr>
          <w:rFonts w:ascii="Arial" w:hAnsi="Arial" w:cs="Arial"/>
          <w:i/>
          <w:iCs/>
        </w:rPr>
        <w:t>Journal of Mental Health</w:t>
      </w:r>
      <w:r w:rsidRPr="0096164D">
        <w:rPr>
          <w:rFonts w:ascii="Arial" w:hAnsi="Arial" w:cs="Arial"/>
        </w:rPr>
        <w:t>, 25(6), pp. 444–454.</w:t>
      </w:r>
    </w:p>
    <w:p w14:paraId="29A47999" w14:textId="77777777" w:rsidR="0096164D" w:rsidRPr="0096164D" w:rsidRDefault="0096164D" w:rsidP="00C66DB7">
      <w:pPr>
        <w:ind w:left="720"/>
        <w:jc w:val="both"/>
        <w:rPr>
          <w:rFonts w:ascii="Arial" w:hAnsi="Arial" w:cs="Arial"/>
        </w:rPr>
      </w:pPr>
      <w:r w:rsidRPr="0096164D">
        <w:rPr>
          <w:rFonts w:ascii="Arial" w:hAnsi="Arial" w:cs="Arial"/>
        </w:rPr>
        <w:t xml:space="preserve">World Health Organization (2010) </w:t>
      </w:r>
      <w:r w:rsidRPr="0096164D">
        <w:rPr>
          <w:rFonts w:ascii="Arial" w:hAnsi="Arial" w:cs="Arial"/>
          <w:i/>
          <w:iCs/>
        </w:rPr>
        <w:t>Social determinants of health: The solid facts</w:t>
      </w:r>
      <w:r w:rsidRPr="0096164D">
        <w:rPr>
          <w:rFonts w:ascii="Arial" w:hAnsi="Arial" w:cs="Arial"/>
        </w:rPr>
        <w:t xml:space="preserve">. 2nd </w:t>
      </w:r>
      <w:proofErr w:type="spellStart"/>
      <w:r w:rsidRPr="0096164D">
        <w:rPr>
          <w:rFonts w:ascii="Arial" w:hAnsi="Arial" w:cs="Arial"/>
        </w:rPr>
        <w:t>edn</w:t>
      </w:r>
      <w:proofErr w:type="spellEnd"/>
      <w:r w:rsidRPr="0096164D">
        <w:rPr>
          <w:rFonts w:ascii="Arial" w:hAnsi="Arial" w:cs="Arial"/>
        </w:rPr>
        <w:t>. Copenhagen: WHO Regional Office for Europe.</w:t>
      </w:r>
    </w:p>
    <w:p w14:paraId="25D9B72E" w14:textId="77777777" w:rsidR="0096164D" w:rsidRDefault="0096164D" w:rsidP="00C66DB7">
      <w:pPr>
        <w:ind w:left="720"/>
        <w:jc w:val="both"/>
        <w:rPr>
          <w:rFonts w:ascii="Arial" w:hAnsi="Arial" w:cs="Arial"/>
        </w:rPr>
      </w:pPr>
      <w:r w:rsidRPr="0096164D">
        <w:rPr>
          <w:rFonts w:ascii="Arial" w:hAnsi="Arial" w:cs="Arial"/>
        </w:rPr>
        <w:t xml:space="preserve">Zubin, J. and Spring, B. (1977) 'Vulnerability: a new view of schizophrenia', </w:t>
      </w:r>
      <w:r w:rsidRPr="0096164D">
        <w:rPr>
          <w:rFonts w:ascii="Arial" w:hAnsi="Arial" w:cs="Arial"/>
          <w:i/>
          <w:iCs/>
        </w:rPr>
        <w:t>Journal of Abnormal Psychology</w:t>
      </w:r>
      <w:r w:rsidRPr="0096164D">
        <w:rPr>
          <w:rFonts w:ascii="Arial" w:hAnsi="Arial" w:cs="Arial"/>
        </w:rPr>
        <w:t>, 86(2), pp. 103–126.</w:t>
      </w:r>
    </w:p>
    <w:p w14:paraId="3A4D5FD9" w14:textId="77777777" w:rsidR="00771771" w:rsidRDefault="00771771" w:rsidP="00771771">
      <w:pPr>
        <w:jc w:val="both"/>
        <w:rPr>
          <w:rFonts w:ascii="Arial" w:hAnsi="Arial" w:cs="Arial"/>
        </w:rPr>
      </w:pPr>
    </w:p>
    <w:p w14:paraId="66270796" w14:textId="77777777" w:rsidR="00771771" w:rsidRDefault="00771771" w:rsidP="00771771">
      <w:pPr>
        <w:jc w:val="both"/>
        <w:rPr>
          <w:rFonts w:ascii="Arial" w:hAnsi="Arial" w:cs="Arial"/>
        </w:rPr>
      </w:pPr>
    </w:p>
    <w:p w14:paraId="7BB9A079" w14:textId="77777777" w:rsidR="00771771" w:rsidRDefault="00771771" w:rsidP="00771771">
      <w:pPr>
        <w:jc w:val="both"/>
        <w:rPr>
          <w:rFonts w:ascii="Arial" w:hAnsi="Arial" w:cs="Arial"/>
        </w:rPr>
      </w:pPr>
    </w:p>
    <w:p w14:paraId="53CCFD23" w14:textId="77777777" w:rsidR="00771771" w:rsidRDefault="00771771" w:rsidP="00771771">
      <w:pPr>
        <w:jc w:val="both"/>
        <w:rPr>
          <w:rFonts w:ascii="Arial" w:hAnsi="Arial" w:cs="Arial"/>
        </w:rPr>
      </w:pPr>
    </w:p>
    <w:p w14:paraId="0D384567" w14:textId="77777777" w:rsidR="00771771" w:rsidRDefault="00771771" w:rsidP="00771771">
      <w:pPr>
        <w:jc w:val="both"/>
        <w:rPr>
          <w:rFonts w:ascii="Arial" w:hAnsi="Arial" w:cs="Arial"/>
        </w:rPr>
      </w:pPr>
    </w:p>
    <w:p w14:paraId="7A96FED8" w14:textId="77777777" w:rsidR="00771771" w:rsidRDefault="00771771" w:rsidP="00771771">
      <w:pPr>
        <w:jc w:val="both"/>
        <w:rPr>
          <w:rFonts w:ascii="Arial" w:hAnsi="Arial" w:cs="Arial"/>
        </w:rPr>
      </w:pPr>
    </w:p>
    <w:p w14:paraId="5B1B5846" w14:textId="77777777" w:rsidR="00771771" w:rsidRDefault="00771771" w:rsidP="00771771">
      <w:pPr>
        <w:jc w:val="both"/>
        <w:rPr>
          <w:rFonts w:ascii="Arial" w:hAnsi="Arial" w:cs="Arial"/>
        </w:rPr>
      </w:pPr>
    </w:p>
    <w:p w14:paraId="4D69D819" w14:textId="77777777" w:rsidR="00771771" w:rsidRDefault="00771771" w:rsidP="00771771">
      <w:pPr>
        <w:jc w:val="both"/>
        <w:rPr>
          <w:rFonts w:ascii="Arial" w:hAnsi="Arial" w:cs="Arial"/>
        </w:rPr>
      </w:pPr>
    </w:p>
    <w:p w14:paraId="63CD4841" w14:textId="77777777" w:rsidR="00771771" w:rsidRDefault="00771771" w:rsidP="00771771">
      <w:pPr>
        <w:jc w:val="both"/>
        <w:rPr>
          <w:rFonts w:ascii="Arial" w:hAnsi="Arial" w:cs="Arial"/>
        </w:rPr>
      </w:pPr>
    </w:p>
    <w:p w14:paraId="1D52C13A" w14:textId="77777777" w:rsidR="00771771" w:rsidRDefault="00771771" w:rsidP="00771771">
      <w:pPr>
        <w:jc w:val="both"/>
        <w:rPr>
          <w:rFonts w:ascii="Arial" w:hAnsi="Arial" w:cs="Arial"/>
        </w:rPr>
      </w:pPr>
    </w:p>
    <w:p w14:paraId="5101D8EB" w14:textId="77777777" w:rsidR="00771771" w:rsidRDefault="00771771" w:rsidP="00771771">
      <w:pPr>
        <w:jc w:val="both"/>
        <w:rPr>
          <w:rFonts w:ascii="Arial" w:hAnsi="Arial" w:cs="Arial"/>
        </w:rPr>
      </w:pPr>
    </w:p>
    <w:p w14:paraId="2AE4C6A0" w14:textId="77777777" w:rsidR="00771771" w:rsidRDefault="00771771" w:rsidP="00771771">
      <w:pPr>
        <w:jc w:val="both"/>
        <w:rPr>
          <w:rFonts w:ascii="Arial" w:hAnsi="Arial" w:cs="Arial"/>
        </w:rPr>
      </w:pPr>
    </w:p>
    <w:p w14:paraId="2519BB38" w14:textId="77777777" w:rsidR="00771771" w:rsidRDefault="00771771" w:rsidP="00771771">
      <w:pPr>
        <w:jc w:val="both"/>
        <w:rPr>
          <w:rFonts w:ascii="Arial" w:hAnsi="Arial" w:cs="Arial"/>
        </w:rPr>
      </w:pPr>
    </w:p>
    <w:p w14:paraId="5F67A4AC" w14:textId="77777777" w:rsidR="00771771" w:rsidRDefault="00771771" w:rsidP="00771771">
      <w:pPr>
        <w:jc w:val="both"/>
        <w:rPr>
          <w:rFonts w:ascii="Arial" w:hAnsi="Arial" w:cs="Arial"/>
        </w:rPr>
      </w:pPr>
    </w:p>
    <w:p w14:paraId="024A8567" w14:textId="77777777" w:rsidR="00771771" w:rsidRDefault="00771771" w:rsidP="00771771">
      <w:pPr>
        <w:jc w:val="both"/>
        <w:rPr>
          <w:rFonts w:ascii="Arial" w:hAnsi="Arial" w:cs="Arial"/>
        </w:rPr>
      </w:pPr>
    </w:p>
    <w:p w14:paraId="26BBD282" w14:textId="77777777" w:rsidR="00771771" w:rsidRDefault="00771771" w:rsidP="00771771">
      <w:pPr>
        <w:jc w:val="both"/>
        <w:rPr>
          <w:rFonts w:ascii="Arial" w:hAnsi="Arial" w:cs="Arial"/>
        </w:rPr>
      </w:pPr>
    </w:p>
    <w:p w14:paraId="3EE7CF37" w14:textId="77777777" w:rsidR="00771771" w:rsidRDefault="00771771" w:rsidP="00771771">
      <w:pPr>
        <w:jc w:val="both"/>
        <w:rPr>
          <w:rFonts w:ascii="Arial" w:hAnsi="Arial" w:cs="Arial"/>
        </w:rPr>
      </w:pPr>
    </w:p>
    <w:p w14:paraId="195950E8" w14:textId="77777777" w:rsidR="00771771" w:rsidRDefault="00771771" w:rsidP="00771771">
      <w:pPr>
        <w:jc w:val="both"/>
        <w:rPr>
          <w:rFonts w:ascii="Arial" w:hAnsi="Arial" w:cs="Arial"/>
        </w:rPr>
      </w:pPr>
    </w:p>
    <w:p w14:paraId="595808F9" w14:textId="77777777" w:rsidR="00771771" w:rsidRDefault="00771771" w:rsidP="00771771">
      <w:pPr>
        <w:jc w:val="both"/>
        <w:rPr>
          <w:rFonts w:ascii="Arial" w:hAnsi="Arial" w:cs="Arial"/>
        </w:rPr>
      </w:pPr>
    </w:p>
    <w:p w14:paraId="3744B639" w14:textId="77777777" w:rsidR="00771771" w:rsidRDefault="00771771" w:rsidP="00771771">
      <w:pPr>
        <w:jc w:val="both"/>
        <w:rPr>
          <w:rFonts w:ascii="Arial" w:hAnsi="Arial" w:cs="Arial"/>
        </w:rPr>
      </w:pPr>
    </w:p>
    <w:p w14:paraId="79DC3D0E" w14:textId="77777777" w:rsidR="00771771" w:rsidRDefault="00771771" w:rsidP="00771771">
      <w:pPr>
        <w:jc w:val="both"/>
        <w:rPr>
          <w:rFonts w:ascii="Arial" w:hAnsi="Arial" w:cs="Arial"/>
        </w:rPr>
      </w:pPr>
    </w:p>
    <w:p w14:paraId="6AC218D6" w14:textId="77777777" w:rsidR="00771771" w:rsidRDefault="00771771" w:rsidP="00771771">
      <w:pPr>
        <w:jc w:val="both"/>
        <w:rPr>
          <w:rFonts w:ascii="Arial" w:hAnsi="Arial" w:cs="Arial"/>
        </w:rPr>
      </w:pPr>
    </w:p>
    <w:p w14:paraId="16E4C523" w14:textId="77777777" w:rsidR="00771771" w:rsidRDefault="00771771" w:rsidP="00771771">
      <w:pPr>
        <w:jc w:val="both"/>
        <w:rPr>
          <w:rFonts w:ascii="Arial" w:hAnsi="Arial" w:cs="Arial"/>
        </w:rPr>
      </w:pPr>
    </w:p>
    <w:p w14:paraId="5336CF07" w14:textId="77777777" w:rsidR="00771771" w:rsidRDefault="00771771" w:rsidP="00771771">
      <w:pPr>
        <w:jc w:val="both"/>
        <w:rPr>
          <w:rFonts w:ascii="Arial" w:hAnsi="Arial" w:cs="Arial"/>
        </w:rPr>
      </w:pPr>
    </w:p>
    <w:p w14:paraId="37E4912E" w14:textId="77777777" w:rsidR="00771771" w:rsidRDefault="00771771" w:rsidP="00771771">
      <w:pPr>
        <w:jc w:val="both"/>
        <w:rPr>
          <w:rFonts w:ascii="Arial" w:hAnsi="Arial" w:cs="Arial"/>
        </w:rPr>
      </w:pPr>
    </w:p>
    <w:p w14:paraId="22925116" w14:textId="77777777" w:rsidR="00771771" w:rsidRDefault="00771771" w:rsidP="00771771">
      <w:pPr>
        <w:jc w:val="both"/>
        <w:rPr>
          <w:rFonts w:ascii="Arial" w:hAnsi="Arial" w:cs="Arial"/>
        </w:rPr>
      </w:pPr>
    </w:p>
    <w:p w14:paraId="32AE35AA" w14:textId="77777777" w:rsidR="00771771" w:rsidRDefault="00771771" w:rsidP="00771771">
      <w:pPr>
        <w:jc w:val="both"/>
        <w:rPr>
          <w:rFonts w:ascii="Arial" w:hAnsi="Arial" w:cs="Arial"/>
        </w:rPr>
      </w:pPr>
    </w:p>
    <w:p w14:paraId="4F29B7EE" w14:textId="3A94FB06" w:rsidR="00771771" w:rsidRPr="008A2B5C" w:rsidRDefault="00771771" w:rsidP="00771771">
      <w:pPr>
        <w:jc w:val="both"/>
        <w:rPr>
          <w:rFonts w:ascii="Arial" w:hAnsi="Arial" w:cs="Arial"/>
          <w:sz w:val="52"/>
          <w:szCs w:val="52"/>
        </w:rPr>
      </w:pPr>
      <w:r w:rsidRPr="008A2B5C">
        <w:rPr>
          <w:rFonts w:ascii="Arial" w:hAnsi="Arial" w:cs="Arial"/>
          <w:b/>
          <w:bCs/>
          <w:sz w:val="52"/>
          <w:szCs w:val="52"/>
        </w:rPr>
        <w:t>Name:</w:t>
      </w:r>
      <w:r w:rsidRPr="008A2B5C">
        <w:rPr>
          <w:rFonts w:ascii="Arial" w:hAnsi="Arial" w:cs="Arial"/>
          <w:sz w:val="52"/>
          <w:szCs w:val="52"/>
        </w:rPr>
        <w:t xml:space="preserve">  Salhma Parveen</w:t>
      </w:r>
    </w:p>
    <w:p w14:paraId="3B921BF4" w14:textId="3FB7BEEB" w:rsidR="00771771" w:rsidRPr="008A2B5C" w:rsidRDefault="00771771" w:rsidP="00771771">
      <w:pPr>
        <w:jc w:val="both"/>
        <w:rPr>
          <w:rFonts w:ascii="Arial" w:hAnsi="Arial" w:cs="Arial"/>
          <w:sz w:val="52"/>
          <w:szCs w:val="52"/>
        </w:rPr>
      </w:pPr>
      <w:r w:rsidRPr="008A2B5C">
        <w:rPr>
          <w:rFonts w:ascii="Arial" w:hAnsi="Arial" w:cs="Arial"/>
          <w:b/>
          <w:bCs/>
          <w:sz w:val="52"/>
          <w:szCs w:val="52"/>
        </w:rPr>
        <w:t>Student id:</w:t>
      </w:r>
      <w:r w:rsidRPr="008A2B5C">
        <w:rPr>
          <w:rFonts w:ascii="Arial" w:hAnsi="Arial" w:cs="Arial"/>
          <w:sz w:val="52"/>
          <w:szCs w:val="52"/>
        </w:rPr>
        <w:t xml:space="preserve"> 2315839</w:t>
      </w:r>
    </w:p>
    <w:p w14:paraId="0C3C07A2" w14:textId="30E62E94" w:rsidR="00771771" w:rsidRPr="008A2B5C" w:rsidRDefault="00771771" w:rsidP="00771771">
      <w:pPr>
        <w:jc w:val="both"/>
        <w:rPr>
          <w:rFonts w:ascii="Arial" w:hAnsi="Arial" w:cs="Arial"/>
          <w:sz w:val="52"/>
          <w:szCs w:val="52"/>
        </w:rPr>
      </w:pPr>
      <w:r w:rsidRPr="008A2B5C">
        <w:rPr>
          <w:rFonts w:ascii="Arial" w:hAnsi="Arial" w:cs="Arial"/>
          <w:b/>
          <w:bCs/>
          <w:sz w:val="52"/>
          <w:szCs w:val="52"/>
        </w:rPr>
        <w:t>Title:</w:t>
      </w:r>
      <w:r w:rsidRPr="008A2B5C">
        <w:rPr>
          <w:rFonts w:ascii="Arial" w:hAnsi="Arial" w:cs="Arial"/>
          <w:sz w:val="52"/>
          <w:szCs w:val="52"/>
        </w:rPr>
        <w:t xml:space="preserve"> Chapter 5: Recommendation</w:t>
      </w:r>
    </w:p>
    <w:p w14:paraId="32127B6E" w14:textId="77777777" w:rsidR="008A2B5C" w:rsidRPr="008A2B5C" w:rsidRDefault="008A2B5C" w:rsidP="008A2B5C">
      <w:pPr>
        <w:jc w:val="both"/>
        <w:rPr>
          <w:rFonts w:ascii="Arial" w:hAnsi="Arial" w:cs="Arial"/>
          <w:sz w:val="52"/>
          <w:szCs w:val="52"/>
        </w:rPr>
      </w:pPr>
      <w:r w:rsidRPr="008A2B5C">
        <w:rPr>
          <w:rFonts w:ascii="Arial" w:hAnsi="Arial" w:cs="Arial"/>
          <w:b/>
          <w:bCs/>
          <w:sz w:val="52"/>
          <w:szCs w:val="52"/>
        </w:rPr>
        <w:t>Module:</w:t>
      </w:r>
      <w:r w:rsidRPr="008A2B5C">
        <w:rPr>
          <w:rFonts w:ascii="Arial" w:hAnsi="Arial" w:cs="Arial"/>
          <w:sz w:val="52"/>
          <w:szCs w:val="52"/>
        </w:rPr>
        <w:t xml:space="preserve"> BMHP6020 Independent Project</w:t>
      </w:r>
    </w:p>
    <w:p w14:paraId="0A15EB8E" w14:textId="77777777" w:rsidR="008A2B5C" w:rsidRDefault="008A2B5C" w:rsidP="008A2B5C">
      <w:pPr>
        <w:jc w:val="both"/>
        <w:rPr>
          <w:rFonts w:ascii="Arial" w:hAnsi="Arial" w:cs="Arial"/>
          <w:sz w:val="52"/>
          <w:szCs w:val="52"/>
        </w:rPr>
      </w:pPr>
      <w:r w:rsidRPr="008A2B5C">
        <w:rPr>
          <w:rFonts w:ascii="Arial" w:hAnsi="Arial" w:cs="Arial"/>
          <w:b/>
          <w:bCs/>
          <w:sz w:val="52"/>
          <w:szCs w:val="52"/>
        </w:rPr>
        <w:t>Module Leader:</w:t>
      </w:r>
      <w:r w:rsidRPr="008A2B5C">
        <w:rPr>
          <w:rFonts w:ascii="Arial" w:hAnsi="Arial" w:cs="Arial"/>
          <w:sz w:val="52"/>
          <w:szCs w:val="52"/>
        </w:rPr>
        <w:t xml:space="preserve"> Chloe Harries</w:t>
      </w:r>
    </w:p>
    <w:p w14:paraId="09BEB4E7" w14:textId="77777777" w:rsidR="0079362D" w:rsidRDefault="0079362D" w:rsidP="008A2B5C">
      <w:pPr>
        <w:jc w:val="both"/>
        <w:rPr>
          <w:rFonts w:ascii="Arial" w:hAnsi="Arial" w:cs="Arial"/>
          <w:sz w:val="52"/>
          <w:szCs w:val="52"/>
        </w:rPr>
      </w:pPr>
    </w:p>
    <w:p w14:paraId="410B3D2E" w14:textId="77777777" w:rsidR="0079362D" w:rsidRDefault="0079362D" w:rsidP="008A2B5C">
      <w:pPr>
        <w:jc w:val="both"/>
        <w:rPr>
          <w:rFonts w:ascii="Arial" w:hAnsi="Arial" w:cs="Arial"/>
          <w:sz w:val="52"/>
          <w:szCs w:val="52"/>
        </w:rPr>
      </w:pPr>
    </w:p>
    <w:p w14:paraId="3FCE245C" w14:textId="77777777" w:rsidR="0079362D" w:rsidRDefault="0079362D" w:rsidP="008A2B5C">
      <w:pPr>
        <w:jc w:val="both"/>
        <w:rPr>
          <w:rFonts w:ascii="Arial" w:hAnsi="Arial" w:cs="Arial"/>
          <w:sz w:val="52"/>
          <w:szCs w:val="52"/>
        </w:rPr>
      </w:pPr>
    </w:p>
    <w:p w14:paraId="0F753F38" w14:textId="77777777" w:rsidR="0079362D" w:rsidRDefault="0079362D" w:rsidP="008A2B5C">
      <w:pPr>
        <w:jc w:val="both"/>
        <w:rPr>
          <w:rFonts w:ascii="Arial" w:hAnsi="Arial" w:cs="Arial"/>
          <w:sz w:val="52"/>
          <w:szCs w:val="52"/>
        </w:rPr>
      </w:pPr>
    </w:p>
    <w:p w14:paraId="4818CD38" w14:textId="77777777" w:rsidR="0079362D" w:rsidRDefault="0079362D" w:rsidP="008A2B5C">
      <w:pPr>
        <w:jc w:val="both"/>
        <w:rPr>
          <w:rFonts w:ascii="Arial" w:hAnsi="Arial" w:cs="Arial"/>
          <w:sz w:val="52"/>
          <w:szCs w:val="52"/>
        </w:rPr>
      </w:pPr>
    </w:p>
    <w:p w14:paraId="7555E8D0" w14:textId="77777777" w:rsidR="0079362D" w:rsidRDefault="0079362D" w:rsidP="008A2B5C">
      <w:pPr>
        <w:jc w:val="both"/>
        <w:rPr>
          <w:rFonts w:ascii="Arial" w:hAnsi="Arial" w:cs="Arial"/>
          <w:sz w:val="52"/>
          <w:szCs w:val="52"/>
        </w:rPr>
      </w:pPr>
    </w:p>
    <w:p w14:paraId="2E4FEC92" w14:textId="77777777" w:rsidR="0079362D" w:rsidRDefault="0079362D" w:rsidP="008A2B5C">
      <w:pPr>
        <w:jc w:val="both"/>
        <w:rPr>
          <w:rFonts w:ascii="Arial" w:hAnsi="Arial" w:cs="Arial"/>
          <w:sz w:val="52"/>
          <w:szCs w:val="52"/>
        </w:rPr>
      </w:pPr>
    </w:p>
    <w:p w14:paraId="0EC67A09" w14:textId="77777777" w:rsidR="0079362D" w:rsidRDefault="0079362D" w:rsidP="008A2B5C">
      <w:pPr>
        <w:jc w:val="both"/>
        <w:rPr>
          <w:rFonts w:ascii="Arial" w:hAnsi="Arial" w:cs="Arial"/>
          <w:sz w:val="52"/>
          <w:szCs w:val="52"/>
        </w:rPr>
      </w:pPr>
    </w:p>
    <w:p w14:paraId="2F9438CC" w14:textId="77777777" w:rsidR="0079362D" w:rsidRDefault="0079362D" w:rsidP="008A2B5C">
      <w:pPr>
        <w:jc w:val="both"/>
        <w:rPr>
          <w:rFonts w:ascii="Arial" w:hAnsi="Arial" w:cs="Arial"/>
          <w:sz w:val="52"/>
          <w:szCs w:val="52"/>
        </w:rPr>
      </w:pPr>
    </w:p>
    <w:p w14:paraId="7BB69CC6" w14:textId="77777777" w:rsidR="0079362D" w:rsidRDefault="0079362D" w:rsidP="008A2B5C">
      <w:pPr>
        <w:jc w:val="both"/>
        <w:rPr>
          <w:rFonts w:ascii="Arial" w:hAnsi="Arial" w:cs="Arial"/>
          <w:sz w:val="52"/>
          <w:szCs w:val="52"/>
        </w:rPr>
      </w:pPr>
    </w:p>
    <w:p w14:paraId="27871803" w14:textId="77777777" w:rsidR="0079362D" w:rsidRDefault="0079362D" w:rsidP="008A2B5C">
      <w:pPr>
        <w:jc w:val="both"/>
        <w:rPr>
          <w:rFonts w:ascii="Arial" w:hAnsi="Arial" w:cs="Arial"/>
          <w:sz w:val="52"/>
          <w:szCs w:val="52"/>
        </w:rPr>
      </w:pPr>
    </w:p>
    <w:p w14:paraId="14E35DF9" w14:textId="77777777" w:rsidR="0079362D" w:rsidRPr="0079362D" w:rsidRDefault="0079362D" w:rsidP="008A2B5C">
      <w:pPr>
        <w:jc w:val="both"/>
        <w:rPr>
          <w:rFonts w:ascii="Arial" w:hAnsi="Arial" w:cs="Arial"/>
        </w:rPr>
      </w:pPr>
    </w:p>
    <w:p w14:paraId="164FA18F" w14:textId="77777777" w:rsidR="0079362D" w:rsidRPr="004C664C" w:rsidRDefault="0079362D" w:rsidP="0079362D">
      <w:pPr>
        <w:jc w:val="both"/>
        <w:rPr>
          <w:rFonts w:ascii="Arial" w:hAnsi="Arial" w:cs="Arial"/>
          <w:b/>
          <w:bCs/>
          <w:sz w:val="32"/>
          <w:szCs w:val="32"/>
          <w:u w:val="single"/>
        </w:rPr>
      </w:pPr>
      <w:r w:rsidRPr="004C664C">
        <w:rPr>
          <w:rFonts w:ascii="Arial" w:hAnsi="Arial" w:cs="Arial"/>
          <w:b/>
          <w:bCs/>
          <w:sz w:val="32"/>
          <w:szCs w:val="32"/>
          <w:u w:val="single"/>
        </w:rPr>
        <w:t>Chapter 5: Conclusion and Recommendations</w:t>
      </w:r>
    </w:p>
    <w:p w14:paraId="07F5A8D8" w14:textId="77777777" w:rsidR="0079362D" w:rsidRPr="004C664C" w:rsidRDefault="0079362D" w:rsidP="0079362D">
      <w:pPr>
        <w:jc w:val="both"/>
        <w:rPr>
          <w:rFonts w:ascii="Arial" w:hAnsi="Arial" w:cs="Arial"/>
          <w:b/>
          <w:bCs/>
          <w:sz w:val="28"/>
          <w:szCs w:val="28"/>
          <w:u w:val="single"/>
        </w:rPr>
      </w:pPr>
      <w:r w:rsidRPr="004C664C">
        <w:rPr>
          <w:rFonts w:ascii="Arial" w:hAnsi="Arial" w:cs="Arial"/>
          <w:b/>
          <w:bCs/>
          <w:sz w:val="28"/>
          <w:szCs w:val="28"/>
          <w:u w:val="single"/>
        </w:rPr>
        <w:t>5.1 Overall Conclusion</w:t>
      </w:r>
    </w:p>
    <w:p w14:paraId="765B1B4A" w14:textId="77777777" w:rsidR="0079362D" w:rsidRPr="0079362D" w:rsidRDefault="0079362D" w:rsidP="0079362D">
      <w:pPr>
        <w:jc w:val="both"/>
        <w:rPr>
          <w:rFonts w:ascii="Arial" w:hAnsi="Arial" w:cs="Arial"/>
        </w:rPr>
      </w:pPr>
      <w:r w:rsidRPr="0079362D">
        <w:rPr>
          <w:rFonts w:ascii="Arial" w:hAnsi="Arial" w:cs="Arial"/>
        </w:rPr>
        <w:t>This dissertation has critically examined the relationship between Adverse Childhood Experiences (ACEs) and adult mental health outcomes in the UK and explored the implications for policy and practice. The primary aim was achieved through a systematic literature review and thematic analysis of a rigorously selected evidence base.</w:t>
      </w:r>
    </w:p>
    <w:p w14:paraId="2032E843" w14:textId="77777777" w:rsidR="0079362D" w:rsidRPr="0079362D" w:rsidRDefault="0079362D" w:rsidP="0079362D">
      <w:pPr>
        <w:jc w:val="both"/>
        <w:rPr>
          <w:rFonts w:ascii="Arial" w:hAnsi="Arial" w:cs="Arial"/>
        </w:rPr>
      </w:pPr>
      <w:r w:rsidRPr="0079362D">
        <w:rPr>
          <w:rFonts w:ascii="Arial" w:hAnsi="Arial" w:cs="Arial"/>
        </w:rPr>
        <w:t>The research objectives were collectively addressed throughout the dissertation. Chapter 2 established the key concepts of ACEs and Trauma-Informed Practice (TIP), providing the theoretical framework for the study. Chapter 4 critically analysed the literature through three interconnected themes: the direct and cumulative relationship between ACEs and adult mental health; the influence of protective factors and social inequality; and the role of Trauma-Informed Practice (TIP) in improving outcomes for individuals affected by childhood adversity. Throughout the discussion, the strengths, limitations, and methodological quality of the evidence were evaluated, allowing the findings to be interpreted critically rather than descriptively.</w:t>
      </w:r>
    </w:p>
    <w:p w14:paraId="5C0507EA" w14:textId="77777777" w:rsidR="0079362D" w:rsidRPr="0079362D" w:rsidRDefault="0079362D" w:rsidP="0079362D">
      <w:pPr>
        <w:jc w:val="both"/>
        <w:rPr>
          <w:rFonts w:ascii="Arial" w:hAnsi="Arial" w:cs="Arial"/>
        </w:rPr>
      </w:pPr>
      <w:r w:rsidRPr="0079362D">
        <w:rPr>
          <w:rFonts w:ascii="Arial" w:hAnsi="Arial" w:cs="Arial"/>
        </w:rPr>
        <w:t>Overall, the findings demonstrate a clear dose-response relationship between ACE exposure and poor adult mental health outcomes. Individuals exposed to multiple ACEs are significantly more likely to experience depression, anxiety, self-harm, suicidal behaviour, and other long-term psychological difficulties. However, the review also highlights that these outcomes are not inevitable. Protective factors such as supportive relationships, resilient communities, and timely intervention can reduce the impact of childhood adversity, while social inequality can intensify both exposure to ACEs and barriers to accessing support. The findings also show that although Trauma-Informed Practice (TIP) is increasingly recognised as good practice across the UK, implementation remains inconsistent between organisations and geographical areas. These findings provide a strong evidence base for the recommendations presented below.</w:t>
      </w:r>
    </w:p>
    <w:p w14:paraId="480D70FA" w14:textId="77777777" w:rsidR="0079362D" w:rsidRPr="0079362D" w:rsidRDefault="0079362D" w:rsidP="0079362D">
      <w:pPr>
        <w:jc w:val="both"/>
        <w:rPr>
          <w:rFonts w:ascii="Arial" w:hAnsi="Arial" w:cs="Arial"/>
        </w:rPr>
      </w:pPr>
      <w:r w:rsidRPr="0079362D">
        <w:rPr>
          <w:rFonts w:ascii="Arial" w:hAnsi="Arial" w:cs="Arial"/>
        </w:rPr>
        <w:pict w14:anchorId="4087404C">
          <v:rect id="_x0000_i1400" style="width:0;height:1.5pt" o:hralign="center" o:hrstd="t" o:hr="t" fillcolor="#a0a0a0" stroked="f"/>
        </w:pict>
      </w:r>
    </w:p>
    <w:p w14:paraId="6CB886E9" w14:textId="7E1C8DAE" w:rsidR="004C664C" w:rsidRPr="004C664C" w:rsidRDefault="0079362D" w:rsidP="0079362D">
      <w:pPr>
        <w:jc w:val="both"/>
        <w:rPr>
          <w:rFonts w:ascii="Arial" w:hAnsi="Arial" w:cs="Arial"/>
          <w:b/>
          <w:bCs/>
          <w:sz w:val="32"/>
          <w:szCs w:val="32"/>
          <w:u w:val="single"/>
        </w:rPr>
      </w:pPr>
      <w:r w:rsidRPr="004C664C">
        <w:rPr>
          <w:rFonts w:ascii="Arial" w:hAnsi="Arial" w:cs="Arial"/>
          <w:b/>
          <w:bCs/>
          <w:sz w:val="32"/>
          <w:szCs w:val="32"/>
          <w:u w:val="single"/>
        </w:rPr>
        <w:t>5.2 Recommendations</w:t>
      </w:r>
    </w:p>
    <w:p w14:paraId="026D665D" w14:textId="77777777" w:rsidR="0079362D" w:rsidRPr="0079362D" w:rsidRDefault="0079362D" w:rsidP="0079362D">
      <w:pPr>
        <w:jc w:val="both"/>
        <w:rPr>
          <w:rFonts w:ascii="Arial" w:hAnsi="Arial" w:cs="Arial"/>
          <w:b/>
          <w:bCs/>
          <w:sz w:val="28"/>
          <w:szCs w:val="28"/>
          <w:u w:val="single"/>
        </w:rPr>
      </w:pPr>
      <w:r w:rsidRPr="0079362D">
        <w:rPr>
          <w:rFonts w:ascii="Arial" w:hAnsi="Arial" w:cs="Arial"/>
          <w:b/>
          <w:bCs/>
          <w:sz w:val="28"/>
          <w:szCs w:val="28"/>
          <w:u w:val="single"/>
        </w:rPr>
        <w:t>5.2.1 Recommendation 1: Integrate Universal ACE Awareness Training for Specific Frontline Professionals</w:t>
      </w:r>
    </w:p>
    <w:p w14:paraId="39FCB3A9"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Recommendation</w:t>
      </w:r>
    </w:p>
    <w:p w14:paraId="2E8524E1" w14:textId="77777777" w:rsidR="0079362D" w:rsidRPr="0079362D" w:rsidRDefault="0079362D" w:rsidP="0079362D">
      <w:pPr>
        <w:jc w:val="both"/>
        <w:rPr>
          <w:rFonts w:ascii="Arial" w:hAnsi="Arial" w:cs="Arial"/>
        </w:rPr>
      </w:pPr>
      <w:r w:rsidRPr="0079362D">
        <w:rPr>
          <w:rFonts w:ascii="Arial" w:hAnsi="Arial" w:cs="Arial"/>
        </w:rPr>
        <w:lastRenderedPageBreak/>
        <w:t>All GPs, practice nurses, Child and Adolescent Mental Health Services (CAMHS) clinicians, mental health nurses, social workers, and school safeguarding leads should complete mandatory, accredited training on the impact of Adverse Childhood Experiences (ACEs).</w:t>
      </w:r>
    </w:p>
    <w:p w14:paraId="44E484FC"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Evidence from Theme 1</w:t>
      </w:r>
    </w:p>
    <w:p w14:paraId="0DCE88B3" w14:textId="77777777" w:rsidR="0079362D" w:rsidRPr="0079362D" w:rsidRDefault="0079362D" w:rsidP="0079362D">
      <w:pPr>
        <w:jc w:val="both"/>
        <w:rPr>
          <w:rFonts w:ascii="Arial" w:hAnsi="Arial" w:cs="Arial"/>
        </w:rPr>
      </w:pPr>
      <w:r w:rsidRPr="0079362D">
        <w:rPr>
          <w:rFonts w:ascii="Arial" w:hAnsi="Arial" w:cs="Arial"/>
        </w:rPr>
        <w:t>Theme 1 demonstrated a strong relationship between ACE exposure and adult mental health disorders, including depression, anxiety, self-harm, and suicidal behaviour (Bellis et al., 2015; Public Health Wales, 2015). Without an understanding of these associations, frontline professionals may fail to recognise the long-term effects of childhood trauma or identify individuals who require additional support.</w:t>
      </w:r>
    </w:p>
    <w:p w14:paraId="0F11E25D" w14:textId="77777777" w:rsidR="004C664C" w:rsidRDefault="004C664C" w:rsidP="0079362D">
      <w:pPr>
        <w:jc w:val="both"/>
        <w:rPr>
          <w:rFonts w:ascii="Arial" w:hAnsi="Arial" w:cs="Arial"/>
          <w:b/>
          <w:bCs/>
          <w:sz w:val="24"/>
          <w:szCs w:val="24"/>
          <w:u w:val="single"/>
        </w:rPr>
      </w:pPr>
    </w:p>
    <w:p w14:paraId="475EE3A3" w14:textId="287441ED"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Implementation</w:t>
      </w:r>
    </w:p>
    <w:p w14:paraId="1E4FCF4A" w14:textId="77777777" w:rsidR="0079362D" w:rsidRPr="0079362D" w:rsidRDefault="0079362D" w:rsidP="0079362D">
      <w:pPr>
        <w:jc w:val="both"/>
        <w:rPr>
          <w:rFonts w:ascii="Arial" w:hAnsi="Arial" w:cs="Arial"/>
        </w:rPr>
      </w:pPr>
      <w:r w:rsidRPr="0079362D">
        <w:rPr>
          <w:rFonts w:ascii="Arial" w:hAnsi="Arial" w:cs="Arial"/>
        </w:rPr>
        <w:t>Training should be introduced nationally through relevant professional bodies, including the General Medical Council (GMC), Nursing and Midwifery Council (NMC), Social Work England, and education regulators, as part of continuing professional development (CPD). Mandatory training is preferable to optional training because it promotes consistency across the workforce, reduces variation in practice, and establishes a shared understanding of trauma-informed approaches.</w:t>
      </w:r>
    </w:p>
    <w:p w14:paraId="76D01303"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Benefits and Expected Impact</w:t>
      </w:r>
    </w:p>
    <w:p w14:paraId="27763EB8" w14:textId="77777777" w:rsidR="0079362D" w:rsidRPr="0079362D" w:rsidRDefault="0079362D" w:rsidP="0079362D">
      <w:pPr>
        <w:jc w:val="both"/>
        <w:rPr>
          <w:rFonts w:ascii="Arial" w:hAnsi="Arial" w:cs="Arial"/>
        </w:rPr>
      </w:pPr>
      <w:r w:rsidRPr="0079362D">
        <w:rPr>
          <w:rFonts w:ascii="Arial" w:hAnsi="Arial" w:cs="Arial"/>
        </w:rPr>
        <w:t>Introducing universal ACE awareness training would improve early identification of trauma, encourage earlier intervention, strengthen communication between services, and promote more coordinated care. In the longer term, improved recognition of ACEs may reduce mental health inequalities and improve outcomes for individuals affected by childhood adversity.</w:t>
      </w:r>
    </w:p>
    <w:p w14:paraId="7E50F095"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Barriers and Limitations</w:t>
      </w:r>
    </w:p>
    <w:p w14:paraId="022A78DF" w14:textId="77777777" w:rsidR="0079362D" w:rsidRPr="0079362D" w:rsidRDefault="0079362D" w:rsidP="0079362D">
      <w:pPr>
        <w:jc w:val="both"/>
        <w:rPr>
          <w:rFonts w:ascii="Arial" w:hAnsi="Arial" w:cs="Arial"/>
        </w:rPr>
      </w:pPr>
      <w:r w:rsidRPr="0079362D">
        <w:rPr>
          <w:rFonts w:ascii="Arial" w:hAnsi="Arial" w:cs="Arial"/>
        </w:rPr>
        <w:t>Implementation may be limited by workforce shortages, competing service pressures, financial constraints, and resistance to mandatory training requirements. Additional resources and protected training time would therefore be required.</w:t>
      </w:r>
    </w:p>
    <w:p w14:paraId="326BB67D" w14:textId="77777777" w:rsidR="0079362D" w:rsidRPr="0079362D" w:rsidRDefault="0079362D" w:rsidP="0079362D">
      <w:pPr>
        <w:jc w:val="both"/>
        <w:rPr>
          <w:rFonts w:ascii="Arial" w:hAnsi="Arial" w:cs="Arial"/>
        </w:rPr>
      </w:pPr>
      <w:r w:rsidRPr="0079362D">
        <w:rPr>
          <w:rFonts w:ascii="Arial" w:hAnsi="Arial" w:cs="Arial"/>
        </w:rPr>
        <w:pict w14:anchorId="1FBA7595">
          <v:rect id="_x0000_i1401" style="width:0;height:1.5pt" o:hralign="center" o:hrstd="t" o:hr="t" fillcolor="#a0a0a0" stroked="f"/>
        </w:pict>
      </w:r>
    </w:p>
    <w:p w14:paraId="6944AB15" w14:textId="77777777" w:rsidR="0079362D" w:rsidRDefault="0079362D" w:rsidP="0079362D">
      <w:pPr>
        <w:jc w:val="both"/>
        <w:rPr>
          <w:rFonts w:ascii="Arial" w:hAnsi="Arial" w:cs="Arial"/>
          <w:b/>
          <w:bCs/>
          <w:sz w:val="28"/>
          <w:szCs w:val="28"/>
          <w:u w:val="single"/>
        </w:rPr>
      </w:pPr>
      <w:r w:rsidRPr="0079362D">
        <w:rPr>
          <w:rFonts w:ascii="Arial" w:hAnsi="Arial" w:cs="Arial"/>
          <w:b/>
          <w:bCs/>
          <w:sz w:val="28"/>
          <w:szCs w:val="28"/>
          <w:u w:val="single"/>
        </w:rPr>
        <w:t>5.2.2 Recommendation 2: Expand Family Hubs within Areas of High Deprivation</w:t>
      </w:r>
    </w:p>
    <w:p w14:paraId="100E172D" w14:textId="77777777" w:rsidR="004C664C" w:rsidRPr="0079362D" w:rsidRDefault="004C664C" w:rsidP="0079362D">
      <w:pPr>
        <w:jc w:val="both"/>
        <w:rPr>
          <w:rFonts w:ascii="Arial" w:hAnsi="Arial" w:cs="Arial"/>
          <w:b/>
          <w:bCs/>
          <w:sz w:val="28"/>
          <w:szCs w:val="28"/>
          <w:u w:val="single"/>
        </w:rPr>
      </w:pPr>
    </w:p>
    <w:p w14:paraId="0A643506"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Recommendation</w:t>
      </w:r>
    </w:p>
    <w:p w14:paraId="4152EC57" w14:textId="77777777" w:rsidR="0079362D" w:rsidRPr="0079362D" w:rsidRDefault="0079362D" w:rsidP="0079362D">
      <w:pPr>
        <w:jc w:val="both"/>
        <w:rPr>
          <w:rFonts w:ascii="Arial" w:hAnsi="Arial" w:cs="Arial"/>
        </w:rPr>
      </w:pPr>
      <w:r w:rsidRPr="0079362D">
        <w:rPr>
          <w:rFonts w:ascii="Arial" w:hAnsi="Arial" w:cs="Arial"/>
        </w:rPr>
        <w:t>The UK Government should increase investment in Family Hubs across the most deprived local authority areas in England, while supporting equivalent integrated family support services across Scotland, Wales, and Northern Ireland.</w:t>
      </w:r>
    </w:p>
    <w:p w14:paraId="2541922F"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Evidence from Theme 2</w:t>
      </w:r>
    </w:p>
    <w:p w14:paraId="5F91E0FA" w14:textId="77777777" w:rsidR="0079362D" w:rsidRPr="0079362D" w:rsidRDefault="0079362D" w:rsidP="0079362D">
      <w:pPr>
        <w:jc w:val="both"/>
        <w:rPr>
          <w:rFonts w:ascii="Arial" w:hAnsi="Arial" w:cs="Arial"/>
        </w:rPr>
      </w:pPr>
      <w:r w:rsidRPr="0079362D">
        <w:rPr>
          <w:rFonts w:ascii="Arial" w:hAnsi="Arial" w:cs="Arial"/>
        </w:rPr>
        <w:t>Theme 2 highlighted that protective factors such as social support reduce the negative effects of ACEs, whereas social inequality increases both exposure to adversity and the likelihood of poor mental health outcomes (</w:t>
      </w:r>
      <w:proofErr w:type="spellStart"/>
      <w:r w:rsidRPr="0079362D">
        <w:rPr>
          <w:rFonts w:ascii="Arial" w:hAnsi="Arial" w:cs="Arial"/>
        </w:rPr>
        <w:t>Lereya</w:t>
      </w:r>
      <w:proofErr w:type="spellEnd"/>
      <w:r w:rsidRPr="0079362D">
        <w:rPr>
          <w:rFonts w:ascii="Arial" w:hAnsi="Arial" w:cs="Arial"/>
        </w:rPr>
        <w:t xml:space="preserve"> et al., 2015; Marmot et al., 2020). Family Hubs represent a promising multi-agency model because they integrate health, education, social care, and </w:t>
      </w:r>
      <w:r w:rsidRPr="0079362D">
        <w:rPr>
          <w:rFonts w:ascii="Arial" w:hAnsi="Arial" w:cs="Arial"/>
        </w:rPr>
        <w:lastRenderedPageBreak/>
        <w:t>family support within a single service, promoting earlier intervention and improving accessibility for vulnerable families.</w:t>
      </w:r>
    </w:p>
    <w:p w14:paraId="7A70B0BB"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Implementation</w:t>
      </w:r>
    </w:p>
    <w:p w14:paraId="5038F4F0" w14:textId="77777777" w:rsidR="0079362D" w:rsidRPr="0079362D" w:rsidRDefault="0079362D" w:rsidP="0079362D">
      <w:pPr>
        <w:jc w:val="both"/>
        <w:rPr>
          <w:rFonts w:ascii="Arial" w:hAnsi="Arial" w:cs="Arial"/>
        </w:rPr>
      </w:pPr>
      <w:r w:rsidRPr="0079362D">
        <w:rPr>
          <w:rFonts w:ascii="Arial" w:hAnsi="Arial" w:cs="Arial"/>
        </w:rPr>
        <w:t>Expansion should be coordinated through local authorities in partnership with NHS organisations, schools, voluntary sector providers, and existing Family Hub services. Support should include parenting programmes, early years services, mental health advice, and practical family support.</w:t>
      </w:r>
    </w:p>
    <w:p w14:paraId="34197088"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Benefits and Expected Impact</w:t>
      </w:r>
    </w:p>
    <w:p w14:paraId="4EFEE6F9" w14:textId="77777777" w:rsidR="0079362D" w:rsidRPr="0079362D" w:rsidRDefault="0079362D" w:rsidP="0079362D">
      <w:pPr>
        <w:jc w:val="both"/>
        <w:rPr>
          <w:rFonts w:ascii="Arial" w:hAnsi="Arial" w:cs="Arial"/>
        </w:rPr>
      </w:pPr>
      <w:r w:rsidRPr="0079362D">
        <w:rPr>
          <w:rFonts w:ascii="Arial" w:hAnsi="Arial" w:cs="Arial"/>
        </w:rPr>
        <w:t>Strengthening Family Hubs would enhance protective factors, improve access to early intervention, reduce the long-term impact of ACEs, and improve outcomes for children and families living in deprived communities. Earlier intervention may also reduce future demand on mental health, health, and social care services.</w:t>
      </w:r>
    </w:p>
    <w:p w14:paraId="23EFC8EF"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Barriers and Limitations</w:t>
      </w:r>
    </w:p>
    <w:p w14:paraId="40FC3092" w14:textId="77777777" w:rsidR="0079362D" w:rsidRPr="0079362D" w:rsidRDefault="0079362D" w:rsidP="0079362D">
      <w:pPr>
        <w:jc w:val="both"/>
        <w:rPr>
          <w:rFonts w:ascii="Arial" w:hAnsi="Arial" w:cs="Arial"/>
        </w:rPr>
      </w:pPr>
      <w:r w:rsidRPr="0079362D">
        <w:rPr>
          <w:rFonts w:ascii="Arial" w:hAnsi="Arial" w:cs="Arial"/>
        </w:rPr>
        <w:t>Expansion requires sustained government investment, effective partnership working, and recruitment of appropriately trained staff. Regional inequalities and differences in local service provision may also affect implementation.</w:t>
      </w:r>
    </w:p>
    <w:p w14:paraId="25E03046" w14:textId="77777777" w:rsidR="0079362D" w:rsidRPr="0079362D" w:rsidRDefault="0079362D" w:rsidP="0079362D">
      <w:pPr>
        <w:jc w:val="both"/>
        <w:rPr>
          <w:rFonts w:ascii="Arial" w:hAnsi="Arial" w:cs="Arial"/>
        </w:rPr>
      </w:pPr>
      <w:r w:rsidRPr="0079362D">
        <w:rPr>
          <w:rFonts w:ascii="Arial" w:hAnsi="Arial" w:cs="Arial"/>
        </w:rPr>
        <w:pict w14:anchorId="4F3DA407">
          <v:rect id="_x0000_i1402" style="width:0;height:1.5pt" o:hralign="center" o:hrstd="t" o:hr="t" fillcolor="#a0a0a0" stroked="f"/>
        </w:pict>
      </w:r>
    </w:p>
    <w:p w14:paraId="24A8C21A" w14:textId="77777777" w:rsidR="0079362D" w:rsidRDefault="0079362D" w:rsidP="0079362D">
      <w:pPr>
        <w:jc w:val="both"/>
        <w:rPr>
          <w:rFonts w:ascii="Arial" w:hAnsi="Arial" w:cs="Arial"/>
          <w:b/>
          <w:bCs/>
          <w:sz w:val="28"/>
          <w:szCs w:val="28"/>
          <w:u w:val="single"/>
        </w:rPr>
      </w:pPr>
      <w:r w:rsidRPr="0079362D">
        <w:rPr>
          <w:rFonts w:ascii="Arial" w:hAnsi="Arial" w:cs="Arial"/>
          <w:b/>
          <w:bCs/>
          <w:sz w:val="28"/>
          <w:szCs w:val="28"/>
          <w:u w:val="single"/>
        </w:rPr>
        <w:t>5.2.3 Recommendation 3: Mandate Trauma-Informed Practice (TIP) Standards across Mental Health Services</w:t>
      </w:r>
    </w:p>
    <w:p w14:paraId="01E4CB9C" w14:textId="77777777" w:rsidR="004C664C" w:rsidRPr="0079362D" w:rsidRDefault="004C664C" w:rsidP="0079362D">
      <w:pPr>
        <w:jc w:val="both"/>
        <w:rPr>
          <w:rFonts w:ascii="Arial" w:hAnsi="Arial" w:cs="Arial"/>
          <w:b/>
          <w:bCs/>
          <w:sz w:val="28"/>
          <w:szCs w:val="28"/>
          <w:u w:val="single"/>
        </w:rPr>
      </w:pPr>
    </w:p>
    <w:p w14:paraId="792B1CA9"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Recommendation</w:t>
      </w:r>
    </w:p>
    <w:p w14:paraId="05F76899" w14:textId="77777777" w:rsidR="0079362D" w:rsidRPr="0079362D" w:rsidRDefault="0079362D" w:rsidP="0079362D">
      <w:pPr>
        <w:jc w:val="both"/>
        <w:rPr>
          <w:rFonts w:ascii="Arial" w:hAnsi="Arial" w:cs="Arial"/>
        </w:rPr>
      </w:pPr>
      <w:r w:rsidRPr="0079362D">
        <w:rPr>
          <w:rFonts w:ascii="Arial" w:hAnsi="Arial" w:cs="Arial"/>
        </w:rPr>
        <w:t>The Care Quality Commission (CQC) should require all NHS mental health services in England to demonstrate compliance with national Trauma-Informed Practice (TIP) standards during inspections, with equivalent regulatory bodies adopting similar approaches across Scotland, Wales, and Northern Ireland.</w:t>
      </w:r>
    </w:p>
    <w:p w14:paraId="7F7469F4"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Evidence from Theme 3</w:t>
      </w:r>
    </w:p>
    <w:p w14:paraId="3011B492" w14:textId="77777777" w:rsidR="0079362D" w:rsidRPr="0079362D" w:rsidRDefault="0079362D" w:rsidP="0079362D">
      <w:pPr>
        <w:jc w:val="both"/>
        <w:rPr>
          <w:rFonts w:ascii="Arial" w:hAnsi="Arial" w:cs="Arial"/>
        </w:rPr>
      </w:pPr>
      <w:r w:rsidRPr="0079362D">
        <w:rPr>
          <w:rFonts w:ascii="Arial" w:hAnsi="Arial" w:cs="Arial"/>
        </w:rPr>
        <w:t>Theme 3 identified Trauma-Informed Practice (TIP) as an important approach for improving outcomes among individuals affected by ACEs. NICE (2018) guidance supports trauma-informed approaches through evidence indicating that recognising trauma and adapting care accordingly may reduce re-traumatisation and improve service user experiences.</w:t>
      </w:r>
    </w:p>
    <w:p w14:paraId="3249137D"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Implementation</w:t>
      </w:r>
    </w:p>
    <w:p w14:paraId="387D8312" w14:textId="77777777" w:rsidR="0079362D" w:rsidRPr="0079362D" w:rsidRDefault="0079362D" w:rsidP="0079362D">
      <w:pPr>
        <w:jc w:val="both"/>
        <w:rPr>
          <w:rFonts w:ascii="Arial" w:hAnsi="Arial" w:cs="Arial"/>
        </w:rPr>
      </w:pPr>
      <w:r w:rsidRPr="0079362D">
        <w:rPr>
          <w:rFonts w:ascii="Arial" w:hAnsi="Arial" w:cs="Arial"/>
        </w:rPr>
        <w:t>National TIP standards should be embedded within inspection frameworks, supported by mandatory workforce training, organisational leadership, and ongoing evaluation of implementation. Services should also involve people with lived experience when designing trauma-informed systems.</w:t>
      </w:r>
    </w:p>
    <w:p w14:paraId="421A0927"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t>Benefits and Expected Impact</w:t>
      </w:r>
    </w:p>
    <w:p w14:paraId="7BDDFF2C" w14:textId="77777777" w:rsidR="0079362D" w:rsidRPr="0079362D" w:rsidRDefault="0079362D" w:rsidP="0079362D">
      <w:pPr>
        <w:jc w:val="both"/>
        <w:rPr>
          <w:rFonts w:ascii="Arial" w:hAnsi="Arial" w:cs="Arial"/>
        </w:rPr>
      </w:pPr>
      <w:r w:rsidRPr="0079362D">
        <w:rPr>
          <w:rFonts w:ascii="Arial" w:hAnsi="Arial" w:cs="Arial"/>
        </w:rPr>
        <w:t>Consistent implementation of TIP would improve psychological safety, reduce re-traumatisation, strengthen therapeutic relationships, improve patient satisfaction, and contribute to more equitable access to effective mental health care across the UK.</w:t>
      </w:r>
    </w:p>
    <w:p w14:paraId="0E932B4E" w14:textId="77777777" w:rsidR="0079362D" w:rsidRPr="0079362D" w:rsidRDefault="0079362D" w:rsidP="0079362D">
      <w:pPr>
        <w:jc w:val="both"/>
        <w:rPr>
          <w:rFonts w:ascii="Arial" w:hAnsi="Arial" w:cs="Arial"/>
          <w:sz w:val="24"/>
          <w:szCs w:val="24"/>
          <w:u w:val="single"/>
        </w:rPr>
      </w:pPr>
      <w:r w:rsidRPr="0079362D">
        <w:rPr>
          <w:rFonts w:ascii="Arial" w:hAnsi="Arial" w:cs="Arial"/>
          <w:b/>
          <w:bCs/>
          <w:sz w:val="24"/>
          <w:szCs w:val="24"/>
          <w:u w:val="single"/>
        </w:rPr>
        <w:lastRenderedPageBreak/>
        <w:t>Barriers and Limitations</w:t>
      </w:r>
    </w:p>
    <w:p w14:paraId="3EF10D9A" w14:textId="77777777" w:rsidR="0079362D" w:rsidRPr="0079362D" w:rsidRDefault="0079362D" w:rsidP="0079362D">
      <w:pPr>
        <w:jc w:val="both"/>
        <w:rPr>
          <w:rFonts w:ascii="Arial" w:hAnsi="Arial" w:cs="Arial"/>
        </w:rPr>
      </w:pPr>
      <w:r w:rsidRPr="0079362D">
        <w:rPr>
          <w:rFonts w:ascii="Arial" w:hAnsi="Arial" w:cs="Arial"/>
        </w:rPr>
        <w:t>Financial pressures, workforce shortages, limited specialist knowledge, and organisational resistance to change may slow implementation. Sustained investment and leadership commitment will therefore be essential.</w:t>
      </w:r>
    </w:p>
    <w:p w14:paraId="40A3A49D" w14:textId="77777777" w:rsidR="0079362D" w:rsidRPr="0079362D" w:rsidRDefault="0079362D" w:rsidP="0079362D">
      <w:pPr>
        <w:jc w:val="both"/>
        <w:rPr>
          <w:rFonts w:ascii="Arial" w:hAnsi="Arial" w:cs="Arial"/>
        </w:rPr>
      </w:pPr>
      <w:r w:rsidRPr="0079362D">
        <w:rPr>
          <w:rFonts w:ascii="Arial" w:hAnsi="Arial" w:cs="Arial"/>
        </w:rPr>
        <w:pict w14:anchorId="0ACA84A7">
          <v:rect id="_x0000_i1403" style="width:0;height:1.5pt" o:hralign="center" o:hrstd="t" o:hr="t" fillcolor="#a0a0a0" stroked="f"/>
        </w:pict>
      </w:r>
    </w:p>
    <w:p w14:paraId="60EEE271" w14:textId="77777777" w:rsidR="0079362D" w:rsidRPr="0079362D" w:rsidRDefault="0079362D" w:rsidP="0079362D">
      <w:pPr>
        <w:jc w:val="both"/>
        <w:rPr>
          <w:rFonts w:ascii="Arial" w:hAnsi="Arial" w:cs="Arial"/>
          <w:b/>
          <w:bCs/>
          <w:sz w:val="28"/>
          <w:szCs w:val="28"/>
          <w:u w:val="single"/>
        </w:rPr>
      </w:pPr>
      <w:r w:rsidRPr="0079362D">
        <w:rPr>
          <w:rFonts w:ascii="Arial" w:hAnsi="Arial" w:cs="Arial"/>
          <w:b/>
          <w:bCs/>
          <w:sz w:val="28"/>
          <w:szCs w:val="28"/>
          <w:u w:val="single"/>
        </w:rPr>
        <w:t>5.3 Final Conclusion</w:t>
      </w:r>
    </w:p>
    <w:p w14:paraId="4771E6DC" w14:textId="77777777" w:rsidR="0079362D" w:rsidRPr="0079362D" w:rsidRDefault="0079362D" w:rsidP="0079362D">
      <w:pPr>
        <w:jc w:val="both"/>
        <w:rPr>
          <w:rFonts w:ascii="Arial" w:hAnsi="Arial" w:cs="Arial"/>
        </w:rPr>
      </w:pPr>
      <w:r w:rsidRPr="0079362D">
        <w:rPr>
          <w:rFonts w:ascii="Arial" w:hAnsi="Arial" w:cs="Arial"/>
        </w:rPr>
        <w:t>The evidence reviewed throughout this dissertation demonstrates that ACEs remain a significant public health issue with profound implications for adult mental health across the UK. Although individuals exposed to multiple ACEs face substantially greater risks of poor mental health, these outcomes are influenced by broader social conditions and can be moderated through effective protective factors and trauma-informed support. The recommendations presented aim to strengthen professional awareness, improve early intervention, reduce inequalities, and promote consistent trauma-informed practice across services. Implementing these recommendations has the potential to improve individual outcomes while contributing to wider public health improvements and reducing the long-term societal burden associated with childhood adversity.</w:t>
      </w:r>
    </w:p>
    <w:p w14:paraId="35FA25CB" w14:textId="77777777" w:rsidR="0079362D" w:rsidRDefault="0079362D" w:rsidP="008A2B5C">
      <w:pPr>
        <w:jc w:val="both"/>
        <w:rPr>
          <w:rFonts w:ascii="Arial" w:hAnsi="Arial" w:cs="Arial"/>
        </w:rPr>
      </w:pPr>
    </w:p>
    <w:p w14:paraId="0BB279A1" w14:textId="77777777" w:rsidR="0079362D" w:rsidRDefault="0079362D" w:rsidP="008A2B5C">
      <w:pPr>
        <w:jc w:val="both"/>
        <w:rPr>
          <w:rFonts w:ascii="Arial" w:hAnsi="Arial" w:cs="Arial"/>
        </w:rPr>
      </w:pPr>
    </w:p>
    <w:p w14:paraId="434438DC" w14:textId="2C915706" w:rsidR="0079362D" w:rsidRPr="004C664C" w:rsidRDefault="0079362D" w:rsidP="0079362D">
      <w:pPr>
        <w:jc w:val="both"/>
        <w:rPr>
          <w:rFonts w:ascii="Arial" w:hAnsi="Arial" w:cs="Arial"/>
        </w:rPr>
      </w:pPr>
      <w:r w:rsidRPr="0079362D">
        <w:rPr>
          <w:rFonts w:ascii="Arial" w:hAnsi="Arial" w:cs="Arial"/>
          <w:b/>
          <w:bCs/>
          <w:sz w:val="32"/>
          <w:szCs w:val="32"/>
          <w:u w:val="single"/>
        </w:rPr>
        <w:t>Reference List</w:t>
      </w:r>
    </w:p>
    <w:p w14:paraId="2B4635D4" w14:textId="77777777" w:rsidR="0079362D" w:rsidRPr="0079362D" w:rsidRDefault="0079362D" w:rsidP="0079362D">
      <w:pPr>
        <w:jc w:val="both"/>
        <w:rPr>
          <w:rFonts w:ascii="Arial" w:hAnsi="Arial" w:cs="Arial"/>
        </w:rPr>
      </w:pPr>
      <w:r w:rsidRPr="0079362D">
        <w:rPr>
          <w:rFonts w:ascii="Arial" w:hAnsi="Arial" w:cs="Arial"/>
        </w:rPr>
        <w:t xml:space="preserve">Bellis, M.A., Hughes, K., Wood, S., Bates, J., Ford, T. and Wheldon, M. (2015) </w:t>
      </w:r>
      <w:r w:rsidRPr="0079362D">
        <w:rPr>
          <w:rFonts w:ascii="Arial" w:hAnsi="Arial" w:cs="Arial"/>
          <w:i/>
          <w:iCs/>
        </w:rPr>
        <w:t>Adverse childhood experiences and the association with health-harming behaviours and poor health outcomes in adulthood: results from the 2014 English Adult Psychiatric Morbidity Survey</w:t>
      </w:r>
      <w:r w:rsidRPr="0079362D">
        <w:rPr>
          <w:rFonts w:ascii="Arial" w:hAnsi="Arial" w:cs="Arial"/>
        </w:rPr>
        <w:t xml:space="preserve">. </w:t>
      </w:r>
      <w:r w:rsidRPr="0079362D">
        <w:rPr>
          <w:rFonts w:ascii="Arial" w:hAnsi="Arial" w:cs="Arial"/>
          <w:i/>
          <w:iCs/>
        </w:rPr>
        <w:t>Journal of Public Health</w:t>
      </w:r>
      <w:r w:rsidRPr="0079362D">
        <w:rPr>
          <w:rFonts w:ascii="Arial" w:hAnsi="Arial" w:cs="Arial"/>
        </w:rPr>
        <w:t>, 37(4), pp. 646–654.</w:t>
      </w:r>
    </w:p>
    <w:p w14:paraId="3F8BD1B2" w14:textId="77777777" w:rsidR="0079362D" w:rsidRPr="0079362D" w:rsidRDefault="0079362D" w:rsidP="0079362D">
      <w:pPr>
        <w:jc w:val="both"/>
        <w:rPr>
          <w:rFonts w:ascii="Arial" w:hAnsi="Arial" w:cs="Arial"/>
        </w:rPr>
      </w:pPr>
      <w:r w:rsidRPr="0079362D">
        <w:rPr>
          <w:rFonts w:ascii="Arial" w:hAnsi="Arial" w:cs="Arial"/>
        </w:rPr>
        <w:t xml:space="preserve">Lereya, S.T., Copeland, W.E., Costello, E.J. and Wolke, D. (2015) </w:t>
      </w:r>
      <w:r w:rsidRPr="0079362D">
        <w:rPr>
          <w:rFonts w:ascii="Arial" w:hAnsi="Arial" w:cs="Arial"/>
          <w:i/>
          <w:iCs/>
        </w:rPr>
        <w:t>The role of social support in the association between bullying victimization and mental health problems: a systematic review and meta-analysis</w:t>
      </w:r>
      <w:r w:rsidRPr="0079362D">
        <w:rPr>
          <w:rFonts w:ascii="Arial" w:hAnsi="Arial" w:cs="Arial"/>
        </w:rPr>
        <w:t xml:space="preserve">. </w:t>
      </w:r>
      <w:r w:rsidRPr="0079362D">
        <w:rPr>
          <w:rFonts w:ascii="Arial" w:hAnsi="Arial" w:cs="Arial"/>
          <w:i/>
          <w:iCs/>
        </w:rPr>
        <w:t xml:space="preserve">JAMA </w:t>
      </w:r>
      <w:proofErr w:type="spellStart"/>
      <w:r w:rsidRPr="0079362D">
        <w:rPr>
          <w:rFonts w:ascii="Arial" w:hAnsi="Arial" w:cs="Arial"/>
          <w:i/>
          <w:iCs/>
        </w:rPr>
        <w:t>Pediatrics</w:t>
      </w:r>
      <w:proofErr w:type="spellEnd"/>
      <w:r w:rsidRPr="0079362D">
        <w:rPr>
          <w:rFonts w:ascii="Arial" w:hAnsi="Arial" w:cs="Arial"/>
        </w:rPr>
        <w:t>, 169(10), pp. 940–949.</w:t>
      </w:r>
    </w:p>
    <w:p w14:paraId="71F85EAC" w14:textId="77777777" w:rsidR="0079362D" w:rsidRPr="0079362D" w:rsidRDefault="0079362D" w:rsidP="0079362D">
      <w:pPr>
        <w:jc w:val="both"/>
        <w:rPr>
          <w:rFonts w:ascii="Arial" w:hAnsi="Arial" w:cs="Arial"/>
        </w:rPr>
      </w:pPr>
      <w:r w:rsidRPr="0079362D">
        <w:rPr>
          <w:rFonts w:ascii="Arial" w:hAnsi="Arial" w:cs="Arial"/>
        </w:rPr>
        <w:t xml:space="preserve">Marmot, M., Allen, J., Bell, R., Bloomer, E. and Goldblatt, P. (2020) </w:t>
      </w:r>
      <w:r w:rsidRPr="0079362D">
        <w:rPr>
          <w:rFonts w:ascii="Arial" w:hAnsi="Arial" w:cs="Arial"/>
          <w:i/>
          <w:iCs/>
        </w:rPr>
        <w:t>Health Equity in England: The Marmot Review 10 Years On</w:t>
      </w:r>
      <w:r w:rsidRPr="0079362D">
        <w:rPr>
          <w:rFonts w:ascii="Arial" w:hAnsi="Arial" w:cs="Arial"/>
        </w:rPr>
        <w:t>. London: Institute of Health Equity.</w:t>
      </w:r>
    </w:p>
    <w:p w14:paraId="6054D17C" w14:textId="77777777" w:rsidR="0079362D" w:rsidRPr="0079362D" w:rsidRDefault="0079362D" w:rsidP="0079362D">
      <w:pPr>
        <w:jc w:val="both"/>
        <w:rPr>
          <w:rFonts w:ascii="Arial" w:hAnsi="Arial" w:cs="Arial"/>
        </w:rPr>
      </w:pPr>
      <w:r w:rsidRPr="0079362D">
        <w:rPr>
          <w:rFonts w:ascii="Arial" w:hAnsi="Arial" w:cs="Arial"/>
        </w:rPr>
        <w:t xml:space="preserve">National Institute for Health and Care Excellence (NICE) (2018) </w:t>
      </w:r>
      <w:r w:rsidRPr="0079362D">
        <w:rPr>
          <w:rFonts w:ascii="Arial" w:hAnsi="Arial" w:cs="Arial"/>
          <w:i/>
          <w:iCs/>
        </w:rPr>
        <w:t>Trauma-informed care and support for people using health and social care services</w:t>
      </w:r>
      <w:r w:rsidRPr="0079362D">
        <w:rPr>
          <w:rFonts w:ascii="Arial" w:hAnsi="Arial" w:cs="Arial"/>
        </w:rPr>
        <w:t>. London: NICE.</w:t>
      </w:r>
    </w:p>
    <w:p w14:paraId="30F57C8E" w14:textId="77777777" w:rsidR="0079362D" w:rsidRPr="0079362D" w:rsidRDefault="0079362D" w:rsidP="0079362D">
      <w:pPr>
        <w:jc w:val="both"/>
        <w:rPr>
          <w:rFonts w:ascii="Arial" w:hAnsi="Arial" w:cs="Arial"/>
        </w:rPr>
      </w:pPr>
      <w:r w:rsidRPr="0079362D">
        <w:rPr>
          <w:rFonts w:ascii="Arial" w:hAnsi="Arial" w:cs="Arial"/>
        </w:rPr>
        <w:t xml:space="preserve">Public Health Wales (2015) </w:t>
      </w:r>
      <w:r w:rsidRPr="0079362D">
        <w:rPr>
          <w:rFonts w:ascii="Arial" w:hAnsi="Arial" w:cs="Arial"/>
          <w:i/>
          <w:iCs/>
        </w:rPr>
        <w:t>Adverse Childhood Experiences (ACEs) in Wales</w:t>
      </w:r>
      <w:r w:rsidRPr="0079362D">
        <w:rPr>
          <w:rFonts w:ascii="Arial" w:hAnsi="Arial" w:cs="Arial"/>
        </w:rPr>
        <w:t>. Cardiff: Public Health Wales.</w:t>
      </w:r>
    </w:p>
    <w:p w14:paraId="4D83F35C" w14:textId="77777777" w:rsidR="0079362D" w:rsidRPr="0079362D" w:rsidRDefault="0079362D" w:rsidP="008A2B5C">
      <w:pPr>
        <w:jc w:val="both"/>
        <w:rPr>
          <w:rFonts w:ascii="Arial" w:hAnsi="Arial" w:cs="Arial"/>
        </w:rPr>
      </w:pPr>
    </w:p>
    <w:p w14:paraId="5AC73A5F" w14:textId="77777777" w:rsidR="008A2B5C" w:rsidRDefault="008A2B5C" w:rsidP="008A2B5C">
      <w:pPr>
        <w:jc w:val="both"/>
        <w:rPr>
          <w:rFonts w:ascii="Arial" w:hAnsi="Arial" w:cs="Arial"/>
          <w:sz w:val="52"/>
          <w:szCs w:val="52"/>
        </w:rPr>
      </w:pPr>
    </w:p>
    <w:p w14:paraId="1EB570DD" w14:textId="77777777" w:rsidR="008A2B5C" w:rsidRDefault="008A2B5C" w:rsidP="008A2B5C">
      <w:pPr>
        <w:jc w:val="both"/>
        <w:rPr>
          <w:rFonts w:ascii="Arial" w:hAnsi="Arial" w:cs="Arial"/>
          <w:sz w:val="52"/>
          <w:szCs w:val="52"/>
        </w:rPr>
      </w:pPr>
    </w:p>
    <w:p w14:paraId="6CC83028" w14:textId="77777777" w:rsidR="008A2B5C" w:rsidRDefault="008A2B5C" w:rsidP="008A2B5C">
      <w:pPr>
        <w:jc w:val="both"/>
        <w:rPr>
          <w:rFonts w:ascii="Arial" w:hAnsi="Arial" w:cs="Arial"/>
          <w:sz w:val="52"/>
          <w:szCs w:val="52"/>
        </w:rPr>
      </w:pPr>
    </w:p>
    <w:p w14:paraId="47723344" w14:textId="77777777" w:rsidR="008A2B5C" w:rsidRDefault="008A2B5C" w:rsidP="008A2B5C">
      <w:pPr>
        <w:jc w:val="both"/>
        <w:rPr>
          <w:rFonts w:ascii="Arial" w:hAnsi="Arial" w:cs="Arial"/>
          <w:sz w:val="52"/>
          <w:szCs w:val="52"/>
        </w:rPr>
      </w:pPr>
    </w:p>
    <w:p w14:paraId="56529061" w14:textId="77777777" w:rsidR="008A2B5C" w:rsidRDefault="008A2B5C" w:rsidP="008A2B5C">
      <w:pPr>
        <w:jc w:val="both"/>
        <w:rPr>
          <w:rFonts w:ascii="Arial" w:hAnsi="Arial" w:cs="Arial"/>
          <w:sz w:val="52"/>
          <w:szCs w:val="52"/>
        </w:rPr>
      </w:pPr>
    </w:p>
    <w:p w14:paraId="305F08DD" w14:textId="77777777" w:rsidR="008A2B5C" w:rsidRDefault="008A2B5C" w:rsidP="008A2B5C">
      <w:pPr>
        <w:jc w:val="both"/>
        <w:rPr>
          <w:rFonts w:ascii="Arial" w:hAnsi="Arial" w:cs="Arial"/>
          <w:sz w:val="52"/>
          <w:szCs w:val="52"/>
        </w:rPr>
      </w:pPr>
    </w:p>
    <w:p w14:paraId="676510F4" w14:textId="77777777" w:rsidR="008A2B5C" w:rsidRDefault="008A2B5C" w:rsidP="008A2B5C">
      <w:pPr>
        <w:jc w:val="both"/>
        <w:rPr>
          <w:rFonts w:ascii="Arial" w:hAnsi="Arial" w:cs="Arial"/>
          <w:sz w:val="52"/>
          <w:szCs w:val="52"/>
        </w:rPr>
      </w:pPr>
    </w:p>
    <w:p w14:paraId="0EC9FD68" w14:textId="77777777" w:rsidR="008A2B5C" w:rsidRDefault="008A2B5C" w:rsidP="008A2B5C">
      <w:pPr>
        <w:jc w:val="both"/>
        <w:rPr>
          <w:rFonts w:ascii="Arial" w:hAnsi="Arial" w:cs="Arial"/>
          <w:sz w:val="52"/>
          <w:szCs w:val="52"/>
        </w:rPr>
      </w:pPr>
    </w:p>
    <w:p w14:paraId="29F238DA" w14:textId="77777777" w:rsidR="008A2B5C" w:rsidRDefault="008A2B5C" w:rsidP="008A2B5C">
      <w:pPr>
        <w:jc w:val="both"/>
        <w:rPr>
          <w:rFonts w:ascii="Arial" w:hAnsi="Arial" w:cs="Arial"/>
          <w:sz w:val="52"/>
          <w:szCs w:val="52"/>
        </w:rPr>
      </w:pPr>
    </w:p>
    <w:p w14:paraId="45828376" w14:textId="77777777" w:rsidR="008A2B5C" w:rsidRDefault="008A2B5C" w:rsidP="008A2B5C">
      <w:pPr>
        <w:jc w:val="both"/>
        <w:rPr>
          <w:rFonts w:ascii="Arial" w:hAnsi="Arial" w:cs="Arial"/>
          <w:sz w:val="52"/>
          <w:szCs w:val="52"/>
        </w:rPr>
      </w:pPr>
    </w:p>
    <w:p w14:paraId="3788D591" w14:textId="77777777" w:rsidR="008A2B5C" w:rsidRPr="008A2B5C" w:rsidRDefault="008A2B5C" w:rsidP="008A2B5C">
      <w:pPr>
        <w:jc w:val="both"/>
        <w:rPr>
          <w:rFonts w:ascii="Arial" w:hAnsi="Arial" w:cs="Arial"/>
        </w:rPr>
      </w:pPr>
    </w:p>
    <w:p w14:paraId="4E0EA6C6" w14:textId="77777777" w:rsidR="008A2B5C" w:rsidRPr="008A2B5C" w:rsidRDefault="008A2B5C" w:rsidP="00771771">
      <w:pPr>
        <w:jc w:val="both"/>
        <w:rPr>
          <w:rFonts w:ascii="Arial" w:hAnsi="Arial" w:cs="Arial"/>
          <w:sz w:val="52"/>
          <w:szCs w:val="52"/>
        </w:rPr>
      </w:pPr>
    </w:p>
    <w:bookmarkEnd w:id="0"/>
    <w:p w14:paraId="47506AC5" w14:textId="3E76B2D6" w:rsidR="0096164D" w:rsidRPr="0096164D" w:rsidRDefault="0096164D" w:rsidP="0096164D">
      <w:pPr>
        <w:jc w:val="both"/>
        <w:rPr>
          <w:rFonts w:ascii="Arial" w:hAnsi="Arial" w:cs="Arial"/>
        </w:rPr>
      </w:pPr>
    </w:p>
    <w:p w14:paraId="731CDE68" w14:textId="7CDD9B05" w:rsidR="0096164D" w:rsidRPr="0096164D" w:rsidRDefault="0096164D" w:rsidP="0096164D">
      <w:pPr>
        <w:jc w:val="both"/>
        <w:rPr>
          <w:rFonts w:ascii="Arial" w:hAnsi="Arial" w:cs="Arial"/>
        </w:rPr>
      </w:pPr>
    </w:p>
    <w:bookmarkEnd w:id="1"/>
    <w:p w14:paraId="42F445C5" w14:textId="77777777" w:rsidR="003467D4" w:rsidRPr="00FF60F5" w:rsidRDefault="003467D4" w:rsidP="0096164D">
      <w:pPr>
        <w:jc w:val="both"/>
        <w:rPr>
          <w:rFonts w:ascii="Arial" w:hAnsi="Arial" w:cs="Arial"/>
          <w:b/>
          <w:bCs/>
          <w:u w:val="single"/>
        </w:rPr>
      </w:pPr>
    </w:p>
    <w:sectPr w:rsidR="003467D4" w:rsidRPr="00FF60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6052E3"/>
    <w:multiLevelType w:val="multilevel"/>
    <w:tmpl w:val="2E6C3B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2C1C4F"/>
    <w:multiLevelType w:val="multilevel"/>
    <w:tmpl w:val="5FBC0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886E76"/>
    <w:multiLevelType w:val="multilevel"/>
    <w:tmpl w:val="E7BE1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E0C555E"/>
    <w:multiLevelType w:val="multilevel"/>
    <w:tmpl w:val="8D581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D80495"/>
    <w:multiLevelType w:val="multilevel"/>
    <w:tmpl w:val="F146C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490192">
    <w:abstractNumId w:val="2"/>
  </w:num>
  <w:num w:numId="2" w16cid:durableId="689598968">
    <w:abstractNumId w:val="1"/>
  </w:num>
  <w:num w:numId="3" w16cid:durableId="506868495">
    <w:abstractNumId w:val="0"/>
  </w:num>
  <w:num w:numId="4" w16cid:durableId="879560622">
    <w:abstractNumId w:val="3"/>
  </w:num>
  <w:num w:numId="5" w16cid:durableId="421719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331"/>
    <w:rsid w:val="001B3851"/>
    <w:rsid w:val="0022003C"/>
    <w:rsid w:val="00266009"/>
    <w:rsid w:val="00283DBF"/>
    <w:rsid w:val="002F6BAF"/>
    <w:rsid w:val="003467D4"/>
    <w:rsid w:val="003F3ADF"/>
    <w:rsid w:val="00442590"/>
    <w:rsid w:val="004A4CC1"/>
    <w:rsid w:val="004C664C"/>
    <w:rsid w:val="005975AB"/>
    <w:rsid w:val="00675E82"/>
    <w:rsid w:val="00771771"/>
    <w:rsid w:val="0079362D"/>
    <w:rsid w:val="008A2B5C"/>
    <w:rsid w:val="008A6B91"/>
    <w:rsid w:val="008B2331"/>
    <w:rsid w:val="0096164D"/>
    <w:rsid w:val="00A43FFA"/>
    <w:rsid w:val="00A55FEC"/>
    <w:rsid w:val="00A74C11"/>
    <w:rsid w:val="00B67392"/>
    <w:rsid w:val="00B848AC"/>
    <w:rsid w:val="00B9783B"/>
    <w:rsid w:val="00BA545E"/>
    <w:rsid w:val="00C66DB7"/>
    <w:rsid w:val="00C92D5F"/>
    <w:rsid w:val="00CB7E03"/>
    <w:rsid w:val="00D174C7"/>
    <w:rsid w:val="00D3120B"/>
    <w:rsid w:val="00F34E2B"/>
    <w:rsid w:val="00FF60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0EF6A"/>
  <w15:chartTrackingRefBased/>
  <w15:docId w15:val="{2EAD861A-A239-48C6-A659-013536904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3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23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23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23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23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23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23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23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23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3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23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23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23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23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2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3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331"/>
    <w:rPr>
      <w:rFonts w:eastAsiaTheme="majorEastAsia" w:cstheme="majorBidi"/>
      <w:color w:val="272727" w:themeColor="text1" w:themeTint="D8"/>
    </w:rPr>
  </w:style>
  <w:style w:type="paragraph" w:styleId="Title">
    <w:name w:val="Title"/>
    <w:basedOn w:val="Normal"/>
    <w:next w:val="Normal"/>
    <w:link w:val="TitleChar"/>
    <w:uiPriority w:val="10"/>
    <w:qFormat/>
    <w:rsid w:val="008B23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3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3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23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331"/>
    <w:pPr>
      <w:spacing w:before="160"/>
      <w:jc w:val="center"/>
    </w:pPr>
    <w:rPr>
      <w:i/>
      <w:iCs/>
      <w:color w:val="404040" w:themeColor="text1" w:themeTint="BF"/>
    </w:rPr>
  </w:style>
  <w:style w:type="character" w:customStyle="1" w:styleId="QuoteChar">
    <w:name w:val="Quote Char"/>
    <w:basedOn w:val="DefaultParagraphFont"/>
    <w:link w:val="Quote"/>
    <w:uiPriority w:val="29"/>
    <w:rsid w:val="008B2331"/>
    <w:rPr>
      <w:i/>
      <w:iCs/>
      <w:color w:val="404040" w:themeColor="text1" w:themeTint="BF"/>
    </w:rPr>
  </w:style>
  <w:style w:type="paragraph" w:styleId="ListParagraph">
    <w:name w:val="List Paragraph"/>
    <w:basedOn w:val="Normal"/>
    <w:uiPriority w:val="34"/>
    <w:qFormat/>
    <w:rsid w:val="008B2331"/>
    <w:pPr>
      <w:ind w:left="720"/>
      <w:contextualSpacing/>
    </w:pPr>
  </w:style>
  <w:style w:type="character" w:styleId="IntenseEmphasis">
    <w:name w:val="Intense Emphasis"/>
    <w:basedOn w:val="DefaultParagraphFont"/>
    <w:uiPriority w:val="21"/>
    <w:qFormat/>
    <w:rsid w:val="008B2331"/>
    <w:rPr>
      <w:i/>
      <w:iCs/>
      <w:color w:val="0F4761" w:themeColor="accent1" w:themeShade="BF"/>
    </w:rPr>
  </w:style>
  <w:style w:type="paragraph" w:styleId="IntenseQuote">
    <w:name w:val="Intense Quote"/>
    <w:basedOn w:val="Normal"/>
    <w:next w:val="Normal"/>
    <w:link w:val="IntenseQuoteChar"/>
    <w:uiPriority w:val="30"/>
    <w:qFormat/>
    <w:rsid w:val="008B23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2331"/>
    <w:rPr>
      <w:i/>
      <w:iCs/>
      <w:color w:val="0F4761" w:themeColor="accent1" w:themeShade="BF"/>
    </w:rPr>
  </w:style>
  <w:style w:type="character" w:styleId="IntenseReference">
    <w:name w:val="Intense Reference"/>
    <w:basedOn w:val="DefaultParagraphFont"/>
    <w:uiPriority w:val="32"/>
    <w:qFormat/>
    <w:rsid w:val="008B233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5298</Words>
  <Characters>30202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Salhma Parveen (2315839)</dc:creator>
  <cp:keywords/>
  <dc:description/>
  <cp:lastModifiedBy>salhma Parveen</cp:lastModifiedBy>
  <cp:revision>7</cp:revision>
  <dcterms:created xsi:type="dcterms:W3CDTF">2026-07-14T20:37:00Z</dcterms:created>
  <dcterms:modified xsi:type="dcterms:W3CDTF">2026-07-14T20:45:00Z</dcterms:modified>
</cp:coreProperties>
</file>