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E42E4" w14:textId="77777777" w:rsidR="009C1830" w:rsidRPr="00245A57" w:rsidRDefault="009C1830" w:rsidP="00245A57">
      <w:pPr>
        <w:spacing w:after="0"/>
        <w:rPr>
          <w:b/>
          <w:bCs/>
        </w:rPr>
      </w:pPr>
      <w:r w:rsidRPr="00245A57">
        <w:rPr>
          <w:b/>
          <w:bCs/>
        </w:rPr>
        <w:t>Alan Oliver</w:t>
      </w:r>
    </w:p>
    <w:p w14:paraId="3258F4A1" w14:textId="5E905A23" w:rsidR="009C1830" w:rsidRPr="00245A57" w:rsidRDefault="009C1830" w:rsidP="00245A57">
      <w:pPr>
        <w:spacing w:after="0"/>
        <w:rPr>
          <w:b/>
          <w:bCs/>
        </w:rPr>
      </w:pPr>
      <w:r w:rsidRPr="00245A57">
        <w:rPr>
          <w:b/>
          <w:bCs/>
        </w:rPr>
        <w:t>Student Number:</w:t>
      </w:r>
      <w:r w:rsidR="008A3C91" w:rsidRPr="002A041F">
        <w:rPr>
          <w:b/>
          <w:bCs/>
        </w:rPr>
        <w:t xml:space="preserve"> </w:t>
      </w:r>
      <w:r w:rsidR="002A041F" w:rsidRPr="002A041F">
        <w:rPr>
          <w:b/>
          <w:bCs/>
        </w:rPr>
        <w:t>2029653</w:t>
      </w:r>
    </w:p>
    <w:p w14:paraId="19AD8920" w14:textId="77777777" w:rsidR="009C1830" w:rsidRPr="00245A57" w:rsidRDefault="009C1830" w:rsidP="00245A57">
      <w:pPr>
        <w:spacing w:after="0"/>
        <w:rPr>
          <w:b/>
          <w:bCs/>
        </w:rPr>
      </w:pPr>
      <w:r w:rsidRPr="00245A57">
        <w:rPr>
          <w:b/>
          <w:bCs/>
        </w:rPr>
        <w:t>Module Code: BMPP5002D</w:t>
      </w:r>
    </w:p>
    <w:p w14:paraId="317252CA" w14:textId="77777777" w:rsidR="009C1830" w:rsidRPr="00245A57" w:rsidRDefault="009C1830" w:rsidP="00245A57">
      <w:pPr>
        <w:spacing w:after="0"/>
        <w:rPr>
          <w:b/>
          <w:bCs/>
        </w:rPr>
      </w:pPr>
      <w:r w:rsidRPr="00245A57">
        <w:rPr>
          <w:b/>
          <w:bCs/>
        </w:rPr>
        <w:t>Assignment 1</w:t>
      </w:r>
    </w:p>
    <w:p w14:paraId="09DED1C6" w14:textId="77777777" w:rsidR="009C1830" w:rsidRPr="00245A57" w:rsidRDefault="009C1830" w:rsidP="00245A57">
      <w:pPr>
        <w:spacing w:after="0"/>
        <w:rPr>
          <w:b/>
          <w:bCs/>
        </w:rPr>
      </w:pPr>
    </w:p>
    <w:p w14:paraId="442249DC" w14:textId="77777777" w:rsidR="009C1830" w:rsidRPr="00245A57" w:rsidRDefault="009C1830" w:rsidP="00245A57">
      <w:pPr>
        <w:spacing w:after="0"/>
        <w:rPr>
          <w:b/>
          <w:bCs/>
        </w:rPr>
      </w:pPr>
    </w:p>
    <w:p w14:paraId="727847D9" w14:textId="77777777" w:rsidR="00CA4021" w:rsidRPr="00245A57" w:rsidRDefault="003B62AF" w:rsidP="00245A57">
      <w:pPr>
        <w:spacing w:after="0"/>
        <w:rPr>
          <w:b/>
          <w:bCs/>
        </w:rPr>
      </w:pPr>
      <w:r w:rsidRPr="00245A57">
        <w:rPr>
          <w:b/>
          <w:bCs/>
        </w:rPr>
        <w:t>ESSAY 1</w:t>
      </w:r>
    </w:p>
    <w:p w14:paraId="0B694240" w14:textId="77777777" w:rsidR="003B62AF" w:rsidRPr="00245A57" w:rsidRDefault="003B62AF" w:rsidP="00245A57">
      <w:pPr>
        <w:spacing w:after="0"/>
        <w:rPr>
          <w:b/>
        </w:rPr>
      </w:pPr>
    </w:p>
    <w:p w14:paraId="601F52D0" w14:textId="77777777" w:rsidR="00952B05" w:rsidRPr="00245A57" w:rsidRDefault="00CA4021" w:rsidP="00245A57">
      <w:pPr>
        <w:spacing w:after="0"/>
        <w:rPr>
          <w:u w:val="single"/>
        </w:rPr>
      </w:pPr>
      <w:r w:rsidRPr="00245A57">
        <w:rPr>
          <w:u w:val="single"/>
        </w:rPr>
        <w:t>How Might the Code of Ethics help to reduce the incidences of professional misconduct and increase public confidence in the police?</w:t>
      </w:r>
    </w:p>
    <w:p w14:paraId="2CB8CCEE" w14:textId="77777777" w:rsidR="00952B05" w:rsidRPr="00245A57" w:rsidRDefault="00952B05" w:rsidP="00245A57">
      <w:pPr>
        <w:spacing w:after="0"/>
        <w:rPr>
          <w:u w:val="single"/>
        </w:rPr>
      </w:pPr>
    </w:p>
    <w:p w14:paraId="489A985B" w14:textId="77777777" w:rsidR="00CA4021" w:rsidRPr="00245A57" w:rsidRDefault="00587373" w:rsidP="00245A57">
      <w:pPr>
        <w:pStyle w:val="PlainText"/>
      </w:pPr>
      <w:r w:rsidRPr="00245A57">
        <w:t>A Code of Ethics provides guidelines and expectations for ethical conduct</w:t>
      </w:r>
      <w:r w:rsidR="000318DB" w:rsidRPr="00245A57">
        <w:t xml:space="preserve"> and decision making</w:t>
      </w:r>
      <w:r w:rsidRPr="00245A57">
        <w:t>, promotes integrity</w:t>
      </w:r>
      <w:r w:rsidR="000318DB" w:rsidRPr="00245A57">
        <w:t xml:space="preserve"> and professionalism</w:t>
      </w:r>
      <w:r w:rsidRPr="00245A57">
        <w:t>, establishes acco</w:t>
      </w:r>
      <w:r w:rsidR="001259BA" w:rsidRPr="00245A57">
        <w:t>untability within police organis</w:t>
      </w:r>
      <w:r w:rsidRPr="00245A57">
        <w:t>ations</w:t>
      </w:r>
      <w:r w:rsidR="000318DB" w:rsidRPr="00245A57">
        <w:t>, and encourages community engagement, transparency and communication.</w:t>
      </w:r>
      <w:r w:rsidRPr="00245A57">
        <w:t xml:space="preserve"> </w:t>
      </w:r>
      <w:r w:rsidR="000318DB" w:rsidRPr="00245A57">
        <w:t>This essay explores these functions and examines how an effective Code of E</w:t>
      </w:r>
      <w:r w:rsidR="00BA46CF" w:rsidRPr="00245A57">
        <w:t xml:space="preserve">thics acts as an essential </w:t>
      </w:r>
      <w:r w:rsidR="000318DB" w:rsidRPr="00245A57">
        <w:t xml:space="preserve">tool in reducing </w:t>
      </w:r>
      <w:r w:rsidR="00025692" w:rsidRPr="00245A57">
        <w:t xml:space="preserve">and managing </w:t>
      </w:r>
      <w:r w:rsidR="00BA46CF" w:rsidRPr="00245A57">
        <w:t xml:space="preserve">incidences </w:t>
      </w:r>
      <w:r w:rsidR="00301441" w:rsidRPr="00245A57">
        <w:t>of professional misconduct and</w:t>
      </w:r>
      <w:r w:rsidR="00527629" w:rsidRPr="00245A57">
        <w:t xml:space="preserve"> how the implementation </w:t>
      </w:r>
      <w:r w:rsidR="009E4A46" w:rsidRPr="00245A57">
        <w:t>of a robust C</w:t>
      </w:r>
      <w:r w:rsidR="00527629" w:rsidRPr="00245A57">
        <w:t>ode of Ethics</w:t>
      </w:r>
      <w:r w:rsidR="000318DB" w:rsidRPr="00245A57">
        <w:t xml:space="preserve"> </w:t>
      </w:r>
      <w:r w:rsidR="00BA46CF" w:rsidRPr="00245A57">
        <w:t>results in enhanced</w:t>
      </w:r>
      <w:r w:rsidR="000318DB" w:rsidRPr="00245A57">
        <w:t xml:space="preserve"> public co</w:t>
      </w:r>
      <w:r w:rsidR="00025692" w:rsidRPr="00245A57">
        <w:t>nfidence in the police</w:t>
      </w:r>
      <w:r w:rsidR="000318DB" w:rsidRPr="00245A57">
        <w:t xml:space="preserve">. </w:t>
      </w:r>
    </w:p>
    <w:p w14:paraId="6DD3C95A" w14:textId="77777777" w:rsidR="00952B05" w:rsidRPr="00245A57" w:rsidRDefault="00952B05" w:rsidP="00245A57">
      <w:pPr>
        <w:pStyle w:val="PlainText"/>
      </w:pPr>
    </w:p>
    <w:p w14:paraId="70E069EB" w14:textId="77777777" w:rsidR="00FD72AF" w:rsidRPr="00245A57" w:rsidRDefault="00CA4021" w:rsidP="00245A57">
      <w:pPr>
        <w:pStyle w:val="PlainText"/>
      </w:pPr>
      <w:r w:rsidRPr="00245A57">
        <w:t>Initially introdu</w:t>
      </w:r>
      <w:r w:rsidR="001259BA" w:rsidRPr="00245A57">
        <w:t>ced by the College of P</w:t>
      </w:r>
      <w:r w:rsidRPr="00245A57">
        <w:t xml:space="preserve">olicing </w:t>
      </w:r>
      <w:r w:rsidR="001259BA" w:rsidRPr="00245A57">
        <w:t>in 2014, the Code of E</w:t>
      </w:r>
      <w:r w:rsidRPr="00245A57">
        <w:t>thics is described in Professor Robin Bryant’s Handbook f</w:t>
      </w:r>
      <w:r w:rsidR="00BA46CF" w:rsidRPr="00245A57">
        <w:t>or Policing</w:t>
      </w:r>
      <w:r w:rsidRPr="00245A57">
        <w:t xml:space="preserve"> Students</w:t>
      </w:r>
      <w:r w:rsidR="00527629" w:rsidRPr="00245A57">
        <w:t xml:space="preserve"> (2021)</w:t>
      </w:r>
      <w:r w:rsidRPr="00245A57">
        <w:t xml:space="preserve"> as being central to the </w:t>
      </w:r>
      <w:r w:rsidR="001259BA" w:rsidRPr="00245A57">
        <w:t>professionalis</w:t>
      </w:r>
      <w:r w:rsidRPr="00245A57">
        <w:t>ation of the police service and police practice</w:t>
      </w:r>
      <w:r w:rsidR="001259BA" w:rsidRPr="00245A57">
        <w:t>s</w:t>
      </w:r>
      <w:r w:rsidR="00527629" w:rsidRPr="00245A57">
        <w:t xml:space="preserve">. </w:t>
      </w:r>
      <w:r w:rsidR="001259BA" w:rsidRPr="00245A57">
        <w:t>The Code of E</w:t>
      </w:r>
      <w:r w:rsidRPr="00245A57">
        <w:t>thics applies to all police officers, staff and</w:t>
      </w:r>
      <w:r w:rsidR="001259BA" w:rsidRPr="00245A57">
        <w:t xml:space="preserve"> volunteers engaged in policing, ensuring its impact and consistency across</w:t>
      </w:r>
      <w:r w:rsidR="00527629" w:rsidRPr="00245A57">
        <w:t xml:space="preserve"> the whole force</w:t>
      </w:r>
      <w:r w:rsidRPr="00245A57">
        <w:t xml:space="preserve"> </w:t>
      </w:r>
      <w:r w:rsidR="00790E09" w:rsidRPr="00245A57">
        <w:t>(Bryant &amp;</w:t>
      </w:r>
      <w:r w:rsidR="00527629" w:rsidRPr="00245A57">
        <w:t xml:space="preserve"> Bryant, 2021).</w:t>
      </w:r>
    </w:p>
    <w:p w14:paraId="6C4C4FAF" w14:textId="77777777" w:rsidR="00952B05" w:rsidRPr="00245A57" w:rsidRDefault="00952B05" w:rsidP="00245A57">
      <w:pPr>
        <w:pStyle w:val="PlainText"/>
        <w:rPr>
          <w:rFonts w:asciiTheme="minorHAnsi" w:hAnsiTheme="minorHAnsi" w:cstheme="minorHAnsi"/>
          <w:spacing w:val="3"/>
          <w:szCs w:val="22"/>
        </w:rPr>
      </w:pPr>
    </w:p>
    <w:p w14:paraId="4699DB65" w14:textId="77777777" w:rsidR="00CA4021" w:rsidRPr="00245A57" w:rsidRDefault="00FD72AF" w:rsidP="00245A57">
      <w:pPr>
        <w:pStyle w:val="PlainText"/>
      </w:pPr>
      <w:r w:rsidRPr="00245A57">
        <w:rPr>
          <w:rFonts w:asciiTheme="minorHAnsi" w:hAnsiTheme="minorHAnsi" w:cstheme="minorHAnsi"/>
          <w:spacing w:val="3"/>
          <w:szCs w:val="22"/>
        </w:rPr>
        <w:t xml:space="preserve">A </w:t>
      </w:r>
      <w:r w:rsidR="001259BA" w:rsidRPr="00245A57">
        <w:rPr>
          <w:rFonts w:asciiTheme="minorHAnsi" w:hAnsiTheme="minorHAnsi" w:cstheme="minorHAnsi"/>
          <w:spacing w:val="3"/>
          <w:szCs w:val="22"/>
        </w:rPr>
        <w:t>Code of Ethics</w:t>
      </w:r>
      <w:r w:rsidRPr="00245A57">
        <w:rPr>
          <w:rFonts w:asciiTheme="minorHAnsi" w:hAnsiTheme="minorHAnsi" w:cstheme="minorHAnsi"/>
          <w:spacing w:val="3"/>
          <w:szCs w:val="22"/>
        </w:rPr>
        <w:t xml:space="preserve"> existence</w:t>
      </w:r>
      <w:r w:rsidR="001259BA" w:rsidRPr="00245A57">
        <w:rPr>
          <w:rFonts w:asciiTheme="minorHAnsi" w:hAnsiTheme="minorHAnsi" w:cstheme="minorHAnsi"/>
          <w:spacing w:val="3"/>
          <w:szCs w:val="22"/>
        </w:rPr>
        <w:t xml:space="preserve"> is not enough to reduce unprofessional behaviour</w:t>
      </w:r>
      <w:r w:rsidRPr="00245A57">
        <w:rPr>
          <w:rFonts w:asciiTheme="minorHAnsi" w:hAnsiTheme="minorHAnsi" w:cstheme="minorHAnsi"/>
          <w:spacing w:val="3"/>
          <w:szCs w:val="22"/>
        </w:rPr>
        <w:t>, it</w:t>
      </w:r>
      <w:r w:rsidR="001259BA" w:rsidRPr="00245A57">
        <w:rPr>
          <w:rFonts w:asciiTheme="minorHAnsi" w:hAnsiTheme="minorHAnsi" w:cstheme="minorHAnsi"/>
          <w:spacing w:val="3"/>
          <w:szCs w:val="22"/>
        </w:rPr>
        <w:t xml:space="preserve"> needs to be incorporated fully as an ongoing consideration for every part of policing</w:t>
      </w:r>
      <w:r w:rsidRPr="00245A57">
        <w:rPr>
          <w:rFonts w:asciiTheme="minorHAnsi" w:hAnsiTheme="minorHAnsi" w:cstheme="minorHAnsi"/>
          <w:spacing w:val="3"/>
          <w:szCs w:val="22"/>
        </w:rPr>
        <w:t xml:space="preserve"> and consistently used as a reference point for officers, allowing the public to gain confidence in the conduct of police</w:t>
      </w:r>
      <w:r w:rsidR="001259BA" w:rsidRPr="00245A57">
        <w:rPr>
          <w:rFonts w:asciiTheme="minorHAnsi" w:hAnsiTheme="minorHAnsi" w:cstheme="minorHAnsi"/>
          <w:spacing w:val="3"/>
          <w:szCs w:val="22"/>
        </w:rPr>
        <w:t xml:space="preserve"> (College of Policing, 2014).</w:t>
      </w:r>
      <w:r w:rsidRPr="00245A57">
        <w:t xml:space="preserve"> </w:t>
      </w:r>
      <w:r w:rsidR="00CA4021" w:rsidRPr="00245A57">
        <w:t>Instilling core values and ethical conduct</w:t>
      </w:r>
      <w:r w:rsidRPr="00245A57">
        <w:t>,</w:t>
      </w:r>
      <w:r w:rsidR="00CA4021" w:rsidRPr="00245A57">
        <w:t xml:space="preserve"> a</w:t>
      </w:r>
      <w:r w:rsidRPr="00245A57">
        <w:t xml:space="preserve"> Code of E</w:t>
      </w:r>
      <w:r w:rsidR="00CA4021" w:rsidRPr="00245A57">
        <w:t>thics serves as a foundational document that articulates the core values and princip</w:t>
      </w:r>
      <w:r w:rsidRPr="00245A57">
        <w:t>les</w:t>
      </w:r>
      <w:r w:rsidR="00025692" w:rsidRPr="00245A57">
        <w:t xml:space="preserve"> that guide</w:t>
      </w:r>
      <w:r w:rsidR="00790E09" w:rsidRPr="00245A57">
        <w:t>s</w:t>
      </w:r>
      <w:r w:rsidRPr="00245A57">
        <w:t xml:space="preserve"> </w:t>
      </w:r>
      <w:r w:rsidR="00790E09" w:rsidRPr="00245A57">
        <w:t xml:space="preserve">behaviour (Ferguson &amp; Milliman, 2008) </w:t>
      </w:r>
      <w:r w:rsidR="00CA4021" w:rsidRPr="00245A57">
        <w:t>By clearly defining expectations regarding professionalism, inte</w:t>
      </w:r>
      <w:r w:rsidR="009E4A46" w:rsidRPr="00245A57">
        <w:t>grity, and responsibility, the c</w:t>
      </w:r>
      <w:r w:rsidR="00CA4021" w:rsidRPr="00245A57">
        <w:t xml:space="preserve">ode helps police officers understand the importance of upholding ethical standards while carrying out their duties. This promotes a collective understanding of </w:t>
      </w:r>
      <w:r w:rsidR="00527629" w:rsidRPr="00245A57">
        <w:t>expected</w:t>
      </w:r>
      <w:r w:rsidR="00CA4021" w:rsidRPr="00245A57">
        <w:t xml:space="preserve"> conduct and provides a benchmark agains</w:t>
      </w:r>
      <w:r w:rsidR="001B0DB7" w:rsidRPr="00245A57">
        <w:t>t which actions can be assessed (</w:t>
      </w:r>
      <w:proofErr w:type="spellStart"/>
      <w:r w:rsidR="001B0DB7" w:rsidRPr="00245A57">
        <w:t>MacVean</w:t>
      </w:r>
      <w:proofErr w:type="spellEnd"/>
      <w:r w:rsidR="001B0DB7" w:rsidRPr="00245A57">
        <w:t xml:space="preserve"> &amp; </w:t>
      </w:r>
      <w:proofErr w:type="spellStart"/>
      <w:r w:rsidR="001B0DB7" w:rsidRPr="00245A57">
        <w:t>Neyroud</w:t>
      </w:r>
      <w:proofErr w:type="spellEnd"/>
      <w:r w:rsidR="001B0DB7" w:rsidRPr="00245A57">
        <w:t>, 2012).</w:t>
      </w:r>
    </w:p>
    <w:p w14:paraId="17827E0C" w14:textId="77777777" w:rsidR="00952B05" w:rsidRPr="00245A57" w:rsidRDefault="00952B05" w:rsidP="00245A57">
      <w:pPr>
        <w:pStyle w:val="PlainText"/>
      </w:pPr>
    </w:p>
    <w:p w14:paraId="042A495C" w14:textId="77777777" w:rsidR="00CA4021" w:rsidRPr="00245A57" w:rsidRDefault="00D46A2A" w:rsidP="00245A57">
      <w:pPr>
        <w:pStyle w:val="PlainText"/>
      </w:pPr>
      <w:r w:rsidRPr="00245A57">
        <w:t>Promoting accountability and t</w:t>
      </w:r>
      <w:r w:rsidR="00CA4021" w:rsidRPr="00245A57">
        <w:t>ransparency</w:t>
      </w:r>
      <w:r w:rsidR="0081702E" w:rsidRPr="00245A57">
        <w:t>,</w:t>
      </w:r>
      <w:r w:rsidR="00CA4021" w:rsidRPr="00245A57">
        <w:t xml:space="preserve"> a</w:t>
      </w:r>
      <w:r w:rsidRPr="00245A57">
        <w:t xml:space="preserve"> well-designed Code of E</w:t>
      </w:r>
      <w:r w:rsidR="00CA4021" w:rsidRPr="00245A57">
        <w:t>thics delineates the consequences of misconduct, including disciplinary actions and potential legal repercussions</w:t>
      </w:r>
      <w:r w:rsidR="001B0DB7" w:rsidRPr="00245A57">
        <w:t xml:space="preserve"> (Lister &amp; Rowe, 2016)</w:t>
      </w:r>
      <w:r w:rsidR="00CA4021" w:rsidRPr="00245A57">
        <w:t>.</w:t>
      </w:r>
      <w:r w:rsidRPr="00245A57">
        <w:t xml:space="preserve"> </w:t>
      </w:r>
      <w:r w:rsidR="0081702E" w:rsidRPr="00245A57">
        <w:t>By emphasis</w:t>
      </w:r>
      <w:r w:rsidR="00CA4021" w:rsidRPr="00245A57">
        <w:t>ing the i</w:t>
      </w:r>
      <w:r w:rsidR="00025692" w:rsidRPr="00245A57">
        <w:t>mportance of accountability, a Code of E</w:t>
      </w:r>
      <w:r w:rsidR="00CA4021" w:rsidRPr="00245A57">
        <w:t>thics motivates police officers to adhere to ethical standards and discourages them from engaging in misconduct. Furthermore, a transparent system of accountability ensures that offenders are held responsible for their actions, reassuring the public that internal mechanisms are in place to address any misconduct promptly and fairly</w:t>
      </w:r>
      <w:r w:rsidR="0081702E" w:rsidRPr="00245A57">
        <w:t xml:space="preserve"> (Millen &amp; Stevens, </w:t>
      </w:r>
      <w:r w:rsidR="00D24623" w:rsidRPr="00245A57">
        <w:t>2011).</w:t>
      </w:r>
    </w:p>
    <w:p w14:paraId="654D0E55" w14:textId="77777777" w:rsidR="00952B05" w:rsidRPr="00245A57" w:rsidRDefault="00952B05" w:rsidP="00245A57">
      <w:pPr>
        <w:pStyle w:val="PlainText"/>
      </w:pPr>
    </w:p>
    <w:p w14:paraId="582BD0C2" w14:textId="77777777" w:rsidR="00D24623" w:rsidRPr="00245A57" w:rsidRDefault="00CA4021" w:rsidP="00245A57">
      <w:pPr>
        <w:pStyle w:val="PlainText"/>
      </w:pPr>
      <w:r w:rsidRPr="00245A57">
        <w:t>Encouraging ethical decision m</w:t>
      </w:r>
      <w:r w:rsidR="00D46A2A" w:rsidRPr="00245A57">
        <w:t xml:space="preserve">aking, </w:t>
      </w:r>
      <w:r w:rsidRPr="00245A57">
        <w:t xml:space="preserve">law enforcement professionals often face complex and high-pressure situations that require quick </w:t>
      </w:r>
      <w:r w:rsidR="00025692" w:rsidRPr="00245A57">
        <w:t>and ethical decision-making. A Code of E</w:t>
      </w:r>
      <w:r w:rsidRPr="00245A57">
        <w:t>thics provides officers with a framework for critically analysing ethical dilemmas and making decisions based on moral values. It guides officers to consider factors such as fairness, impartiality, and respect for indiv</w:t>
      </w:r>
      <w:r w:rsidR="009E4A46" w:rsidRPr="00245A57">
        <w:t>idual rights. By doing so, the c</w:t>
      </w:r>
      <w:r w:rsidRPr="00245A57">
        <w:t>ode promotes consistency in decision-making and minimi</w:t>
      </w:r>
      <w:r w:rsidR="006C749E" w:rsidRPr="00245A57">
        <w:t>s</w:t>
      </w:r>
      <w:r w:rsidRPr="00245A57">
        <w:t>es the potential for personal biases or m</w:t>
      </w:r>
      <w:r w:rsidR="00D24623" w:rsidRPr="00245A57">
        <w:t>isconduct to influence outcomes (</w:t>
      </w:r>
      <w:proofErr w:type="spellStart"/>
      <w:r w:rsidR="00D24623" w:rsidRPr="00245A57">
        <w:t>Maile</w:t>
      </w:r>
      <w:proofErr w:type="spellEnd"/>
      <w:r w:rsidR="00D24623" w:rsidRPr="00245A57">
        <w:t xml:space="preserve"> et al, 2022).</w:t>
      </w:r>
    </w:p>
    <w:p w14:paraId="23F48250" w14:textId="77777777" w:rsidR="00952B05" w:rsidRPr="00245A57" w:rsidRDefault="00952B05" w:rsidP="00245A57">
      <w:pPr>
        <w:pStyle w:val="PlainText"/>
      </w:pPr>
    </w:p>
    <w:p w14:paraId="7637F6C0" w14:textId="77777777" w:rsidR="00CA4021" w:rsidRPr="00245A57" w:rsidRDefault="00527629" w:rsidP="00245A57">
      <w:pPr>
        <w:pStyle w:val="PlainText"/>
      </w:pPr>
      <w:r w:rsidRPr="00245A57">
        <w:lastRenderedPageBreak/>
        <w:t>Ensuring ethical conduct in challenging situations, police officers often face difficult scenarios that test their commitment to ethical co</w:t>
      </w:r>
      <w:r w:rsidR="003D6C63" w:rsidRPr="00245A57">
        <w:t>nduct. A Code of E</w:t>
      </w:r>
      <w:r w:rsidRPr="00245A57">
        <w:t>thics establishes guidelines to navigate these challenging situations. It provides guidance on the appropriate use of force, handling confidential information, engaging with diverse communities, and avoiding bias during investigations. The Code acts as a compass, offering officers clear direction and ethical boundaries. This guidance reduces the likelihood of misconduct occurring during stres</w:t>
      </w:r>
      <w:r w:rsidR="001B0DB7" w:rsidRPr="00245A57">
        <w:t>sful or ambiguous circumstances (</w:t>
      </w:r>
      <w:proofErr w:type="spellStart"/>
      <w:r w:rsidR="001B0DB7" w:rsidRPr="00245A57">
        <w:t>MacVean</w:t>
      </w:r>
      <w:proofErr w:type="spellEnd"/>
      <w:r w:rsidR="001B0DB7" w:rsidRPr="00245A57">
        <w:t xml:space="preserve"> &amp; </w:t>
      </w:r>
      <w:proofErr w:type="spellStart"/>
      <w:r w:rsidR="001B0DB7" w:rsidRPr="00245A57">
        <w:t>Neyroud</w:t>
      </w:r>
      <w:proofErr w:type="spellEnd"/>
      <w:r w:rsidR="001B0DB7" w:rsidRPr="00245A57">
        <w:t>, 2012).</w:t>
      </w:r>
    </w:p>
    <w:p w14:paraId="5C020CB9" w14:textId="77777777" w:rsidR="00952B05" w:rsidRPr="00245A57" w:rsidRDefault="00952B05" w:rsidP="00245A57">
      <w:pPr>
        <w:pStyle w:val="PlainText"/>
      </w:pPr>
    </w:p>
    <w:p w14:paraId="55AF017A" w14:textId="77777777" w:rsidR="00952B05" w:rsidRPr="00245A57" w:rsidRDefault="00D46A2A" w:rsidP="00245A57">
      <w:pPr>
        <w:pStyle w:val="PlainText"/>
      </w:pPr>
      <w:r w:rsidRPr="00245A57">
        <w:t>Fostering professionalism and i</w:t>
      </w:r>
      <w:r w:rsidR="00CA4021" w:rsidRPr="00245A57">
        <w:t>ntegrity</w:t>
      </w:r>
      <w:r w:rsidRPr="00245A57">
        <w:t>,</w:t>
      </w:r>
      <w:r w:rsidR="00CA4021" w:rsidRPr="00245A57">
        <w:t xml:space="preserve"> a </w:t>
      </w:r>
      <w:r w:rsidR="00025692" w:rsidRPr="00245A57">
        <w:t>Code of E</w:t>
      </w:r>
      <w:r w:rsidR="00CA4021" w:rsidRPr="00245A57">
        <w:t>thics emphasi</w:t>
      </w:r>
      <w:r w:rsidR="006C749E" w:rsidRPr="00245A57">
        <w:t>s</w:t>
      </w:r>
      <w:r w:rsidR="00CA4021" w:rsidRPr="00245A57">
        <w:t>es the importance of professionalism and integrity as foundational attributes of police o</w:t>
      </w:r>
      <w:r w:rsidR="009E4A46" w:rsidRPr="00245A57">
        <w:t>fficers. By adhering to such a c</w:t>
      </w:r>
      <w:r w:rsidR="00CA4021" w:rsidRPr="00245A57">
        <w:t>ode, police officers demonstrate a commitment to maintaining high standards of behaviour and acti</w:t>
      </w:r>
      <w:r w:rsidR="003C6070" w:rsidRPr="00245A57">
        <w:t xml:space="preserve">vely promote public confidence (Lister &amp; Rowe, 2016). </w:t>
      </w:r>
      <w:r w:rsidR="00CA4021" w:rsidRPr="00245A57">
        <w:t>This fosters a culture of professionalism within the police force, fostering a sense of pride and dedication among officers. When the public perceives professionalism in policing, it increases their trust and confidence in law enforcement agencies</w:t>
      </w:r>
      <w:r w:rsidR="003C6070" w:rsidRPr="00245A57">
        <w:t xml:space="preserve"> (</w:t>
      </w:r>
      <w:proofErr w:type="spellStart"/>
      <w:r w:rsidR="003C6070" w:rsidRPr="00245A57">
        <w:t>MacVean</w:t>
      </w:r>
      <w:proofErr w:type="spellEnd"/>
      <w:r w:rsidR="003C6070" w:rsidRPr="00245A57">
        <w:t xml:space="preserve"> &amp; </w:t>
      </w:r>
      <w:proofErr w:type="spellStart"/>
      <w:r w:rsidR="003C6070" w:rsidRPr="00245A57">
        <w:t>Neyroud</w:t>
      </w:r>
      <w:proofErr w:type="spellEnd"/>
      <w:r w:rsidR="003C6070" w:rsidRPr="00245A57">
        <w:t>, 2012).</w:t>
      </w:r>
    </w:p>
    <w:p w14:paraId="35D89138" w14:textId="77777777" w:rsidR="00952B05" w:rsidRPr="00245A57" w:rsidRDefault="00952B05" w:rsidP="00245A57">
      <w:pPr>
        <w:pStyle w:val="PlainText"/>
      </w:pPr>
    </w:p>
    <w:p w14:paraId="5047DA66" w14:textId="77777777" w:rsidR="007553CC" w:rsidRPr="00245A57" w:rsidRDefault="00527629" w:rsidP="00245A57">
      <w:pPr>
        <w:pStyle w:val="PlainText"/>
      </w:pPr>
      <w:r w:rsidRPr="00245A57">
        <w:t>Endorsing</w:t>
      </w:r>
      <w:r w:rsidR="007553CC" w:rsidRPr="00245A57">
        <w:t xml:space="preserve"> challenging and reporting improper conduct, a robust Code of Ethics encourages officers to report misconduct and </w:t>
      </w:r>
      <w:r w:rsidRPr="00245A57">
        <w:t>maintains</w:t>
      </w:r>
      <w:r w:rsidR="007553CC" w:rsidRPr="00245A57">
        <w:t xml:space="preserve"> a cul</w:t>
      </w:r>
      <w:r w:rsidR="003C6070" w:rsidRPr="00245A57">
        <w:t xml:space="preserve">ture of accountability. Protection for </w:t>
      </w:r>
      <w:proofErr w:type="spellStart"/>
      <w:r w:rsidR="003C6070" w:rsidRPr="00245A57">
        <w:t>whistleblowers</w:t>
      </w:r>
      <w:proofErr w:type="spellEnd"/>
      <w:r w:rsidR="003C6070" w:rsidRPr="00245A57">
        <w:t xml:space="preserve"> and informants helps to counter significant challenges of loyalty and camaraderie that may prevent officers from reporting misconduct. Provision for those who report misconduct encourages them to challenge unethical behaviour and Lister &amp; Rowe (2016) explains that a transparent strategy of provision for </w:t>
      </w:r>
      <w:proofErr w:type="spellStart"/>
      <w:r w:rsidR="003C6070" w:rsidRPr="00245A57">
        <w:t>whistleblowers</w:t>
      </w:r>
      <w:proofErr w:type="spellEnd"/>
      <w:r w:rsidR="003C6070" w:rsidRPr="00245A57">
        <w:t xml:space="preserve"> f</w:t>
      </w:r>
      <w:r w:rsidRPr="00245A57">
        <w:t>urther</w:t>
      </w:r>
      <w:r w:rsidR="007553CC" w:rsidRPr="00245A57">
        <w:t xml:space="preserve"> enhanc</w:t>
      </w:r>
      <w:r w:rsidR="003C6070" w:rsidRPr="00245A57">
        <w:t>es public perception of integrity in the police force.</w:t>
      </w:r>
    </w:p>
    <w:p w14:paraId="6F9258B6" w14:textId="77777777" w:rsidR="007553CC" w:rsidRPr="00245A57" w:rsidRDefault="00CA4021" w:rsidP="00245A57">
      <w:pPr>
        <w:spacing w:after="0"/>
      </w:pPr>
      <w:r w:rsidRPr="00245A57">
        <w:t>In</w:t>
      </w:r>
      <w:r w:rsidR="00D46A2A" w:rsidRPr="00245A57">
        <w:t xml:space="preserve"> a study conducted by Merry et al (2012) </w:t>
      </w:r>
      <w:r w:rsidRPr="00245A57">
        <w:t>on the drivers of public trust and confid</w:t>
      </w:r>
      <w:r w:rsidR="00D46A2A" w:rsidRPr="00245A57">
        <w:t>ence in police in the UK</w:t>
      </w:r>
      <w:r w:rsidRPr="00245A57">
        <w:t>, it was concluded that there is evidence of perceptions and attitudes of members of the public who have had cause to interact with the police either regularly or on one specific occasion being directly influenced by the way the policing services are delivered during that interaction and the subsequent action taken by the police. How the public gauged the professionalism,</w:t>
      </w:r>
      <w:r w:rsidR="00AD3113" w:rsidRPr="00245A57">
        <w:t xml:space="preserve"> i</w:t>
      </w:r>
      <w:r w:rsidRPr="00245A57">
        <w:t xml:space="preserve">ntegrity, none bias, fairness, transparency and ethical behaviour of the police officers and the police staff during their own experiences directly </w:t>
      </w:r>
      <w:r w:rsidR="00952B05" w:rsidRPr="00245A57">
        <w:t>a</w:t>
      </w:r>
      <w:r w:rsidRPr="00245A57">
        <w:t>ffects their trust and confidence in the police. Further, this study confirms the importance of police treating people as individuals and understanding their individual and community needs and expectation</w:t>
      </w:r>
      <w:r w:rsidR="00D46A2A" w:rsidRPr="00245A57">
        <w:t>s</w:t>
      </w:r>
      <w:r w:rsidRPr="00245A57">
        <w:t xml:space="preserve"> </w:t>
      </w:r>
      <w:r w:rsidR="00D46A2A" w:rsidRPr="00245A57">
        <w:t>(Merry e</w:t>
      </w:r>
      <w:r w:rsidRPr="00245A57">
        <w:t>t al</w:t>
      </w:r>
      <w:r w:rsidR="00D46A2A" w:rsidRPr="00245A57">
        <w:t>, 2012</w:t>
      </w:r>
      <w:r w:rsidRPr="00245A57">
        <w:t>).</w:t>
      </w:r>
    </w:p>
    <w:p w14:paraId="5C624044" w14:textId="77777777" w:rsidR="00952B05" w:rsidRPr="00245A57" w:rsidRDefault="00952B05" w:rsidP="00245A57">
      <w:pPr>
        <w:spacing w:after="0"/>
      </w:pPr>
    </w:p>
    <w:p w14:paraId="40485E2C" w14:textId="77777777" w:rsidR="00CA4021" w:rsidRPr="00245A57" w:rsidRDefault="00CA4021" w:rsidP="00245A57">
      <w:pPr>
        <w:spacing w:after="0"/>
      </w:pPr>
      <w:r w:rsidRPr="00245A57">
        <w:t>In conclusion</w:t>
      </w:r>
      <w:r w:rsidR="00AD3113" w:rsidRPr="00245A57">
        <w:t>, a Code of E</w:t>
      </w:r>
      <w:r w:rsidRPr="00245A57">
        <w:t>thics plays a vital role in reducing professional misconduct and enhancing public confidence in the police force. Establishing clear guidelines, promoting accountability, encouraging ethical decision-making, fostering professionalism, and addressing challenging situations are al</w:t>
      </w:r>
      <w:r w:rsidR="00025692" w:rsidRPr="00245A57">
        <w:t>l crucial elements of a robust Code of E</w:t>
      </w:r>
      <w:r w:rsidRPr="00245A57">
        <w:t>thics. Wh</w:t>
      </w:r>
      <w:r w:rsidR="00025692" w:rsidRPr="00245A57">
        <w:t>en applied effectively, such a C</w:t>
      </w:r>
      <w:r w:rsidRPr="00245A57">
        <w:t xml:space="preserve">ode can help guard against misconduct, ensure the desired behaviour of police officers, and restore and maintain trust between law enforcement agencies and the public they serve. By </w:t>
      </w:r>
      <w:r w:rsidR="00025692" w:rsidRPr="00245A57">
        <w:t>laying out a single Code of E</w:t>
      </w:r>
      <w:r w:rsidRPr="00245A57">
        <w:t>thics underpinning the behaviours and standar</w:t>
      </w:r>
      <w:r w:rsidR="00025692" w:rsidRPr="00245A57">
        <w:t>ds that every</w:t>
      </w:r>
      <w:r w:rsidRPr="00245A57">
        <w:t xml:space="preserve"> member of police staff is required to adhere to both on and off duty, there is a very clear expectation set for both the public and police officers in terms of how the police should conduct themselves and what ethics and values should lie at the core of their decision making. Using this </w:t>
      </w:r>
      <w:r w:rsidR="00025692" w:rsidRPr="00245A57">
        <w:t>comprehensive C</w:t>
      </w:r>
      <w:r w:rsidRPr="00245A57">
        <w:t>ode of</w:t>
      </w:r>
      <w:r w:rsidR="00025692" w:rsidRPr="00245A57">
        <w:t xml:space="preserve"> Et</w:t>
      </w:r>
      <w:r w:rsidRPr="00245A57">
        <w:t>hics to create a strong ethical foundation that extends throughout the police force and having consequences in place for police officers and staff, should they fall short of these expectations</w:t>
      </w:r>
      <w:r w:rsidR="00952B05" w:rsidRPr="00245A57">
        <w:t>,</w:t>
      </w:r>
      <w:r w:rsidRPr="00245A57">
        <w:t xml:space="preserve"> </w:t>
      </w:r>
      <w:r w:rsidR="00952B05" w:rsidRPr="00245A57">
        <w:t>does increase</w:t>
      </w:r>
      <w:r w:rsidRPr="00245A57">
        <w:t xml:space="preserve"> public confidence in the police. </w:t>
      </w:r>
    </w:p>
    <w:p w14:paraId="3351A649" w14:textId="77777777" w:rsidR="00952B05" w:rsidRPr="00245A57" w:rsidRDefault="00952B05" w:rsidP="00245A57">
      <w:pPr>
        <w:spacing w:after="0"/>
      </w:pPr>
    </w:p>
    <w:p w14:paraId="5E65125D" w14:textId="77777777" w:rsidR="00CA4021" w:rsidRPr="00245A57" w:rsidRDefault="00DF21DE" w:rsidP="00245A57">
      <w:pPr>
        <w:spacing w:after="0"/>
      </w:pPr>
      <w:r w:rsidRPr="00245A57">
        <w:t>WORD COUNT: 1022</w:t>
      </w:r>
    </w:p>
    <w:p w14:paraId="667E5D70" w14:textId="77777777" w:rsidR="00185107" w:rsidRPr="00245A57" w:rsidRDefault="00185107" w:rsidP="00245A57">
      <w:pPr>
        <w:spacing w:after="0"/>
      </w:pPr>
    </w:p>
    <w:p w14:paraId="18D381DC" w14:textId="77777777" w:rsidR="009C1830" w:rsidRPr="00245A57" w:rsidRDefault="009C1830" w:rsidP="00245A57">
      <w:pPr>
        <w:spacing w:after="0"/>
      </w:pPr>
    </w:p>
    <w:p w14:paraId="0529852E" w14:textId="77777777" w:rsidR="009C1830" w:rsidRPr="00245A57" w:rsidRDefault="009C1830" w:rsidP="00245A57">
      <w:pPr>
        <w:spacing w:after="0"/>
        <w:rPr>
          <w:b/>
          <w:bCs/>
        </w:rPr>
      </w:pPr>
      <w:r w:rsidRPr="00245A57">
        <w:rPr>
          <w:b/>
          <w:bCs/>
        </w:rPr>
        <w:lastRenderedPageBreak/>
        <w:t>ESSAY 2</w:t>
      </w:r>
    </w:p>
    <w:p w14:paraId="24E6E84A" w14:textId="77777777" w:rsidR="00245A57" w:rsidRPr="00245A57" w:rsidRDefault="00245A57" w:rsidP="00245A57">
      <w:pPr>
        <w:spacing w:after="0"/>
        <w:rPr>
          <w:b/>
          <w:bCs/>
        </w:rPr>
      </w:pPr>
    </w:p>
    <w:p w14:paraId="496A29A9" w14:textId="77777777" w:rsidR="009C1830" w:rsidRPr="00245A57" w:rsidRDefault="009C1830" w:rsidP="00245A57">
      <w:pPr>
        <w:spacing w:after="0"/>
        <w:rPr>
          <w:u w:val="single"/>
        </w:rPr>
      </w:pPr>
      <w:r w:rsidRPr="00245A57">
        <w:rPr>
          <w:u w:val="single"/>
        </w:rPr>
        <w:t xml:space="preserve">How effective is a multi-agency approach as a means of managing violent and sexual offenders? </w:t>
      </w:r>
    </w:p>
    <w:p w14:paraId="08CD1CE1" w14:textId="77777777" w:rsidR="00245A57" w:rsidRPr="00245A57" w:rsidRDefault="00245A57" w:rsidP="00245A57">
      <w:pPr>
        <w:spacing w:after="0"/>
        <w:rPr>
          <w:u w:val="single"/>
        </w:rPr>
      </w:pPr>
    </w:p>
    <w:p w14:paraId="3FD9871B" w14:textId="77777777" w:rsidR="009C1830" w:rsidRPr="00245A57" w:rsidRDefault="009C1830" w:rsidP="00245A57">
      <w:pPr>
        <w:pStyle w:val="PlainText"/>
      </w:pPr>
      <w:r w:rsidRPr="00245A57">
        <w:t>The comprehensive and holistic management of violent and sexual offenders requires close cooperation and coordination among various agencies within the criminal justice system. A multi-agency approach, which involves the collaboration of law enforcement, probation services, mental health professionals, and social workers, is vital to address the complex needs of these individuals. This essay examines how effective a multi-agency approach is as a means to manage violent and sexual offenders. It evaluates the benefits of information sharing, rehabilitative therapy, resource pooling and collaborative risk management, and scrutinises the challenges of interagency communication, priorities and resource allocation. A multi-agency approach of collaboration is a significantly effective approach to manage violent and sexual offenders, but only when implemented correctly and when the challenges are overcome.</w:t>
      </w:r>
    </w:p>
    <w:p w14:paraId="1720E676" w14:textId="77777777" w:rsidR="009C1830" w:rsidRPr="00245A57" w:rsidRDefault="009C1830" w:rsidP="00245A57">
      <w:pPr>
        <w:pStyle w:val="PlainText"/>
      </w:pPr>
    </w:p>
    <w:p w14:paraId="6435F390" w14:textId="77777777" w:rsidR="009C1830" w:rsidRPr="00245A57" w:rsidRDefault="009C1830" w:rsidP="00245A57">
      <w:pPr>
        <w:pStyle w:val="PlainText"/>
      </w:pPr>
      <w:r w:rsidRPr="00245A57">
        <w:t>When a multi-agency approach is utilised, this allows information to be shared and analysed from various perspectives, achieving a greater understanding of an offender's background, risks, and needs. Ward et al (2009) explains that this collaborative effort facilitates the development of tailored intervention plans that target specific risk factors, increasing the likelihood of successful rehabilitation, reducing the risk of reoffending and improving community safety (Ward et al, 2009). A combination of targeted therapy, substance abuse treatment, and close supervision may be designed to address the complex needs of an offender with a history of violent behaviour and substance addiction, requiring multi-agency collaboration and information sharing (</w:t>
      </w:r>
      <w:proofErr w:type="spellStart"/>
      <w:r w:rsidRPr="00245A57">
        <w:t>McAlinden</w:t>
      </w:r>
      <w:proofErr w:type="spellEnd"/>
      <w:r w:rsidRPr="00245A57">
        <w:t>, 2011).</w:t>
      </w:r>
    </w:p>
    <w:p w14:paraId="04CDCC15" w14:textId="77777777" w:rsidR="009C1830" w:rsidRPr="00245A57" w:rsidRDefault="009C1830" w:rsidP="00245A57">
      <w:pPr>
        <w:pStyle w:val="PlainText"/>
      </w:pPr>
    </w:p>
    <w:p w14:paraId="661B0344" w14:textId="77777777" w:rsidR="009C1830" w:rsidRPr="00245A57" w:rsidRDefault="009C1830" w:rsidP="00245A57">
      <w:pPr>
        <w:spacing w:after="0"/>
        <w:rPr>
          <w:rFonts w:cstheme="minorHAnsi"/>
        </w:rPr>
      </w:pPr>
      <w:r w:rsidRPr="00245A57">
        <w:t xml:space="preserve">Kirkland &amp; Baron (2014) details how a therapeutic approach can be more effective than the traditional single agency, criminal justice approach. </w:t>
      </w:r>
      <w:r w:rsidRPr="00245A57">
        <w:rPr>
          <w:rFonts w:cstheme="minorHAnsi"/>
        </w:rPr>
        <w:t xml:space="preserve">Cognitive Analytic Therapy is one example of collaborative psychotherapy that addresses how early experiences influence the development of patterns that maintain a person's predisposed tendency to offend in a particular way. Within the UK, multi-agency collaborations are increasing their use of treatment teams, involving the National Health Service consultation service (Serious Offender Liaison Service) working with the police and social services to assess, formulate and give advice regarding working with serious sexual and violent offenders (Kirkland </w:t>
      </w:r>
      <w:r w:rsidR="005020A2">
        <w:rPr>
          <w:rFonts w:cstheme="minorHAnsi"/>
        </w:rPr>
        <w:t>&amp;</w:t>
      </w:r>
      <w:r w:rsidRPr="00245A57">
        <w:rPr>
          <w:rFonts w:cstheme="minorHAnsi"/>
        </w:rPr>
        <w:t xml:space="preserve"> Baron, 2014).</w:t>
      </w:r>
    </w:p>
    <w:p w14:paraId="3559260A" w14:textId="77777777" w:rsidR="00245A57" w:rsidRPr="00245A57" w:rsidRDefault="00245A57" w:rsidP="00245A57">
      <w:pPr>
        <w:spacing w:after="0"/>
      </w:pPr>
    </w:p>
    <w:p w14:paraId="38151B69" w14:textId="77777777" w:rsidR="009C1830" w:rsidRPr="00245A57" w:rsidRDefault="009C1830" w:rsidP="00245A57">
      <w:pPr>
        <w:pStyle w:val="PlainText"/>
      </w:pPr>
      <w:r w:rsidRPr="00245A57">
        <w:t>A multi-agency approach allows for the pooling of resources and expertise, with each agency having a unique perspective and set of skills and knowledge, enabling a comprehensive assessment and management of violent and sexual offenders. Law enforcement agencies provide crucial information about an offender's criminal history and risk level, while mental health professionals can diagnose and treat any underlying mental health issues that may contribute to their offending behaviour. (</w:t>
      </w:r>
      <w:proofErr w:type="spellStart"/>
      <w:r w:rsidRPr="00245A57">
        <w:t>Kemshall</w:t>
      </w:r>
      <w:proofErr w:type="spellEnd"/>
      <w:r w:rsidRPr="00245A57">
        <w:t xml:space="preserve"> &amp; Wood, 2009a) Probation services and social workers can ensure proper monitoring and support, addressing the social and rehabilitative needs of the offender. By combining these resources, agencies can work together to provide a comprehensive and effective response to managing violent and sexual offenders (</w:t>
      </w:r>
      <w:proofErr w:type="spellStart"/>
      <w:r w:rsidRPr="00245A57">
        <w:t>Kemshall</w:t>
      </w:r>
      <w:proofErr w:type="spellEnd"/>
      <w:r w:rsidRPr="00245A57">
        <w:t xml:space="preserve"> &amp; Wood, 2009b).</w:t>
      </w:r>
    </w:p>
    <w:p w14:paraId="1CC95374" w14:textId="77777777" w:rsidR="009C1830" w:rsidRPr="00245A57" w:rsidRDefault="009C1830" w:rsidP="00245A57">
      <w:pPr>
        <w:pStyle w:val="PlainText"/>
      </w:pPr>
    </w:p>
    <w:p w14:paraId="7293477A" w14:textId="77777777" w:rsidR="009C1830" w:rsidRPr="00245A57" w:rsidRDefault="009C1830" w:rsidP="00245A57">
      <w:pPr>
        <w:pStyle w:val="PlainText"/>
      </w:pPr>
      <w:r w:rsidRPr="00245A57">
        <w:t>The coordination and continuity of care for offenders is enhanced by a multi-agency approach, communication and information sharing are crucial components that contribute to the success of managing these individuals (</w:t>
      </w:r>
      <w:proofErr w:type="spellStart"/>
      <w:r w:rsidRPr="00245A57">
        <w:t>Kemshall</w:t>
      </w:r>
      <w:proofErr w:type="spellEnd"/>
      <w:r w:rsidRPr="00245A57">
        <w:t xml:space="preserve"> &amp; Maguire, 2006). The coordination of efforts ensures that all agencies are working towards a shared goal, minimising duplication and gaps in service provision and minimising risk to the public. </w:t>
      </w:r>
      <w:proofErr w:type="spellStart"/>
      <w:r w:rsidRPr="00245A57">
        <w:t>Kemshall</w:t>
      </w:r>
      <w:proofErr w:type="spellEnd"/>
      <w:r w:rsidRPr="00245A57">
        <w:t xml:space="preserve"> &amp; Wood (2009) explains that when a violent offender is released from prison and placed on probation, probation officers can work closely with mental </w:t>
      </w:r>
      <w:r w:rsidRPr="00245A57">
        <w:lastRenderedPageBreak/>
        <w:t>health professionals to ensure a smooth transition and continued support. This collaboration can prevent institutional failures and ensure that the offender receives the necessary treatment and support while under community supervision (</w:t>
      </w:r>
      <w:proofErr w:type="spellStart"/>
      <w:r w:rsidRPr="00245A57">
        <w:t>Kemshall</w:t>
      </w:r>
      <w:proofErr w:type="spellEnd"/>
      <w:r w:rsidRPr="00245A57">
        <w:t xml:space="preserve"> &amp; Wood, 2009).</w:t>
      </w:r>
    </w:p>
    <w:p w14:paraId="172A1852" w14:textId="77777777" w:rsidR="009C1830" w:rsidRPr="00245A57" w:rsidRDefault="009C1830" w:rsidP="00245A57">
      <w:pPr>
        <w:pStyle w:val="PlainText"/>
      </w:pPr>
    </w:p>
    <w:p w14:paraId="44F3C526" w14:textId="77777777" w:rsidR="009C1830" w:rsidRPr="00245A57" w:rsidRDefault="009C1830" w:rsidP="00245A57">
      <w:pPr>
        <w:pStyle w:val="PlainText"/>
        <w:rPr>
          <w:rFonts w:cstheme="minorHAnsi"/>
          <w:shd w:val="clear" w:color="auto" w:fill="FFFFFF"/>
        </w:rPr>
      </w:pPr>
      <w:r w:rsidRPr="00245A57">
        <w:t xml:space="preserve">One of the main obstacles to effective multi-agency collaboration is the coordination and cooperation among agencies with different priorities and work cultures. Interagency communication and information-sharing can be hindered by differences in organisational structures, policies, and practices. Overcoming these barriers requires effective leadership, clear protocols, and regular meetings, fostering a shared commitment to the common goal of managing violent and sexual offenders effectively (Day et al, 2014). </w:t>
      </w:r>
      <w:r w:rsidRPr="00245A57">
        <w:rPr>
          <w:rFonts w:cstheme="minorHAnsi"/>
        </w:rPr>
        <w:t xml:space="preserve">Dixon et al (2022) describes this disparity and states that </w:t>
      </w:r>
      <w:r w:rsidRPr="00245A57">
        <w:rPr>
          <w:rFonts w:cstheme="minorHAnsi"/>
          <w:shd w:val="clear" w:color="auto" w:fill="FFFFFF"/>
        </w:rPr>
        <w:t>multi-agency working can be complex, as agencies and individuals involved typically share aims and goals about the safeguarding process, but each has their own guidelines, practices, and processes which limit their own responses or options and can mean that different time frames are imposed on agencies. This is further complicated by the complexities of the differing structures of different agencies that are adhering to different work protocols, professional guidance, systems and boundaries (Dixon et al, 2022).</w:t>
      </w:r>
    </w:p>
    <w:p w14:paraId="56DF27F5" w14:textId="77777777" w:rsidR="009C1830" w:rsidRPr="00245A57" w:rsidRDefault="009C1830" w:rsidP="00245A57">
      <w:pPr>
        <w:pStyle w:val="PlainText"/>
      </w:pPr>
    </w:p>
    <w:p w14:paraId="4A0CC416" w14:textId="77777777" w:rsidR="009C1830" w:rsidRPr="00245A57" w:rsidRDefault="009C1830" w:rsidP="00245A57">
      <w:pPr>
        <w:pStyle w:val="PlainText"/>
      </w:pPr>
      <w:r w:rsidRPr="00245A57">
        <w:t>R</w:t>
      </w:r>
      <w:r w:rsidRPr="00245A57">
        <w:rPr>
          <w:rFonts w:asciiTheme="minorHAnsi" w:hAnsiTheme="minorHAnsi" w:cstheme="minorHAnsi"/>
        </w:rPr>
        <w:t>esource constraints also pose difficulties to the implementation of a multi-agency approach. Agencies may have limited</w:t>
      </w:r>
      <w:r w:rsidRPr="00245A57">
        <w:t xml:space="preserve"> budgets, staff, or services, impacting their ability to provide comprehensive support to offenders (</w:t>
      </w:r>
      <w:proofErr w:type="spellStart"/>
      <w:r w:rsidRPr="00245A57">
        <w:t>Kemshall</w:t>
      </w:r>
      <w:proofErr w:type="spellEnd"/>
      <w:r w:rsidRPr="00245A57">
        <w:t xml:space="preserve"> &amp; Maguire, 2006). To address this challenge, governments need to prioritise funding for collaborative initiatives and provide adequate resources to support effective multi-agency working. Investing in training and capacity-building can also ensure that professionals have the necessary skills and knowledge to work effectively within this approach (Considine &amp; Birch, 2008)</w:t>
      </w:r>
    </w:p>
    <w:p w14:paraId="66CB50EA" w14:textId="77777777" w:rsidR="009C1830" w:rsidRPr="00245A57" w:rsidRDefault="009C1830" w:rsidP="00245A57">
      <w:pPr>
        <w:pStyle w:val="PlainText"/>
      </w:pPr>
    </w:p>
    <w:p w14:paraId="20EC0171" w14:textId="77777777" w:rsidR="009C1830" w:rsidRPr="00245A57" w:rsidRDefault="009C1830" w:rsidP="00245A57">
      <w:pPr>
        <w:pStyle w:val="PlainText"/>
      </w:pPr>
      <w:r w:rsidRPr="00245A57">
        <w:t>In conclusion, a multi-agency approach is an effective means of managing violent and sexual offenders when implemented correctly. It allows for comprehensive and holistic interventions and rehabilitation, pooling of resources and expertise, crucial information sharing, and enhanced coordination and continuity of care to effectively address the challenges of managing offenders. While challenges arise in coordination, communication and resource allocation, addressing these obstacles can lead to successful collaboration among agencies and ultimately improve the management of violent and sexual offenders. All agencies concerned must continue to prioritise and invest in this approach, adapting and improving their cohesion with one another to ensure the safety of communities and reduce the risk of reoffending.</w:t>
      </w:r>
    </w:p>
    <w:p w14:paraId="19001D20" w14:textId="77777777" w:rsidR="009C1830" w:rsidRPr="00245A57" w:rsidRDefault="009C1830" w:rsidP="00245A57">
      <w:pPr>
        <w:spacing w:after="0"/>
      </w:pPr>
    </w:p>
    <w:p w14:paraId="346A1CA2" w14:textId="77777777" w:rsidR="009C1830" w:rsidRPr="00245A57" w:rsidRDefault="009C1830" w:rsidP="00245A57">
      <w:pPr>
        <w:spacing w:after="0"/>
      </w:pPr>
      <w:r w:rsidRPr="00245A57">
        <w:t>WORD COUNT: 927</w:t>
      </w:r>
    </w:p>
    <w:p w14:paraId="65D93BAE" w14:textId="77777777" w:rsidR="009C1830" w:rsidRPr="00245A57" w:rsidRDefault="009C1830" w:rsidP="00245A57">
      <w:pPr>
        <w:spacing w:after="0"/>
      </w:pPr>
    </w:p>
    <w:p w14:paraId="59D37154" w14:textId="77777777" w:rsidR="00245A57" w:rsidRPr="00245A57" w:rsidRDefault="00245A57" w:rsidP="00245A57">
      <w:pPr>
        <w:spacing w:after="0"/>
      </w:pPr>
    </w:p>
    <w:p w14:paraId="1FAF8BAB" w14:textId="77777777" w:rsidR="009C1830" w:rsidRPr="00245A57" w:rsidRDefault="009C1830" w:rsidP="00245A57">
      <w:pPr>
        <w:spacing w:after="0"/>
        <w:rPr>
          <w:b/>
          <w:bCs/>
        </w:rPr>
      </w:pPr>
      <w:r w:rsidRPr="00245A57">
        <w:rPr>
          <w:b/>
          <w:bCs/>
        </w:rPr>
        <w:t>ESSAY 3</w:t>
      </w:r>
    </w:p>
    <w:p w14:paraId="2C8DE508" w14:textId="77777777" w:rsidR="00245A57" w:rsidRPr="00245A57" w:rsidRDefault="00245A57" w:rsidP="00245A57">
      <w:pPr>
        <w:spacing w:after="0"/>
        <w:rPr>
          <w:b/>
          <w:bCs/>
        </w:rPr>
      </w:pPr>
    </w:p>
    <w:p w14:paraId="5A982970" w14:textId="77777777" w:rsidR="009C1830" w:rsidRPr="00245A57" w:rsidRDefault="009C1830" w:rsidP="00245A57">
      <w:pPr>
        <w:spacing w:after="0"/>
        <w:rPr>
          <w:u w:val="single"/>
        </w:rPr>
      </w:pPr>
      <w:r w:rsidRPr="00245A57">
        <w:rPr>
          <w:u w:val="single"/>
        </w:rPr>
        <w:t>To what extent is ‘Lifestyle’ theory an accurate reflection of what makes certain people vulnerable to becoming a victim of Serious and Organised Crime?</w:t>
      </w:r>
    </w:p>
    <w:p w14:paraId="1A7A9D1C" w14:textId="77777777" w:rsidR="00245A57" w:rsidRPr="00245A57" w:rsidRDefault="00245A57" w:rsidP="00245A57">
      <w:pPr>
        <w:spacing w:after="0"/>
        <w:rPr>
          <w:u w:val="single"/>
        </w:rPr>
      </w:pPr>
    </w:p>
    <w:p w14:paraId="6CE9F277" w14:textId="77777777" w:rsidR="009C1830" w:rsidRPr="00245A57" w:rsidRDefault="009C1830" w:rsidP="00245A57">
      <w:pPr>
        <w:pStyle w:val="PlainText"/>
      </w:pPr>
      <w:r w:rsidRPr="00245A57">
        <w:t>To assess the accuracy of the ‘lifestyle’ theory in explaining why certain individuals are more susce</w:t>
      </w:r>
      <w:r w:rsidR="005B3D69">
        <w:t>ptible to becoming victims of serious and o</w:t>
      </w:r>
      <w:r w:rsidRPr="00245A57">
        <w:t xml:space="preserve">rganised crime, it is crucial to examine the key factors and variables that influence vulnerability within this context. Lifestyle, or routine activity theory suggests that a person’s routine, activities, choices, and behaviours shape their vulnerability to victimisation (Maxfield, 1987). This essay examines the empirical support for </w:t>
      </w:r>
      <w:r w:rsidR="004C257A">
        <w:t>‘l</w:t>
      </w:r>
      <w:r w:rsidRPr="00245A57">
        <w:t>ifestyle’ theory and also highlights its failings to take broader influencing factors into account. While it undeniably plays a role in determining vulnerability, the theory is inadequate to provide a comprehensive understanding of the multifaceted nature of victimisation within serious and organised crime.</w:t>
      </w:r>
    </w:p>
    <w:p w14:paraId="6607C161" w14:textId="77777777" w:rsidR="009C1830" w:rsidRPr="00245A57" w:rsidRDefault="009C1830" w:rsidP="00245A57">
      <w:pPr>
        <w:pStyle w:val="PlainText"/>
      </w:pPr>
    </w:p>
    <w:p w14:paraId="529293B5" w14:textId="77777777" w:rsidR="009C1830" w:rsidRPr="00245A57" w:rsidRDefault="009C1830" w:rsidP="00245A57">
      <w:pPr>
        <w:pStyle w:val="PlainText"/>
      </w:pPr>
      <w:r w:rsidRPr="00245A57">
        <w:t>The lifestyle theory proposes that individuals who engage in high-risk activities, possess valuable resources, and have limited guardianship are more likely to become victims of crime. For instance, those who visibly display their wealth through expensive possessions and luxurious lifestyles may attract the attention of criminals seeking financial gain (</w:t>
      </w:r>
      <w:proofErr w:type="spellStart"/>
      <w:r w:rsidRPr="00245A57">
        <w:t>Wittebrood</w:t>
      </w:r>
      <w:proofErr w:type="spellEnd"/>
      <w:r w:rsidRPr="00245A57">
        <w:t xml:space="preserve"> &amp; </w:t>
      </w:r>
      <w:proofErr w:type="spellStart"/>
      <w:r w:rsidRPr="00245A57">
        <w:t>Nieubeerta</w:t>
      </w:r>
      <w:proofErr w:type="spellEnd"/>
      <w:r w:rsidRPr="00245A57">
        <w:t>, 1999). Furthermore, individuals who consistently participate in dangerous behaviours such as substance abuse or involvement in illicit activities may expose themselves to criminal networks that take advantage of their vulnerability. These lifestyle choices increase the likelihood of contact with offenders and, consequently, the likelihood of victimisation</w:t>
      </w:r>
      <w:r w:rsidR="002B0BFB">
        <w:t xml:space="preserve"> or recruitment into organised criminal gangs</w:t>
      </w:r>
      <w:r w:rsidRPr="00245A57">
        <w:t xml:space="preserve"> (Sampson &amp; Lauritsen, 1990).</w:t>
      </w:r>
    </w:p>
    <w:p w14:paraId="5C396F0D" w14:textId="77777777" w:rsidR="009C1830" w:rsidRPr="00245A57" w:rsidRDefault="009C1830" w:rsidP="00245A57">
      <w:pPr>
        <w:pStyle w:val="PlainText"/>
      </w:pPr>
    </w:p>
    <w:p w14:paraId="22663FEF" w14:textId="77777777" w:rsidR="009C1830" w:rsidRPr="00245A57" w:rsidRDefault="009C1830" w:rsidP="00245A57">
      <w:pPr>
        <w:pStyle w:val="NoSpacing"/>
      </w:pPr>
      <w:r w:rsidRPr="00245A57">
        <w:t>This can be better understood when we look at ‘lifestyle’ as both behaviours and environment combined with immediate social influences and absence of appropriate guardianship. In these environments certain lifestyles or routine activities are riskier than others, exposing adolescents to risky and vulnerable situations t</w:t>
      </w:r>
      <w:r w:rsidR="002B0BFB">
        <w:t xml:space="preserve">hat create opportunity for criminal </w:t>
      </w:r>
      <w:proofErr w:type="spellStart"/>
      <w:r w:rsidR="002B0BFB">
        <w:t>acitivity</w:t>
      </w:r>
      <w:proofErr w:type="spellEnd"/>
      <w:r w:rsidRPr="00245A57">
        <w:t xml:space="preserve"> (Henson et al, 2010). Taking into account known crime hot spots, and communities that experience lower or higher crime rates than others, crime is not randomly observed across space and time; certain places and times are considered high-risk, resulting in a greater probability of an offence occurring.  Much the same way as a location can be considered high risk, so too can an individual, situational and opportunity theories suggest that crime is tied to </w:t>
      </w:r>
      <w:r w:rsidR="004C257A" w:rsidRPr="00245A57">
        <w:t>individual’s</w:t>
      </w:r>
      <w:r w:rsidRPr="00245A57">
        <w:t xml:space="preserve"> social activities, their interpersonal interactions, and the structure of the physical and social environment around them (Kwak &amp; Kim, 2022). </w:t>
      </w:r>
    </w:p>
    <w:p w14:paraId="47AF711E" w14:textId="77777777" w:rsidR="009C1830" w:rsidRPr="00245A57" w:rsidRDefault="009C1830" w:rsidP="00245A57">
      <w:pPr>
        <w:pStyle w:val="PlainText"/>
      </w:pPr>
    </w:p>
    <w:p w14:paraId="309355B4" w14:textId="77777777" w:rsidR="009C1830" w:rsidRPr="002B0BFB" w:rsidRDefault="009C1830" w:rsidP="00245A57">
      <w:pPr>
        <w:pStyle w:val="PlainText"/>
      </w:pPr>
      <w:r w:rsidRPr="00245A57">
        <w:t xml:space="preserve">Lifestyle theory emphasises the importance of guardianship in protecting individuals from victimisation. Limited guardianship, such as weak social bonds, lack of supervision, or absence of security measures, can increase vulnerability </w:t>
      </w:r>
      <w:r w:rsidRPr="00245A57">
        <w:rPr>
          <w:rFonts w:cstheme="minorHAnsi"/>
        </w:rPr>
        <w:t>(</w:t>
      </w:r>
      <w:proofErr w:type="spellStart"/>
      <w:r w:rsidRPr="00245A57">
        <w:rPr>
          <w:rFonts w:cstheme="minorHAnsi"/>
        </w:rPr>
        <w:t>McNeeley</w:t>
      </w:r>
      <w:proofErr w:type="spellEnd"/>
      <w:r w:rsidRPr="00245A57">
        <w:rPr>
          <w:rFonts w:cstheme="minorHAnsi"/>
        </w:rPr>
        <w:t>, 2014)</w:t>
      </w:r>
      <w:r w:rsidRPr="00245A57">
        <w:t xml:space="preserve">. A person lacking strong social ties, who lives alone, or lacks access to security systems, may be an appealing target for organised criminals who can exploit their isolation. Therefore, the theory argues that the absence of guardianship can </w:t>
      </w:r>
      <w:r w:rsidRPr="002B0BFB">
        <w:t>make individuals more</w:t>
      </w:r>
      <w:r w:rsidR="002B0BFB" w:rsidRPr="002B0BFB">
        <w:t xml:space="preserve"> vulnerable to becoming victims. Social services have powers to act as appointed guardians </w:t>
      </w:r>
      <w:r w:rsidR="00C03001">
        <w:t xml:space="preserve">for vulnerable </w:t>
      </w:r>
      <w:r w:rsidR="002B0BFB" w:rsidRPr="002B0BFB">
        <w:t xml:space="preserve">people and this authority is in response to evidence that those without guardianship are at risk of victimisation </w:t>
      </w:r>
      <w:r w:rsidRPr="002B0BFB">
        <w:t>(Osgood et al, 1996).</w:t>
      </w:r>
      <w:r w:rsidR="004C257A" w:rsidRPr="002B0BFB">
        <w:t xml:space="preserve"> </w:t>
      </w:r>
    </w:p>
    <w:p w14:paraId="1F4BB103" w14:textId="77777777" w:rsidR="009C1830" w:rsidRPr="002B0BFB" w:rsidRDefault="009C1830" w:rsidP="00245A57">
      <w:pPr>
        <w:pStyle w:val="PlainText"/>
      </w:pPr>
    </w:p>
    <w:p w14:paraId="35D272AB" w14:textId="77777777" w:rsidR="009C1830" w:rsidRPr="00245A57" w:rsidRDefault="009C1830" w:rsidP="00245A57">
      <w:pPr>
        <w:pStyle w:val="PlainText"/>
        <w:rPr>
          <w:rFonts w:cstheme="minorHAnsi"/>
        </w:rPr>
      </w:pPr>
      <w:r w:rsidRPr="00245A57">
        <w:t xml:space="preserve">The lifestyle theory fails to account for the broader systemic factors that contribute to vulnerability in serious and organised crime, neglecting the social and economic disparities that play a crucial role in determining an individual’s susceptibility to becoming a victim (Agnew, 2015). Individuals living in areas plagued by poverty, limited resources, and inadequate social support systems are inherently more vulnerable to being targeted by organised criminal networks. It is important to recognise that factors such as education, employment opportunities, and social inequality shape an individual's options and choices, therefore influencing their vulnerability (Ellis &amp; McDonald, 2008). </w:t>
      </w:r>
      <w:r w:rsidRPr="00245A57">
        <w:rPr>
          <w:rFonts w:cstheme="minorHAnsi"/>
        </w:rPr>
        <w:t xml:space="preserve">The social disorganisation theory argues that victimisation is more likely to occur in disadvantaged neighbourhoods and places more emphasis on economic and environmental factors rather that the individual lifestyle (Van </w:t>
      </w:r>
      <w:proofErr w:type="spellStart"/>
      <w:r w:rsidRPr="00245A57">
        <w:rPr>
          <w:rFonts w:cstheme="minorHAnsi"/>
        </w:rPr>
        <w:t>Wilsem</w:t>
      </w:r>
      <w:proofErr w:type="spellEnd"/>
      <w:r w:rsidRPr="00245A57">
        <w:rPr>
          <w:rFonts w:cstheme="minorHAnsi"/>
        </w:rPr>
        <w:t xml:space="preserve"> et al, 2006). </w:t>
      </w:r>
    </w:p>
    <w:p w14:paraId="6585D4E6" w14:textId="77777777" w:rsidR="009C1830" w:rsidRPr="00245A57" w:rsidRDefault="009C1830" w:rsidP="00245A57">
      <w:pPr>
        <w:pStyle w:val="PlainText"/>
        <w:rPr>
          <w:rFonts w:cstheme="minorHAnsi"/>
        </w:rPr>
      </w:pPr>
    </w:p>
    <w:p w14:paraId="5A456008" w14:textId="77777777" w:rsidR="009C1830" w:rsidRPr="00245A57" w:rsidRDefault="009C1830" w:rsidP="00245A57">
      <w:pPr>
        <w:pStyle w:val="NoSpacing"/>
      </w:pPr>
      <w:r w:rsidRPr="00245A57">
        <w:t xml:space="preserve">The lifestyle theory overlooks the power dynamics and coercion involved in serious and organised crime. While some individuals may engage in high-risk activities voluntarily, others are compelled by external pressures or societal constraints. </w:t>
      </w:r>
      <w:r w:rsidRPr="00245A57">
        <w:rPr>
          <w:shd w:val="clear" w:color="auto" w:fill="FFFFFF"/>
        </w:rPr>
        <w:t>Many studies show a direct correlation between income inequality and the rate of violent crime</w:t>
      </w:r>
      <w:r w:rsidR="00945B59">
        <w:rPr>
          <w:shd w:val="clear" w:color="auto" w:fill="FFFFFF"/>
        </w:rPr>
        <w:t>, and the long-term implications of adverse childhood experiences on susceptibility to victimisation and criminal behaviour</w:t>
      </w:r>
      <w:r w:rsidRPr="00245A57">
        <w:rPr>
          <w:shd w:val="clear" w:color="auto" w:fill="FFFFFF"/>
        </w:rPr>
        <w:t xml:space="preserve"> (Dong et al, 2020). </w:t>
      </w:r>
      <w:r w:rsidRPr="00245A57">
        <w:t>The theory's focus on individual choices disregards the fact that some people may have limit</w:t>
      </w:r>
      <w:r w:rsidR="00945B59">
        <w:t>ed free will and/</w:t>
      </w:r>
      <w:r w:rsidRPr="00245A57">
        <w:t>or options due to socio-economic circumstances, historical disadvantage, or involvement in illicit activities to meet basic needs. Vulnerability to serious and organised crime can be driven by a lack of alternatives rather than an individual's lifestyle choices (Henson et al, 2010).</w:t>
      </w:r>
    </w:p>
    <w:p w14:paraId="32820300" w14:textId="77777777" w:rsidR="009C1830" w:rsidRPr="00245A57" w:rsidRDefault="009C1830" w:rsidP="00245A57">
      <w:pPr>
        <w:pStyle w:val="PlainText"/>
        <w:rPr>
          <w:rFonts w:asciiTheme="minorHAnsi" w:hAnsiTheme="minorHAnsi" w:cstheme="minorHAnsi"/>
        </w:rPr>
      </w:pPr>
    </w:p>
    <w:p w14:paraId="40B9E6A6" w14:textId="77777777" w:rsidR="009C1830" w:rsidRPr="00245A57" w:rsidRDefault="009C1830" w:rsidP="00245A57">
      <w:pPr>
        <w:tabs>
          <w:tab w:val="left" w:pos="3852"/>
        </w:tabs>
        <w:spacing w:after="0"/>
        <w:rPr>
          <w:rFonts w:cstheme="minorHAnsi"/>
          <w:shd w:val="clear" w:color="auto" w:fill="FFFFFF"/>
        </w:rPr>
      </w:pPr>
      <w:r w:rsidRPr="00245A57">
        <w:rPr>
          <w:rFonts w:cstheme="minorHAnsi"/>
        </w:rPr>
        <w:t>Lifestyle theory neglects the role of systemic factors such as gender and race in shaping vulnerability to victimisation (</w:t>
      </w:r>
      <w:proofErr w:type="spellStart"/>
      <w:r w:rsidRPr="00245A57">
        <w:rPr>
          <w:rFonts w:cstheme="minorHAnsi"/>
        </w:rPr>
        <w:t>McNeeley</w:t>
      </w:r>
      <w:proofErr w:type="spellEnd"/>
      <w:r w:rsidRPr="00245A57">
        <w:rPr>
          <w:rFonts w:cstheme="minorHAnsi"/>
        </w:rPr>
        <w:t xml:space="preserve">, 2014). Research consistently indicates that certain groups, particularly marginalised communities, are disproportionately targeted by organised crime due to systemic discrimination and structural inequalities </w:t>
      </w:r>
      <w:r w:rsidRPr="00245A57">
        <w:rPr>
          <w:rFonts w:cstheme="minorHAnsi"/>
          <w:shd w:val="clear" w:color="auto" w:fill="FFFFFF"/>
        </w:rPr>
        <w:t>(</w:t>
      </w:r>
      <w:proofErr w:type="spellStart"/>
      <w:r w:rsidRPr="00245A57">
        <w:rPr>
          <w:rFonts w:cstheme="minorHAnsi"/>
          <w:shd w:val="clear" w:color="auto" w:fill="FFFFFF"/>
        </w:rPr>
        <w:t>Stolzenberg</w:t>
      </w:r>
      <w:proofErr w:type="spellEnd"/>
      <w:r w:rsidRPr="00245A57">
        <w:rPr>
          <w:rFonts w:cstheme="minorHAnsi"/>
          <w:shd w:val="clear" w:color="auto" w:fill="FFFFFF"/>
        </w:rPr>
        <w:t xml:space="preserve"> et al, 2006).</w:t>
      </w:r>
      <w:r w:rsidRPr="00245A57">
        <w:rPr>
          <w:rFonts w:cstheme="minorHAnsi"/>
        </w:rPr>
        <w:t xml:space="preserve"> A narrow focus on individual lifestyles fails to account for the social dynamics that perpetuate victimisation within ethnic minority groups.</w:t>
      </w:r>
      <w:r w:rsidRPr="00245A57">
        <w:rPr>
          <w:rFonts w:cstheme="minorHAnsi"/>
          <w:shd w:val="clear" w:color="auto" w:fill="FFFFFF"/>
        </w:rPr>
        <w:t xml:space="preserve"> Racial inequalities manifested in disproportionately low-wage employment, living in poverty, and attending schools that are under resourced impacts vulnerability to victimisation (Bhopal, 2023). </w:t>
      </w:r>
    </w:p>
    <w:p w14:paraId="36D24B5E" w14:textId="77777777" w:rsidR="009C1830" w:rsidRPr="00245A57" w:rsidRDefault="009C1830" w:rsidP="00245A57">
      <w:pPr>
        <w:tabs>
          <w:tab w:val="left" w:pos="3852"/>
        </w:tabs>
        <w:spacing w:after="0"/>
        <w:rPr>
          <w:rFonts w:cstheme="minorHAnsi"/>
          <w:shd w:val="clear" w:color="auto" w:fill="FFFFFF"/>
        </w:rPr>
      </w:pPr>
    </w:p>
    <w:p w14:paraId="3CA21F8E" w14:textId="77777777" w:rsidR="009C1830" w:rsidRPr="00245A57" w:rsidRDefault="009C1830" w:rsidP="00245A57">
      <w:pPr>
        <w:tabs>
          <w:tab w:val="left" w:pos="3852"/>
        </w:tabs>
        <w:spacing w:after="0"/>
        <w:rPr>
          <w:rFonts w:cstheme="minorHAnsi"/>
        </w:rPr>
      </w:pPr>
      <w:r w:rsidRPr="00245A57">
        <w:t>In conclusion, while the lifestyle theory offers valuable insights into why certain individuals may be targeted by serious and organised crime, its narrow focus on individual choices and lack of consideration for systemic factors limit its accuracy in explaining vulnerability comprehensively. By acknowledging broader socio-economic disparities, power dynamics, and systemic discrimination, a more holistic understanding of victimisation can be reached. Consequently, policymakers and law enforcement agencies can develop more effective strategies to address the root causes of vulnerability and better protect individuals from serious and organised crime.</w:t>
      </w:r>
    </w:p>
    <w:p w14:paraId="32A14C39" w14:textId="77777777" w:rsidR="009C1830" w:rsidRPr="00245A57" w:rsidRDefault="009C1830" w:rsidP="00245A57">
      <w:pPr>
        <w:spacing w:after="0"/>
      </w:pPr>
    </w:p>
    <w:p w14:paraId="70F6050A" w14:textId="77777777" w:rsidR="009C1830" w:rsidRPr="00245A57" w:rsidRDefault="00945B59" w:rsidP="00245A57">
      <w:pPr>
        <w:spacing w:after="0"/>
      </w:pPr>
      <w:r>
        <w:t>WORD COUNT: 929</w:t>
      </w:r>
    </w:p>
    <w:p w14:paraId="292C44C6" w14:textId="77777777" w:rsidR="00245A57" w:rsidRPr="00245A57" w:rsidRDefault="00245A57" w:rsidP="00245A57">
      <w:pPr>
        <w:spacing w:after="0"/>
      </w:pPr>
    </w:p>
    <w:p w14:paraId="22572863" w14:textId="77777777" w:rsidR="00CC2161" w:rsidRPr="00245A57" w:rsidRDefault="00CC2161" w:rsidP="00245A57">
      <w:pPr>
        <w:spacing w:after="0"/>
      </w:pPr>
    </w:p>
    <w:p w14:paraId="04B52A3F" w14:textId="77777777" w:rsidR="00CC2161" w:rsidRPr="00245A57" w:rsidRDefault="00CC2161" w:rsidP="00245A57">
      <w:pPr>
        <w:spacing w:after="0"/>
        <w:rPr>
          <w:b/>
          <w:bCs/>
        </w:rPr>
      </w:pPr>
      <w:r w:rsidRPr="00245A57">
        <w:rPr>
          <w:b/>
          <w:bCs/>
        </w:rPr>
        <w:t>ESSAY 4</w:t>
      </w:r>
    </w:p>
    <w:p w14:paraId="352262EB" w14:textId="77777777" w:rsidR="00245A57" w:rsidRPr="00245A57" w:rsidRDefault="00245A57" w:rsidP="00245A57">
      <w:pPr>
        <w:spacing w:after="0"/>
      </w:pPr>
    </w:p>
    <w:p w14:paraId="03399569" w14:textId="77777777" w:rsidR="00CC2161" w:rsidRPr="00245A57" w:rsidRDefault="00CC2161" w:rsidP="00245A57">
      <w:pPr>
        <w:spacing w:after="0"/>
        <w:rPr>
          <w:u w:val="single"/>
        </w:rPr>
      </w:pPr>
      <w:r w:rsidRPr="00245A57">
        <w:rPr>
          <w:u w:val="single"/>
        </w:rPr>
        <w:t>Why is a partnership approach the most effective way of preventing re-offending?</w:t>
      </w:r>
    </w:p>
    <w:p w14:paraId="53258DEC" w14:textId="77777777" w:rsidR="00245A57" w:rsidRPr="00245A57" w:rsidRDefault="00245A57" w:rsidP="00245A57">
      <w:pPr>
        <w:spacing w:after="0"/>
        <w:rPr>
          <w:u w:val="single"/>
        </w:rPr>
      </w:pPr>
    </w:p>
    <w:p w14:paraId="62C27A17" w14:textId="77777777" w:rsidR="00CC2161" w:rsidRPr="00245A57" w:rsidRDefault="00CC2161" w:rsidP="00245A57">
      <w:pPr>
        <w:pStyle w:val="PlainText"/>
      </w:pPr>
      <w:r w:rsidRPr="00245A57">
        <w:t>The prevention of re-offending is a complex and crucial issue that demands a multifaceted approach involving various stakeholders. A partnership approach has emerged as the most effective method for addressing re-offending by fostering collaboration and shared responsibility among professional bodies, including law enforcement, charity and community organisations, local authorities, local businesses and rehabilitation providers. This approach effectively reduces re-offending rates and this essay examines the fundamental reasons why the partnership approach is vital in preventing re-offending, scrutinising its ability to provide holistic support and resource pooling, enhance individual accountability, tailor rehabilitation therapies, offer community support and generate sustainable change.</w:t>
      </w:r>
    </w:p>
    <w:p w14:paraId="59D2AFA7" w14:textId="77777777" w:rsidR="00CC2161" w:rsidRPr="00245A57" w:rsidRDefault="00CC2161" w:rsidP="00245A57">
      <w:pPr>
        <w:pStyle w:val="PlainText"/>
      </w:pPr>
    </w:p>
    <w:p w14:paraId="02A977B5" w14:textId="77777777" w:rsidR="00CC2161" w:rsidRPr="00245A57" w:rsidRDefault="00CC2161" w:rsidP="00245A57">
      <w:pPr>
        <w:tabs>
          <w:tab w:val="left" w:pos="3852"/>
        </w:tabs>
        <w:spacing w:after="0"/>
      </w:pPr>
      <w:r w:rsidRPr="00245A57">
        <w:t xml:space="preserve">The Crime and Disorder Act 1998 established community safety partnerships, and made partnership working a statutory requirement for organisations such as the police (Bryant &amp; Bryant, 2021). Partnership approaches created by two or more agencies that start with an agreement on the premise that no single agency can deal with, or can be solely responsible, for dealing with, complex community safety and crime problems. There are a range of ways of describing what constitutes a partnership approach; however it can simply be described as a collaborative relationship between two or more agencies to achieve a common goal (Phillips et al, 2002). A partnership based approach is highly effective in preventing re-offending due to its ability to provide comprehensive support to individuals in the criminal justice system (Farkas &amp; Jones, 2007). By fostering collaboration between various stakeholders, such as probation officers, psychologists, social workers, and community-based organisations, this approach ensures that offenders receive a wide range of services tailored to their individual needs (Crawford &amp; </w:t>
      </w:r>
      <w:proofErr w:type="spellStart"/>
      <w:r w:rsidRPr="00245A57">
        <w:t>Matassa</w:t>
      </w:r>
      <w:proofErr w:type="spellEnd"/>
      <w:r w:rsidRPr="00245A57">
        <w:t>, 2000).</w:t>
      </w:r>
    </w:p>
    <w:p w14:paraId="3A620CA8" w14:textId="77777777" w:rsidR="00245A57" w:rsidRPr="00245A57" w:rsidRDefault="00245A57" w:rsidP="00245A57">
      <w:pPr>
        <w:tabs>
          <w:tab w:val="left" w:pos="3852"/>
        </w:tabs>
        <w:spacing w:after="0"/>
      </w:pPr>
    </w:p>
    <w:p w14:paraId="5E8C61D2" w14:textId="77777777" w:rsidR="00CC2161" w:rsidRPr="00245A57" w:rsidRDefault="00CC2161" w:rsidP="00245A57">
      <w:pPr>
        <w:tabs>
          <w:tab w:val="left" w:pos="3852"/>
        </w:tabs>
        <w:spacing w:after="0"/>
      </w:pPr>
      <w:r w:rsidRPr="00245A57">
        <w:t xml:space="preserve">Holistic support can include mental health counselling, substance abuse treatment, educational and vocational training, and assistance in securing stable housing and employment opportunities. Such </w:t>
      </w:r>
      <w:r w:rsidRPr="00245A57">
        <w:lastRenderedPageBreak/>
        <w:t>comprehensive assistance helps address the underlying causes of criminal behaviour, reducing the likelihood of re-offending (Barton &amp; Valero-Silva, 2013). Partnerships can facilitate the provision of wraparound services, ensuring that offenders can access support in different areas of their lives, Bryant &amp; Bryant (2021) report that the partnership approach aims to reduce crime levels and improve community safety and quality of life. Partnerships can address the social determinants that contribute to criminal behaviour, such as poverty, lack of education, and limited access to healthcare. By working together, stakeholders can formulate programs that tackle these issues comprehensively, providing offenders with the tools and resources necessary to reintegrate successfully (Crawford, 1999).</w:t>
      </w:r>
    </w:p>
    <w:p w14:paraId="4A91AF7F" w14:textId="77777777" w:rsidR="00245A57" w:rsidRPr="00245A57" w:rsidRDefault="00245A57" w:rsidP="00245A57">
      <w:pPr>
        <w:tabs>
          <w:tab w:val="left" w:pos="3852"/>
        </w:tabs>
        <w:spacing w:after="0"/>
      </w:pPr>
    </w:p>
    <w:p w14:paraId="52067ECA" w14:textId="77777777" w:rsidR="00CC2161" w:rsidRPr="00245A57" w:rsidRDefault="00CC2161" w:rsidP="00245A57">
      <w:pPr>
        <w:pStyle w:val="PlainText"/>
      </w:pPr>
      <w:r w:rsidRPr="00245A57">
        <w:t>Collaboration between agencies and organisations allows for resource pooling, bringing together knowledge, expertise, skills and funding from different sectors. Resource optimisation can lead to the development of effective crime prevention programs, addressing the root causes of criminal behaviour (</w:t>
      </w:r>
      <w:proofErr w:type="spellStart"/>
      <w:r w:rsidRPr="00245A57">
        <w:t>Gorisi</w:t>
      </w:r>
      <w:proofErr w:type="spellEnd"/>
      <w:r w:rsidRPr="00245A57">
        <w:t>, 2001). Partnerships between law enforcement and educational settings can develop early intervention projects targeting at-risk youths, preventing the escalation of criminal behaviour and redu</w:t>
      </w:r>
      <w:r w:rsidR="007858BF">
        <w:t>cing resource burdens on police. Health care providers and education settings are in unique positions to detect crime through contact with vulnerable people, a system of communication and referral can result in early intervention for victims</w:t>
      </w:r>
      <w:r w:rsidR="00E45ABC">
        <w:t xml:space="preserve"> and prevention or disruption of further criminal activity or re-offending</w:t>
      </w:r>
      <w:r w:rsidR="007858BF">
        <w:t xml:space="preserve"> </w:t>
      </w:r>
      <w:r w:rsidRPr="00245A57">
        <w:t>(Cherney, 2018).</w:t>
      </w:r>
    </w:p>
    <w:p w14:paraId="5E3AFB8D" w14:textId="77777777" w:rsidR="00CC2161" w:rsidRPr="00245A57" w:rsidRDefault="00CC2161" w:rsidP="00245A57">
      <w:pPr>
        <w:pStyle w:val="PlainText"/>
      </w:pPr>
    </w:p>
    <w:p w14:paraId="17D126D8" w14:textId="77777777" w:rsidR="00CC2161" w:rsidRPr="00245A57" w:rsidRDefault="007858BF" w:rsidP="00245A57">
      <w:pPr>
        <w:pStyle w:val="PlainText"/>
      </w:pPr>
      <w:r>
        <w:t>When involving multiple partner organisations in a calculated response to crime, the actions taken can be instrumental in comprehensive resolution, effective rehabilitation</w:t>
      </w:r>
      <w:r w:rsidR="00E45ABC">
        <w:t xml:space="preserve"> and preventing re-offending.</w:t>
      </w:r>
      <w:r>
        <w:t xml:space="preserve"> </w:t>
      </w:r>
      <w:r w:rsidR="00CC2161" w:rsidRPr="00245A57">
        <w:t xml:space="preserve">The partnership approach also emphasises individual accountability, which is crucial in preventing re-offending (Crawford, 1994). By involving multiple stakeholders, this approach ensures that all relevant </w:t>
      </w:r>
      <w:r w:rsidR="00E45ABC">
        <w:t>agencies</w:t>
      </w:r>
      <w:r w:rsidR="00CC2161" w:rsidRPr="00245A57">
        <w:t xml:space="preserve"> work cohesively towards common goals and objectives. Offenders are held accountable by the various agencies and organisations involved in their rehabilitation, whereby progress and compliance are regularly monitored (Cherney, 2018).</w:t>
      </w:r>
      <w:r>
        <w:t xml:space="preserve"> </w:t>
      </w:r>
    </w:p>
    <w:p w14:paraId="4DCBDF0B" w14:textId="77777777" w:rsidR="00CC2161" w:rsidRPr="00245A57" w:rsidRDefault="00CC2161" w:rsidP="00245A57">
      <w:pPr>
        <w:pStyle w:val="PlainText"/>
      </w:pPr>
    </w:p>
    <w:p w14:paraId="21389A24" w14:textId="77777777" w:rsidR="00CC2161" w:rsidRPr="00245A57" w:rsidRDefault="00CC2161" w:rsidP="00245A57">
      <w:pPr>
        <w:pStyle w:val="PlainText"/>
      </w:pPr>
      <w:r w:rsidRPr="00245A57">
        <w:t>These partnerships enable the development of personalised and transparent rehabilitation plans (Morgan et al, 2022). The involvement of multiple professionals, mentors, and community members creates a system of checks and balances, ensuring that offenders adhere to their commitments and pursue positive behavioural change (Farkas &amp; Jones, 2007). The collaborative nature of partnerships provides opportunities for offenders to take ownership of their actions, making them active participants in their rehabilitation process rather than passive recipients (Rosenbaum, 2006). Collaboration between organisations involved in rehabilitation and the wider community enables the creation of a supportive environment for offenders transitioning back into society (Morgan et al, 2002). Building connections between offenders and positive role models, mentors, and community members facilitates the development of pro-social networks, reducing the risk of re-offending. Wilson (2011) emphasises the importance of an adequate support network for offenders as a crucial element of successful reintegration into the community, creating a safe environment for the offender and their community.</w:t>
      </w:r>
    </w:p>
    <w:p w14:paraId="137E1532" w14:textId="77777777" w:rsidR="00CC2161" w:rsidRPr="00245A57" w:rsidRDefault="00CC2161" w:rsidP="00245A57">
      <w:pPr>
        <w:pStyle w:val="PlainText"/>
      </w:pPr>
    </w:p>
    <w:p w14:paraId="66FFE8E4" w14:textId="77777777" w:rsidR="00CC2161" w:rsidRPr="00245A57" w:rsidRDefault="00CC2161" w:rsidP="00245A57">
      <w:pPr>
        <w:pStyle w:val="PlainText"/>
      </w:pPr>
      <w:r w:rsidRPr="00245A57">
        <w:t>Sustainable change, leading to a reduction in recidivism rates, can be achieved through the partnership approach through addressing systemic issues. Confronting root causes of criminal behaviour, such as poverty, inadequate education, access to healthcare and social support requires a collaborative approach to achieve solutions to prevent re</w:t>
      </w:r>
      <w:r w:rsidR="00E45ABC">
        <w:t>-</w:t>
      </w:r>
      <w:r w:rsidRPr="00245A57">
        <w:t>offending (</w:t>
      </w:r>
      <w:proofErr w:type="spellStart"/>
      <w:r w:rsidRPr="00245A57">
        <w:t>Frevel</w:t>
      </w:r>
      <w:proofErr w:type="spellEnd"/>
      <w:r w:rsidRPr="00245A57">
        <w:t xml:space="preserve"> &amp; Rogers, 2016).</w:t>
      </w:r>
      <w:r w:rsidR="00E45ABC">
        <w:t xml:space="preserve"> </w:t>
      </w:r>
      <w:r w:rsidR="005B3D69">
        <w:t xml:space="preserve">Traditional judicial system penalties, </w:t>
      </w:r>
      <w:r w:rsidR="00E45ABC">
        <w:t>punishment</w:t>
      </w:r>
      <w:r w:rsidR="005B3D69">
        <w:t xml:space="preserve"> and incarceration</w:t>
      </w:r>
      <w:r w:rsidR="00E45ABC">
        <w:t xml:space="preserve"> are inappropriate as an effective</w:t>
      </w:r>
      <w:r w:rsidR="005B3D69">
        <w:t xml:space="preserve"> prevention of re-offending.  A holistic approach involving healthcare providers to address</w:t>
      </w:r>
      <w:r w:rsidR="00E45ABC">
        <w:t xml:space="preserve"> substance dependency, social support </w:t>
      </w:r>
      <w:r w:rsidR="005B3D69">
        <w:t>to provide</w:t>
      </w:r>
      <w:r w:rsidR="00E45ABC">
        <w:t xml:space="preserve"> training or work placements</w:t>
      </w:r>
      <w:r w:rsidRPr="00245A57">
        <w:t xml:space="preserve"> </w:t>
      </w:r>
      <w:r w:rsidR="005B3D69">
        <w:t xml:space="preserve">or housing and comprehensive rehabilitation and therapy is required to adequately affect re-offending rates. </w:t>
      </w:r>
      <w:r w:rsidRPr="00245A57">
        <w:t xml:space="preserve">The partnership </w:t>
      </w:r>
      <w:r w:rsidRPr="00245A57">
        <w:lastRenderedPageBreak/>
        <w:t>approach requires a commitment to addressing underlying issues and a collaborative strategy to tackle systemic change, improving the safety of the whole community (Phillips et al, 2002).</w:t>
      </w:r>
    </w:p>
    <w:p w14:paraId="029668D8" w14:textId="77777777" w:rsidR="00CC2161" w:rsidRPr="00245A57" w:rsidRDefault="00CC2161" w:rsidP="00245A57">
      <w:pPr>
        <w:pStyle w:val="PlainText"/>
      </w:pPr>
    </w:p>
    <w:p w14:paraId="5F40DD2A" w14:textId="77777777" w:rsidR="00CC2161" w:rsidRPr="00245A57" w:rsidRDefault="00CC2161" w:rsidP="00245A57">
      <w:pPr>
        <w:pStyle w:val="PlainText"/>
      </w:pPr>
      <w:r w:rsidRPr="00245A57">
        <w:t>In conclusion, the partnership approach is the most effective way of preventing re-offending. By enabling comprehensive support and resource pooling, promoting individual accountability, producing personalised rehabilitation therapies, offering community support and generating sustainable change, this collaborative method addresses the complex challenges faced by offenders. Embracing a partnership approach not only benefits the individuals involved but also contributes to the overall safety and well-being of society as a whole, creating a strategy for safer communities.</w:t>
      </w:r>
    </w:p>
    <w:p w14:paraId="56718507" w14:textId="77777777" w:rsidR="00CC2161" w:rsidRPr="00245A57" w:rsidRDefault="00CC2161" w:rsidP="00245A57">
      <w:pPr>
        <w:spacing w:after="0"/>
      </w:pPr>
    </w:p>
    <w:p w14:paraId="5C09362F" w14:textId="77777777" w:rsidR="009C1830" w:rsidRPr="00245A57" w:rsidRDefault="005B3D69" w:rsidP="00245A57">
      <w:pPr>
        <w:spacing w:after="0"/>
      </w:pPr>
      <w:r>
        <w:t>WORD COUNT: 959</w:t>
      </w:r>
    </w:p>
    <w:p w14:paraId="68707E57" w14:textId="77777777" w:rsidR="00245A57" w:rsidRPr="00245A57" w:rsidRDefault="00245A57" w:rsidP="00245A57">
      <w:pPr>
        <w:spacing w:after="0"/>
      </w:pPr>
    </w:p>
    <w:p w14:paraId="3EABC492" w14:textId="77777777" w:rsidR="00245A57" w:rsidRPr="00245A57" w:rsidRDefault="00245A57" w:rsidP="00245A57">
      <w:pPr>
        <w:spacing w:after="0"/>
      </w:pPr>
    </w:p>
    <w:p w14:paraId="5EA0DD45" w14:textId="77777777" w:rsidR="00FD72AF" w:rsidRPr="00245A57" w:rsidRDefault="00FD72AF" w:rsidP="00245A57">
      <w:pPr>
        <w:spacing w:after="0"/>
        <w:rPr>
          <w:b/>
        </w:rPr>
      </w:pPr>
      <w:r w:rsidRPr="00245A57">
        <w:rPr>
          <w:b/>
        </w:rPr>
        <w:t>REFERENCES</w:t>
      </w:r>
    </w:p>
    <w:p w14:paraId="5C557DCD" w14:textId="77777777" w:rsidR="003B62AF" w:rsidRPr="00245A57" w:rsidRDefault="003B62AF" w:rsidP="00245A57">
      <w:pPr>
        <w:spacing w:after="0"/>
      </w:pPr>
    </w:p>
    <w:p w14:paraId="56C8043A" w14:textId="77777777" w:rsidR="009C1830" w:rsidRPr="00245A57" w:rsidRDefault="009C1830" w:rsidP="00245A57">
      <w:pPr>
        <w:spacing w:after="0"/>
      </w:pPr>
      <w:r w:rsidRPr="00245A57">
        <w:t xml:space="preserve">Agnew, R. (2015) Strain, economic status, and crime, in A. R. Piquero (ed.) </w:t>
      </w:r>
      <w:r w:rsidRPr="00245A57">
        <w:rPr>
          <w:i/>
        </w:rPr>
        <w:t xml:space="preserve">The Handbook of Criminological Theory, </w:t>
      </w:r>
      <w:r w:rsidRPr="00245A57">
        <w:t>pp. 209-229. Ontario: John Wiley &amp; Sons.</w:t>
      </w:r>
    </w:p>
    <w:p w14:paraId="52570E58" w14:textId="77777777" w:rsidR="00245A57" w:rsidRPr="00245A57" w:rsidRDefault="00245A57" w:rsidP="00245A57">
      <w:pPr>
        <w:spacing w:after="0"/>
      </w:pPr>
    </w:p>
    <w:p w14:paraId="70CE27AC" w14:textId="77777777" w:rsidR="00CC2161" w:rsidRPr="00245A57" w:rsidRDefault="00CC2161" w:rsidP="00245A57">
      <w:pPr>
        <w:spacing w:after="0"/>
        <w:rPr>
          <w:rFonts w:cstheme="minorHAnsi"/>
        </w:rPr>
      </w:pPr>
      <w:r w:rsidRPr="00245A57">
        <w:rPr>
          <w:rFonts w:cstheme="minorHAnsi"/>
        </w:rPr>
        <w:t xml:space="preserve">Barton, H. &amp; Valero-Silva, N. (2013) Policing in partnership: A case study in crime prevention. </w:t>
      </w:r>
      <w:r w:rsidRPr="00245A57">
        <w:rPr>
          <w:rFonts w:cstheme="minorHAnsi"/>
          <w:i/>
        </w:rPr>
        <w:t xml:space="preserve">International Journal of Public Sector Management </w:t>
      </w:r>
      <w:r w:rsidRPr="00245A57">
        <w:rPr>
          <w:rFonts w:cstheme="minorHAnsi"/>
        </w:rPr>
        <w:t xml:space="preserve">26(7), pp. 543-553. DOI: </w:t>
      </w:r>
      <w:hyperlink r:id="rId5" w:history="1">
        <w:r w:rsidRPr="00245A57">
          <w:rPr>
            <w:rStyle w:val="Hyperlink"/>
            <w:rFonts w:cstheme="minorHAnsi"/>
            <w:color w:val="auto"/>
          </w:rPr>
          <w:t>https://doi.org/10.1108/IJPSM-12-2011-0131</w:t>
        </w:r>
      </w:hyperlink>
      <w:r w:rsidR="00245A57">
        <w:rPr>
          <w:rFonts w:cstheme="minorHAnsi"/>
        </w:rPr>
        <w:t xml:space="preserve"> </w:t>
      </w:r>
    </w:p>
    <w:p w14:paraId="2FD4EC4B" w14:textId="77777777" w:rsidR="00CC2161" w:rsidRPr="00245A57" w:rsidRDefault="00CC2161" w:rsidP="00245A57">
      <w:pPr>
        <w:spacing w:after="0"/>
      </w:pPr>
    </w:p>
    <w:p w14:paraId="1679C800" w14:textId="77777777" w:rsidR="009C1830" w:rsidRPr="00245A57" w:rsidRDefault="009C1830" w:rsidP="00245A57">
      <w:pPr>
        <w:spacing w:after="0"/>
      </w:pPr>
      <w:r w:rsidRPr="00245A57">
        <w:t xml:space="preserve">Bhopal, K. (2023) Critical race theory: Confronting, challenging, and rethinking white privilege. </w:t>
      </w:r>
      <w:r w:rsidRPr="00245A57">
        <w:rPr>
          <w:i/>
          <w:iCs/>
        </w:rPr>
        <w:t xml:space="preserve">Annual Review of Sociology </w:t>
      </w:r>
      <w:r w:rsidRPr="00245A57">
        <w:t xml:space="preserve">49(1), pp.111-128. DOI: </w:t>
      </w:r>
      <w:hyperlink r:id="rId6" w:history="1">
        <w:r w:rsidRPr="00245A57">
          <w:rPr>
            <w:rStyle w:val="Hyperlink"/>
            <w:color w:val="auto"/>
          </w:rPr>
          <w:t>https://doi.org/10.1146/annurev-soc031021-123710</w:t>
        </w:r>
      </w:hyperlink>
      <w:r w:rsidRPr="00245A57">
        <w:t xml:space="preserve"> </w:t>
      </w:r>
    </w:p>
    <w:p w14:paraId="58FA57CE" w14:textId="77777777" w:rsidR="009C1830" w:rsidRPr="00245A57" w:rsidRDefault="009C1830" w:rsidP="00245A57">
      <w:pPr>
        <w:spacing w:after="0"/>
      </w:pPr>
    </w:p>
    <w:p w14:paraId="17074F55" w14:textId="77777777" w:rsidR="00FD72AF" w:rsidRPr="00245A57" w:rsidRDefault="00790E09" w:rsidP="00245A57">
      <w:pPr>
        <w:spacing w:after="0"/>
      </w:pPr>
      <w:r w:rsidRPr="00245A57">
        <w:t>Bryant, R. &amp;</w:t>
      </w:r>
      <w:r w:rsidR="00FD72AF" w:rsidRPr="00245A57">
        <w:t xml:space="preserve"> Bryant, S. (2021) </w:t>
      </w:r>
      <w:r w:rsidR="00FD72AF" w:rsidRPr="00245A57">
        <w:rPr>
          <w:i/>
          <w:iCs/>
        </w:rPr>
        <w:t xml:space="preserve">Blackstone’s Handbook </w:t>
      </w:r>
      <w:proofErr w:type="gramStart"/>
      <w:r w:rsidR="00FD72AF" w:rsidRPr="00245A57">
        <w:rPr>
          <w:i/>
          <w:iCs/>
        </w:rPr>
        <w:t>For</w:t>
      </w:r>
      <w:proofErr w:type="gramEnd"/>
      <w:r w:rsidR="00FD72AF" w:rsidRPr="00245A57">
        <w:rPr>
          <w:i/>
          <w:iCs/>
        </w:rPr>
        <w:t xml:space="preserve"> Policing Students 2021. </w:t>
      </w:r>
      <w:r w:rsidR="00FD72AF" w:rsidRPr="00245A57">
        <w:t>S.L.: Oxford University Press.</w:t>
      </w:r>
    </w:p>
    <w:p w14:paraId="0E7B2D06" w14:textId="77777777" w:rsidR="00856384" w:rsidRPr="00245A57" w:rsidRDefault="00856384" w:rsidP="00245A57">
      <w:pPr>
        <w:spacing w:after="0"/>
      </w:pPr>
    </w:p>
    <w:p w14:paraId="267AFB0D" w14:textId="77777777" w:rsidR="00CC2161" w:rsidRPr="00245A57" w:rsidRDefault="00CC2161" w:rsidP="00245A57">
      <w:pPr>
        <w:spacing w:after="0"/>
        <w:rPr>
          <w:rFonts w:cstheme="minorHAnsi"/>
        </w:rPr>
      </w:pPr>
      <w:r w:rsidRPr="00245A57">
        <w:rPr>
          <w:rFonts w:cstheme="minorHAnsi"/>
        </w:rPr>
        <w:t xml:space="preserve">Cherney, A. (2018) Crime prevention/community safety partnerships in action: Victorian experience. </w:t>
      </w:r>
      <w:r w:rsidRPr="00245A57">
        <w:rPr>
          <w:rFonts w:cstheme="minorHAnsi"/>
          <w:i/>
        </w:rPr>
        <w:t xml:space="preserve">Current Issues in Criminal Justice </w:t>
      </w:r>
      <w:r w:rsidR="00245A57">
        <w:rPr>
          <w:rFonts w:cstheme="minorHAnsi"/>
        </w:rPr>
        <w:t xml:space="preserve">15(3), pp. 237-252. DOI: </w:t>
      </w:r>
      <w:r w:rsidR="00245A57" w:rsidRPr="00245A57">
        <w:rPr>
          <w:rFonts w:cstheme="minorHAnsi"/>
          <w:u w:val="single"/>
        </w:rPr>
        <w:t>https://doi.org/10.1080/10345329.2004.12036296</w:t>
      </w:r>
      <w:r w:rsidR="00245A57">
        <w:rPr>
          <w:rFonts w:cstheme="minorHAnsi"/>
        </w:rPr>
        <w:t xml:space="preserve"> </w:t>
      </w:r>
    </w:p>
    <w:p w14:paraId="56FDDA38" w14:textId="77777777" w:rsidR="00CC2161" w:rsidRPr="00245A57" w:rsidRDefault="00CC2161" w:rsidP="00245A57">
      <w:pPr>
        <w:spacing w:after="0"/>
      </w:pPr>
    </w:p>
    <w:p w14:paraId="63A96E88" w14:textId="77777777" w:rsidR="00FD72AF" w:rsidRPr="00245A57" w:rsidRDefault="00FD72AF" w:rsidP="00245A57">
      <w:pPr>
        <w:spacing w:after="0"/>
      </w:pPr>
      <w:r w:rsidRPr="00245A57">
        <w:t xml:space="preserve">College of Policing (2014) </w:t>
      </w:r>
      <w:r w:rsidRPr="00245A57">
        <w:rPr>
          <w:i/>
          <w:iCs/>
        </w:rPr>
        <w:t xml:space="preserve">Code of Ethics. </w:t>
      </w:r>
      <w:r w:rsidRPr="00245A57">
        <w:t xml:space="preserve">[online] College of Policing. Available at: </w:t>
      </w:r>
      <w:hyperlink r:id="rId7" w:history="1">
        <w:r w:rsidRPr="00245A57">
          <w:rPr>
            <w:rStyle w:val="Hyperlink"/>
            <w:color w:val="auto"/>
          </w:rPr>
          <w:t>https://www.college.police.uk/ethics/code-of-ethics</w:t>
        </w:r>
      </w:hyperlink>
      <w:r w:rsidRPr="00245A57">
        <w:t xml:space="preserve"> (Accessed: 11/11/2023).</w:t>
      </w:r>
    </w:p>
    <w:p w14:paraId="76024F97" w14:textId="77777777" w:rsidR="009C1830" w:rsidRPr="00245A57" w:rsidRDefault="009C1830" w:rsidP="00245A57">
      <w:pPr>
        <w:spacing w:after="0"/>
      </w:pPr>
    </w:p>
    <w:p w14:paraId="51B43B2E" w14:textId="77777777" w:rsidR="009C1830" w:rsidRDefault="009C1830" w:rsidP="00245A57">
      <w:pPr>
        <w:spacing w:after="0"/>
      </w:pPr>
      <w:r w:rsidRPr="00245A57">
        <w:t xml:space="preserve">Considine, T. &amp; Birch, P. (2008) ‘Challenges of managing the risk of violent and sexual offenders in the community’ in J.L. Ireland, C. A. Ireland, P. Birch (eds.) </w:t>
      </w:r>
      <w:r w:rsidRPr="00245A57">
        <w:rPr>
          <w:i/>
        </w:rPr>
        <w:t xml:space="preserve">Violent and Sexual Offenders: Assessment, Treatment and Management, </w:t>
      </w:r>
      <w:r w:rsidRPr="00245A57">
        <w:t xml:space="preserve">London: Willan. </w:t>
      </w:r>
    </w:p>
    <w:p w14:paraId="0A4F4023" w14:textId="77777777" w:rsidR="00245A57" w:rsidRPr="00245A57" w:rsidRDefault="00245A57" w:rsidP="00245A57">
      <w:pPr>
        <w:spacing w:after="0"/>
      </w:pPr>
    </w:p>
    <w:p w14:paraId="1D5C2BD3" w14:textId="77777777" w:rsidR="00245A57" w:rsidRDefault="00CC2161" w:rsidP="00245A57">
      <w:pPr>
        <w:spacing w:after="0"/>
        <w:rPr>
          <w:rFonts w:cstheme="minorHAnsi"/>
        </w:rPr>
      </w:pPr>
      <w:r w:rsidRPr="00245A57">
        <w:rPr>
          <w:rFonts w:cstheme="minorHAnsi"/>
        </w:rPr>
        <w:t xml:space="preserve">Crawford, A. (1994) Appeals to community and crime prevention. </w:t>
      </w:r>
      <w:r w:rsidRPr="00245A57">
        <w:rPr>
          <w:rFonts w:cstheme="minorHAnsi"/>
          <w:i/>
        </w:rPr>
        <w:t>Crime, Law and Social Change</w:t>
      </w:r>
      <w:r w:rsidRPr="00245A57">
        <w:rPr>
          <w:rFonts w:cstheme="minorHAnsi"/>
        </w:rPr>
        <w:t xml:space="preserve"> 22, pp. 97-126. DOI: </w:t>
      </w:r>
      <w:hyperlink r:id="rId8" w:history="1">
        <w:r w:rsidRPr="00245A57">
          <w:rPr>
            <w:rStyle w:val="Hyperlink"/>
            <w:rFonts w:cstheme="minorHAnsi"/>
            <w:color w:val="auto"/>
            <w:shd w:val="clear" w:color="auto" w:fill="FFFFFF"/>
          </w:rPr>
          <w:t>https://doi.org/10.1007/BF01308442</w:t>
        </w:r>
      </w:hyperlink>
      <w:r w:rsidRPr="00245A57">
        <w:rPr>
          <w:rFonts w:cstheme="minorHAnsi"/>
          <w:shd w:val="clear" w:color="auto" w:fill="FFFFFF"/>
        </w:rPr>
        <w:t xml:space="preserve"> </w:t>
      </w:r>
      <w:r w:rsidRPr="00245A57">
        <w:rPr>
          <w:rFonts w:cstheme="minorHAnsi"/>
        </w:rPr>
        <w:t xml:space="preserve"> </w:t>
      </w:r>
    </w:p>
    <w:p w14:paraId="7409FE76" w14:textId="77777777" w:rsidR="00245A57" w:rsidRPr="00245A57" w:rsidRDefault="00245A57" w:rsidP="00245A57">
      <w:pPr>
        <w:spacing w:after="0"/>
        <w:rPr>
          <w:rFonts w:cstheme="minorHAnsi"/>
        </w:rPr>
      </w:pPr>
    </w:p>
    <w:p w14:paraId="3E73F9A4" w14:textId="77777777" w:rsidR="00CC2161" w:rsidRDefault="00CC2161" w:rsidP="00245A57">
      <w:pPr>
        <w:spacing w:after="0"/>
        <w:rPr>
          <w:rFonts w:cstheme="minorHAnsi"/>
        </w:rPr>
      </w:pPr>
      <w:r w:rsidRPr="00245A57">
        <w:rPr>
          <w:rFonts w:cstheme="minorHAnsi"/>
        </w:rPr>
        <w:t xml:space="preserve">Crawford, A. (1999) </w:t>
      </w:r>
      <w:r w:rsidRPr="00245A57">
        <w:rPr>
          <w:rFonts w:cstheme="minorHAnsi"/>
          <w:i/>
        </w:rPr>
        <w:t xml:space="preserve">The Local Governance of Crime: Appeals to Community and Partnerships. </w:t>
      </w:r>
      <w:r w:rsidRPr="00245A57">
        <w:rPr>
          <w:rFonts w:cstheme="minorHAnsi"/>
        </w:rPr>
        <w:t>London: Oxford University Press.</w:t>
      </w:r>
    </w:p>
    <w:p w14:paraId="023CDD53" w14:textId="77777777" w:rsidR="00245A57" w:rsidRPr="00245A57" w:rsidRDefault="00245A57" w:rsidP="00245A57">
      <w:pPr>
        <w:spacing w:after="0"/>
        <w:rPr>
          <w:rFonts w:cstheme="minorHAnsi"/>
        </w:rPr>
      </w:pPr>
    </w:p>
    <w:p w14:paraId="74037D56" w14:textId="77777777" w:rsidR="00CC2161" w:rsidRPr="00245A57" w:rsidRDefault="00CC2161" w:rsidP="00245A57">
      <w:pPr>
        <w:spacing w:after="0"/>
        <w:rPr>
          <w:rFonts w:cstheme="minorHAnsi"/>
        </w:rPr>
      </w:pPr>
      <w:r w:rsidRPr="00245A57">
        <w:rPr>
          <w:rFonts w:cstheme="minorHAnsi"/>
        </w:rPr>
        <w:t xml:space="preserve">Crawford, A. &amp; </w:t>
      </w:r>
      <w:proofErr w:type="spellStart"/>
      <w:r w:rsidRPr="00245A57">
        <w:rPr>
          <w:rFonts w:cstheme="minorHAnsi"/>
        </w:rPr>
        <w:t>Matassa</w:t>
      </w:r>
      <w:proofErr w:type="spellEnd"/>
      <w:r w:rsidRPr="00245A57">
        <w:rPr>
          <w:rFonts w:cstheme="minorHAnsi"/>
        </w:rPr>
        <w:t xml:space="preserve">, M. (2000) </w:t>
      </w:r>
      <w:r w:rsidRPr="00245A57">
        <w:rPr>
          <w:rFonts w:cstheme="minorHAnsi"/>
          <w:i/>
        </w:rPr>
        <w:t xml:space="preserve">Community Safety Structures: </w:t>
      </w:r>
      <w:proofErr w:type="gramStart"/>
      <w:r w:rsidRPr="00245A57">
        <w:rPr>
          <w:rFonts w:cstheme="minorHAnsi"/>
          <w:i/>
        </w:rPr>
        <w:t>an</w:t>
      </w:r>
      <w:proofErr w:type="gramEnd"/>
      <w:r w:rsidRPr="00245A57">
        <w:rPr>
          <w:rFonts w:cstheme="minorHAnsi"/>
          <w:i/>
        </w:rPr>
        <w:t xml:space="preserve"> International Literature Review, </w:t>
      </w:r>
      <w:r w:rsidRPr="00245A57">
        <w:rPr>
          <w:rFonts w:cstheme="minorHAnsi"/>
        </w:rPr>
        <w:t>Research Report 8. London: Stationery Office.</w:t>
      </w:r>
    </w:p>
    <w:p w14:paraId="44EC3153" w14:textId="77777777" w:rsidR="00CC2161" w:rsidRPr="00245A57" w:rsidRDefault="00CC2161" w:rsidP="00245A57">
      <w:pPr>
        <w:spacing w:after="0"/>
      </w:pPr>
    </w:p>
    <w:p w14:paraId="342D08E8" w14:textId="77777777" w:rsidR="009C1830" w:rsidRDefault="009C1830" w:rsidP="00245A57">
      <w:pPr>
        <w:spacing w:after="0"/>
        <w:rPr>
          <w:u w:val="single"/>
        </w:rPr>
      </w:pPr>
      <w:r w:rsidRPr="00245A57">
        <w:t xml:space="preserve">Day, A., </w:t>
      </w:r>
      <w:proofErr w:type="spellStart"/>
      <w:r w:rsidRPr="00245A57">
        <w:t>Boni</w:t>
      </w:r>
      <w:proofErr w:type="spellEnd"/>
      <w:r w:rsidRPr="00245A57">
        <w:t xml:space="preserve">, N., Hobbs, G., Carson, E., </w:t>
      </w:r>
      <w:proofErr w:type="spellStart"/>
      <w:r w:rsidRPr="00245A57">
        <w:t>Whitting</w:t>
      </w:r>
      <w:proofErr w:type="spellEnd"/>
      <w:r w:rsidRPr="00245A57">
        <w:t xml:space="preserve">, L. &amp; Powell, M. (2014) ‘Professional attitudes to sex offenders: Implications for multiagency and collaborative working, </w:t>
      </w:r>
      <w:r w:rsidRPr="00245A57">
        <w:rPr>
          <w:i/>
        </w:rPr>
        <w:t xml:space="preserve">Sexual Abuse in </w:t>
      </w:r>
      <w:proofErr w:type="gramStart"/>
      <w:r w:rsidRPr="00245A57">
        <w:rPr>
          <w:i/>
        </w:rPr>
        <w:t>Australia</w:t>
      </w:r>
      <w:proofErr w:type="gramEnd"/>
      <w:r w:rsidRPr="00245A57">
        <w:rPr>
          <w:i/>
        </w:rPr>
        <w:t xml:space="preserve"> and New Zealand </w:t>
      </w:r>
      <w:r w:rsidRPr="00245A57">
        <w:t xml:space="preserve">6(1) pp. 12-19. DOI: </w:t>
      </w:r>
      <w:hyperlink r:id="rId9" w:history="1">
        <w:r w:rsidR="00245A57" w:rsidRPr="008E0BD9">
          <w:rPr>
            <w:rStyle w:val="Hyperlink"/>
          </w:rPr>
          <w:t>https://doi/10.3316/informit.775756308532845</w:t>
        </w:r>
      </w:hyperlink>
    </w:p>
    <w:p w14:paraId="3EBB7842" w14:textId="77777777" w:rsidR="00245A57" w:rsidRPr="00245A57" w:rsidRDefault="00245A57" w:rsidP="00245A57">
      <w:pPr>
        <w:spacing w:after="0"/>
      </w:pPr>
    </w:p>
    <w:p w14:paraId="39015CDC" w14:textId="77777777" w:rsidR="00245A57" w:rsidRDefault="009C1830" w:rsidP="00245A57">
      <w:pPr>
        <w:spacing w:after="0"/>
      </w:pPr>
      <w:r w:rsidRPr="00245A57">
        <w:t xml:space="preserve">Dixon, S., Kendall, B., Driscoll, J. and Pope, C. (2022) ‘Supporting the ‘multi’ in multi-agency working: learning with and from each other could enable multi-agency safeguarding’, </w:t>
      </w:r>
      <w:r w:rsidRPr="00245A57">
        <w:rPr>
          <w:i/>
          <w:iCs/>
        </w:rPr>
        <w:t xml:space="preserve">British Journal of General Practice </w:t>
      </w:r>
      <w:r w:rsidRPr="00245A57">
        <w:t xml:space="preserve">72(722) pp. 438-439. DOI: </w:t>
      </w:r>
      <w:hyperlink r:id="rId10" w:anchor=".rog/10.3399/bjgp22x720617" w:history="1">
        <w:r w:rsidR="00245A57" w:rsidRPr="008E0BD9">
          <w:rPr>
            <w:rStyle w:val="Hyperlink"/>
          </w:rPr>
          <w:t>https://doi#.rog/10.3399/bjgp22x720617</w:t>
        </w:r>
      </w:hyperlink>
    </w:p>
    <w:p w14:paraId="04543872" w14:textId="77777777" w:rsidR="00245A57" w:rsidRPr="00245A57" w:rsidRDefault="00245A57" w:rsidP="00245A57">
      <w:pPr>
        <w:spacing w:after="0"/>
        <w:rPr>
          <w:rStyle w:val="Hyperlink"/>
          <w:color w:val="auto"/>
        </w:rPr>
      </w:pPr>
    </w:p>
    <w:p w14:paraId="2E061CB2" w14:textId="77777777" w:rsidR="00CC2161" w:rsidRPr="00245A57" w:rsidRDefault="00CC2161" w:rsidP="00245A57">
      <w:pPr>
        <w:spacing w:after="0"/>
      </w:pPr>
      <w:r w:rsidRPr="00245A57">
        <w:t xml:space="preserve">Dong, B., Egger, P.H. &amp; Guo, Y. (2020) Is poverty the mother of all crime? Evidence from homicide rates in China. </w:t>
      </w:r>
      <w:proofErr w:type="spellStart"/>
      <w:r w:rsidRPr="00245A57">
        <w:rPr>
          <w:i/>
          <w:iCs/>
        </w:rPr>
        <w:t>Plos</w:t>
      </w:r>
      <w:proofErr w:type="spellEnd"/>
      <w:r w:rsidRPr="00245A57">
        <w:rPr>
          <w:i/>
          <w:iCs/>
        </w:rPr>
        <w:t xml:space="preserve"> One, </w:t>
      </w:r>
      <w:r w:rsidRPr="00245A57">
        <w:t xml:space="preserve">[online] 15(5). DOI: </w:t>
      </w:r>
      <w:hyperlink r:id="rId11" w:history="1">
        <w:r w:rsidRPr="00245A57">
          <w:rPr>
            <w:rStyle w:val="Hyperlink"/>
            <w:color w:val="auto"/>
          </w:rPr>
          <w:t>https://doi.org/10.1371/journal.pone.0233034</w:t>
        </w:r>
      </w:hyperlink>
      <w:r w:rsidRPr="00245A57">
        <w:t xml:space="preserve"> </w:t>
      </w:r>
    </w:p>
    <w:p w14:paraId="3B87A3BE" w14:textId="77777777" w:rsidR="00CC2161" w:rsidRDefault="00CC2161" w:rsidP="00245A57">
      <w:pPr>
        <w:spacing w:after="0"/>
      </w:pPr>
      <w:r w:rsidRPr="00245A57">
        <w:t xml:space="preserve">Ellis, L. &amp; McDonald, J. N. (~2008) Crime, delinquency, and social status: A reconsideration. </w:t>
      </w:r>
      <w:r w:rsidRPr="00245A57">
        <w:rPr>
          <w:i/>
        </w:rPr>
        <w:t xml:space="preserve">Journal of Offender Rehabilitation </w:t>
      </w:r>
      <w:r w:rsidRPr="00245A57">
        <w:t xml:space="preserve">32(3), pp. 23-52. DOI: </w:t>
      </w:r>
      <w:hyperlink r:id="rId12" w:history="1">
        <w:r w:rsidRPr="00245A57">
          <w:rPr>
            <w:rStyle w:val="Hyperlink"/>
            <w:color w:val="auto"/>
          </w:rPr>
          <w:t>https://doi.org/10.1300/J076v32n03_03</w:t>
        </w:r>
      </w:hyperlink>
    </w:p>
    <w:p w14:paraId="5DA18A03" w14:textId="77777777" w:rsidR="00245A57" w:rsidRPr="00245A57" w:rsidRDefault="00245A57" w:rsidP="00245A57">
      <w:pPr>
        <w:spacing w:after="0"/>
      </w:pPr>
    </w:p>
    <w:p w14:paraId="193874B3" w14:textId="77777777" w:rsidR="00CC2161" w:rsidRPr="00245A57" w:rsidRDefault="00CC2161" w:rsidP="00245A57">
      <w:pPr>
        <w:spacing w:after="0"/>
        <w:rPr>
          <w:rFonts w:cstheme="minorHAnsi"/>
        </w:rPr>
      </w:pPr>
      <w:r w:rsidRPr="00245A57">
        <w:rPr>
          <w:rFonts w:cstheme="minorHAnsi"/>
        </w:rPr>
        <w:t xml:space="preserve">Farkas, M. A., &amp; Jones, R. S. (2007) Community partners: ‘Doing Doors’ as a community crime prevention strategy. </w:t>
      </w:r>
      <w:r w:rsidRPr="00245A57">
        <w:rPr>
          <w:rFonts w:cstheme="minorHAnsi"/>
          <w:i/>
        </w:rPr>
        <w:t xml:space="preserve">Criminal Justice Studies </w:t>
      </w:r>
      <w:r w:rsidRPr="00245A57">
        <w:rPr>
          <w:rFonts w:cstheme="minorHAnsi"/>
        </w:rPr>
        <w:t xml:space="preserve">20(3), pp. 295-312. DOI: </w:t>
      </w:r>
      <w:hyperlink r:id="rId13" w:history="1">
        <w:r w:rsidRPr="00245A57">
          <w:rPr>
            <w:rStyle w:val="Hyperlink"/>
            <w:rFonts w:cstheme="minorHAnsi"/>
            <w:color w:val="auto"/>
          </w:rPr>
          <w:t>https://doi.org/10.1080/14786010701617698</w:t>
        </w:r>
      </w:hyperlink>
      <w:r w:rsidRPr="00245A57">
        <w:rPr>
          <w:rFonts w:cstheme="minorHAnsi"/>
        </w:rPr>
        <w:t xml:space="preserve"> </w:t>
      </w:r>
    </w:p>
    <w:p w14:paraId="25E1C82D" w14:textId="77777777" w:rsidR="00CC2161" w:rsidRPr="00245A57" w:rsidRDefault="00CC2161" w:rsidP="00245A57">
      <w:pPr>
        <w:spacing w:after="0"/>
      </w:pPr>
    </w:p>
    <w:p w14:paraId="61C93552" w14:textId="77777777" w:rsidR="00790E09" w:rsidRPr="00245A57" w:rsidRDefault="00790E09" w:rsidP="00245A57">
      <w:pPr>
        <w:spacing w:after="0"/>
        <w:rPr>
          <w:rStyle w:val="Hyperlink"/>
          <w:color w:val="auto"/>
        </w:rPr>
      </w:pPr>
      <w:r w:rsidRPr="00245A57">
        <w:t xml:space="preserve">Ferguson, J., &amp; Milliman, J. (2008) </w:t>
      </w:r>
      <w:r w:rsidR="00856384" w:rsidRPr="00245A57">
        <w:t>‘</w:t>
      </w:r>
      <w:r w:rsidRPr="00245A57">
        <w:t>Creat</w:t>
      </w:r>
      <w:r w:rsidR="00952B05" w:rsidRPr="00245A57">
        <w:t>ing e</w:t>
      </w:r>
      <w:r w:rsidRPr="00245A57">
        <w:t>ffective</w:t>
      </w:r>
      <w:r w:rsidR="00952B05" w:rsidRPr="00245A57">
        <w:t xml:space="preserve"> core organi</w:t>
      </w:r>
      <w:r w:rsidR="006C749E" w:rsidRPr="00245A57">
        <w:t>s</w:t>
      </w:r>
      <w:r w:rsidR="00952B05" w:rsidRPr="00245A57">
        <w:t>ational v</w:t>
      </w:r>
      <w:r w:rsidRPr="00245A57">
        <w:t>alues</w:t>
      </w:r>
      <w:r w:rsidR="00856384" w:rsidRPr="00245A57">
        <w:t>’</w:t>
      </w:r>
      <w:r w:rsidRPr="00245A57">
        <w:t xml:space="preserve">, </w:t>
      </w:r>
      <w:r w:rsidRPr="00245A57">
        <w:rPr>
          <w:i/>
        </w:rPr>
        <w:t xml:space="preserve">International Journal of Public Administration </w:t>
      </w:r>
      <w:r w:rsidRPr="00245A57">
        <w:t xml:space="preserve">31(4) pp. 439-459. DOI: </w:t>
      </w:r>
      <w:hyperlink r:id="rId14" w:history="1">
        <w:r w:rsidRPr="00245A57">
          <w:rPr>
            <w:rStyle w:val="Hyperlink"/>
            <w:color w:val="auto"/>
          </w:rPr>
          <w:t>https://doi.org/10.1080/01900690701590835</w:t>
        </w:r>
      </w:hyperlink>
    </w:p>
    <w:p w14:paraId="7F0F75DC" w14:textId="77777777" w:rsidR="00CC2161" w:rsidRPr="00245A57" w:rsidRDefault="00CC2161" w:rsidP="00245A57">
      <w:pPr>
        <w:spacing w:after="0"/>
        <w:rPr>
          <w:rStyle w:val="Hyperlink"/>
          <w:color w:val="auto"/>
        </w:rPr>
      </w:pPr>
    </w:p>
    <w:p w14:paraId="0F29686B" w14:textId="77777777" w:rsidR="00245A57" w:rsidRDefault="00CC2161" w:rsidP="00245A57">
      <w:pPr>
        <w:spacing w:after="0"/>
        <w:rPr>
          <w:rFonts w:cstheme="minorHAnsi"/>
        </w:rPr>
      </w:pPr>
      <w:proofErr w:type="spellStart"/>
      <w:r w:rsidRPr="00245A57">
        <w:rPr>
          <w:rFonts w:cstheme="minorHAnsi"/>
        </w:rPr>
        <w:t>Frevel</w:t>
      </w:r>
      <w:proofErr w:type="spellEnd"/>
      <w:r w:rsidRPr="00245A57">
        <w:rPr>
          <w:rFonts w:cstheme="minorHAnsi"/>
        </w:rPr>
        <w:t xml:space="preserve">, B. &amp; Rogers, C. (2016) Community partnerships (UK) vs crime prevention councils (Ger): Differences and similarities. </w:t>
      </w:r>
      <w:r w:rsidRPr="00245A57">
        <w:rPr>
          <w:rFonts w:cstheme="minorHAnsi"/>
          <w:i/>
        </w:rPr>
        <w:t xml:space="preserve">The Police </w:t>
      </w:r>
      <w:proofErr w:type="spellStart"/>
      <w:r w:rsidRPr="00245A57">
        <w:rPr>
          <w:rFonts w:cstheme="minorHAnsi"/>
          <w:i/>
        </w:rPr>
        <w:t>JournalL</w:t>
      </w:r>
      <w:proofErr w:type="spellEnd"/>
      <w:r w:rsidRPr="00245A57">
        <w:rPr>
          <w:rFonts w:cstheme="minorHAnsi"/>
          <w:i/>
        </w:rPr>
        <w:t xml:space="preserve"> Theory, Practice and Principles </w:t>
      </w:r>
      <w:r w:rsidRPr="00245A57">
        <w:rPr>
          <w:rFonts w:cstheme="minorHAnsi"/>
        </w:rPr>
        <w:t xml:space="preserve">89(2), pp. 133-150. DOI: </w:t>
      </w:r>
      <w:hyperlink r:id="rId15" w:history="1">
        <w:r w:rsidRPr="00245A57">
          <w:rPr>
            <w:rStyle w:val="Hyperlink"/>
            <w:rFonts w:cstheme="minorHAnsi"/>
            <w:color w:val="auto"/>
          </w:rPr>
          <w:t>https://doi.org/10.1177/0032258X16641426</w:t>
        </w:r>
      </w:hyperlink>
      <w:r w:rsidRPr="00245A57">
        <w:rPr>
          <w:rFonts w:cstheme="minorHAnsi"/>
        </w:rPr>
        <w:t xml:space="preserve"> </w:t>
      </w:r>
    </w:p>
    <w:p w14:paraId="42978F23" w14:textId="77777777" w:rsidR="00245A57" w:rsidRPr="00245A57" w:rsidRDefault="00245A57" w:rsidP="00245A57">
      <w:pPr>
        <w:spacing w:after="0"/>
        <w:rPr>
          <w:rFonts w:cstheme="minorHAnsi"/>
        </w:rPr>
      </w:pPr>
    </w:p>
    <w:p w14:paraId="4B5B0961" w14:textId="77777777" w:rsidR="00CC2161" w:rsidRPr="00245A57" w:rsidRDefault="00CC2161" w:rsidP="00245A57">
      <w:pPr>
        <w:pStyle w:val="NormalWeb"/>
        <w:shd w:val="clear" w:color="auto" w:fill="FFFFFF"/>
        <w:spacing w:before="0" w:beforeAutospacing="0" w:after="0" w:afterAutospacing="0"/>
        <w:rPr>
          <w:rStyle w:val="c-bibliographic-informationvalue"/>
          <w:rFonts w:asciiTheme="minorHAnsi" w:hAnsiTheme="minorHAnsi" w:cstheme="minorHAnsi"/>
          <w:sz w:val="22"/>
          <w:szCs w:val="22"/>
        </w:rPr>
      </w:pPr>
      <w:proofErr w:type="spellStart"/>
      <w:r w:rsidRPr="00245A57">
        <w:rPr>
          <w:rFonts w:asciiTheme="minorHAnsi" w:hAnsiTheme="minorHAnsi" w:cstheme="minorHAnsi"/>
          <w:sz w:val="22"/>
          <w:szCs w:val="22"/>
        </w:rPr>
        <w:t>Gorisi</w:t>
      </w:r>
      <w:proofErr w:type="spellEnd"/>
      <w:r w:rsidRPr="00245A57">
        <w:rPr>
          <w:rFonts w:asciiTheme="minorHAnsi" w:hAnsiTheme="minorHAnsi" w:cstheme="minorHAnsi"/>
          <w:sz w:val="22"/>
          <w:szCs w:val="22"/>
        </w:rPr>
        <w:t xml:space="preserve">, P. (2001) Community crime prevention and the ‘partnership approach’: A safe community for everyone? </w:t>
      </w:r>
      <w:r w:rsidRPr="00245A57">
        <w:rPr>
          <w:rFonts w:asciiTheme="minorHAnsi" w:hAnsiTheme="minorHAnsi" w:cstheme="minorHAnsi"/>
          <w:i/>
          <w:sz w:val="22"/>
          <w:szCs w:val="22"/>
        </w:rPr>
        <w:t xml:space="preserve">European Journal on Criminal Policy and Research </w:t>
      </w:r>
      <w:r w:rsidRPr="00245A57">
        <w:rPr>
          <w:rFonts w:asciiTheme="minorHAnsi" w:hAnsiTheme="minorHAnsi" w:cstheme="minorHAnsi"/>
          <w:sz w:val="22"/>
          <w:szCs w:val="22"/>
        </w:rPr>
        <w:t xml:space="preserve">9, pp. 447-457. DOI: </w:t>
      </w:r>
      <w:hyperlink r:id="rId16" w:history="1">
        <w:r w:rsidRPr="00245A57">
          <w:rPr>
            <w:rStyle w:val="Hyperlink"/>
            <w:rFonts w:asciiTheme="minorHAnsi" w:hAnsiTheme="minorHAnsi" w:cstheme="minorHAnsi"/>
            <w:color w:val="auto"/>
            <w:sz w:val="22"/>
            <w:szCs w:val="22"/>
          </w:rPr>
          <w:t>https://doi.org/10.1023/A:1013103623175</w:t>
        </w:r>
      </w:hyperlink>
      <w:r w:rsidRPr="00245A57">
        <w:rPr>
          <w:rStyle w:val="c-bibliographic-informationvalue"/>
          <w:rFonts w:asciiTheme="minorHAnsi" w:hAnsiTheme="minorHAnsi" w:cstheme="minorHAnsi"/>
          <w:sz w:val="22"/>
          <w:szCs w:val="22"/>
        </w:rPr>
        <w:t xml:space="preserve"> </w:t>
      </w:r>
    </w:p>
    <w:p w14:paraId="7E83BC01" w14:textId="77777777" w:rsidR="00856384" w:rsidRPr="00245A57" w:rsidRDefault="00856384" w:rsidP="00245A57">
      <w:pPr>
        <w:spacing w:after="0"/>
      </w:pPr>
    </w:p>
    <w:p w14:paraId="1ED0768A" w14:textId="77777777" w:rsidR="00CC2161" w:rsidRPr="00245A57" w:rsidRDefault="00CC2161" w:rsidP="00245A57">
      <w:pPr>
        <w:spacing w:after="0"/>
      </w:pPr>
      <w:r w:rsidRPr="00245A57">
        <w:t xml:space="preserve">Henson, B., Wilcox, P., </w:t>
      </w:r>
      <w:proofErr w:type="spellStart"/>
      <w:r w:rsidRPr="00245A57">
        <w:t>Reyns</w:t>
      </w:r>
      <w:proofErr w:type="spellEnd"/>
      <w:r w:rsidRPr="00245A57">
        <w:t xml:space="preserve">, B. W. &amp; Cullen, F. T. (2010) Gender, adolescent lifestyles, and violent victimisation: Implications for routine activity theory. </w:t>
      </w:r>
      <w:r w:rsidRPr="00245A57">
        <w:rPr>
          <w:i/>
        </w:rPr>
        <w:t xml:space="preserve">An International Journal of Evidence-based Research, Policy, and Practice </w:t>
      </w:r>
      <w:r w:rsidRPr="00245A57">
        <w:t xml:space="preserve">5(4), pp. 303-328. DOI: </w:t>
      </w:r>
      <w:hyperlink r:id="rId17" w:history="1">
        <w:r w:rsidRPr="00245A57">
          <w:rPr>
            <w:rStyle w:val="Hyperlink"/>
            <w:color w:val="auto"/>
          </w:rPr>
          <w:t>https://doi.org/10.1080/15564886.2010.509651</w:t>
        </w:r>
      </w:hyperlink>
      <w:r w:rsidRPr="00245A57">
        <w:t xml:space="preserve"> </w:t>
      </w:r>
    </w:p>
    <w:p w14:paraId="3E604F7E" w14:textId="77777777" w:rsidR="00CC2161" w:rsidRPr="00245A57" w:rsidRDefault="00CC2161" w:rsidP="00245A57">
      <w:pPr>
        <w:spacing w:after="0"/>
      </w:pPr>
    </w:p>
    <w:p w14:paraId="0FD679EE" w14:textId="77777777" w:rsidR="009C1830" w:rsidRDefault="009C1830" w:rsidP="00245A57">
      <w:pPr>
        <w:spacing w:after="0"/>
      </w:pPr>
      <w:proofErr w:type="spellStart"/>
      <w:r w:rsidRPr="00245A57">
        <w:t>Kemshall</w:t>
      </w:r>
      <w:proofErr w:type="spellEnd"/>
      <w:r w:rsidRPr="00245A57">
        <w:t xml:space="preserve">, H. &amp; Maguire M. (2006) </w:t>
      </w:r>
      <w:r w:rsidRPr="00245A57">
        <w:rPr>
          <w:i/>
        </w:rPr>
        <w:t xml:space="preserve">Governing Risks. </w:t>
      </w:r>
      <w:r w:rsidRPr="00245A57">
        <w:t>London: Routledge.</w:t>
      </w:r>
    </w:p>
    <w:p w14:paraId="32105B2E" w14:textId="77777777" w:rsidR="00245A57" w:rsidRPr="00245A57" w:rsidRDefault="00245A57" w:rsidP="00245A57">
      <w:pPr>
        <w:spacing w:after="0"/>
      </w:pPr>
    </w:p>
    <w:p w14:paraId="3886C4A2" w14:textId="77777777" w:rsidR="009C1830" w:rsidRDefault="009C1830" w:rsidP="00245A57">
      <w:pPr>
        <w:spacing w:after="0"/>
        <w:rPr>
          <w:rStyle w:val="Hyperlink"/>
          <w:color w:val="auto"/>
        </w:rPr>
      </w:pPr>
      <w:proofErr w:type="spellStart"/>
      <w:r w:rsidRPr="00245A57">
        <w:t>Kemshall</w:t>
      </w:r>
      <w:proofErr w:type="spellEnd"/>
      <w:r w:rsidRPr="00245A57">
        <w:t xml:space="preserve">, H. &amp; Wood, J. (2009a) ‘Community strategies for managing high risk offenders: The contribution of  multi-agency public protection arrangements’ in A. R. Beech, L. A. Craig, K. D. Browne (eds.) </w:t>
      </w:r>
      <w:r w:rsidRPr="00245A57">
        <w:rPr>
          <w:i/>
        </w:rPr>
        <w:t xml:space="preserve">Assessment and Treatment of Sex Offenders: A Handbook. </w:t>
      </w:r>
      <w:r w:rsidRPr="00245A57">
        <w:t xml:space="preserve">DOI: </w:t>
      </w:r>
      <w:hyperlink r:id="rId18" w:history="1">
        <w:r w:rsidRPr="00245A57">
          <w:rPr>
            <w:rStyle w:val="Hyperlink"/>
            <w:color w:val="auto"/>
          </w:rPr>
          <w:t>https://doi.org/10.1002/9780470714362.ch28</w:t>
        </w:r>
      </w:hyperlink>
    </w:p>
    <w:p w14:paraId="25325B49" w14:textId="77777777" w:rsidR="00245A57" w:rsidRPr="00245A57" w:rsidRDefault="00245A57" w:rsidP="00245A57">
      <w:pPr>
        <w:spacing w:after="0"/>
      </w:pPr>
    </w:p>
    <w:p w14:paraId="17E4D098" w14:textId="77777777" w:rsidR="009C1830" w:rsidRDefault="009C1830" w:rsidP="00245A57">
      <w:pPr>
        <w:spacing w:after="0"/>
      </w:pPr>
      <w:proofErr w:type="spellStart"/>
      <w:r w:rsidRPr="00245A57">
        <w:t>Kemshall</w:t>
      </w:r>
      <w:proofErr w:type="spellEnd"/>
      <w:r w:rsidRPr="00245A57">
        <w:t xml:space="preserve">, H. &amp; Wood, J. (2009b) ‘Effective multi-agency public protection: learning from the research’, in K. Harrison (ed.) </w:t>
      </w:r>
      <w:r w:rsidRPr="00245A57">
        <w:rPr>
          <w:i/>
        </w:rPr>
        <w:t>Managing High-Risk Sex Offenders in the Community, 2</w:t>
      </w:r>
      <w:r w:rsidRPr="00245A57">
        <w:rPr>
          <w:i/>
          <w:vertAlign w:val="superscript"/>
        </w:rPr>
        <w:t>nd</w:t>
      </w:r>
      <w:r w:rsidRPr="00245A57">
        <w:rPr>
          <w:i/>
        </w:rPr>
        <w:t xml:space="preserve"> ed. </w:t>
      </w:r>
      <w:r w:rsidRPr="00245A57">
        <w:t xml:space="preserve">London: Routledge. </w:t>
      </w:r>
    </w:p>
    <w:p w14:paraId="40231F3A" w14:textId="77777777" w:rsidR="00245A57" w:rsidRPr="00245A57" w:rsidRDefault="00245A57" w:rsidP="00245A57">
      <w:pPr>
        <w:spacing w:after="0"/>
      </w:pPr>
    </w:p>
    <w:p w14:paraId="1E71BCE7" w14:textId="77777777" w:rsidR="009C1830" w:rsidRDefault="009C1830" w:rsidP="00245A57">
      <w:pPr>
        <w:spacing w:after="0"/>
        <w:rPr>
          <w:u w:val="single"/>
        </w:rPr>
      </w:pPr>
      <w:r w:rsidRPr="00245A57">
        <w:lastRenderedPageBreak/>
        <w:t xml:space="preserve">Kirkland, J. and Baron, E. (2014) ‘Using a cognitive analytic approach to formulate a complex sexual and violent offender to inform multi-agency working: developing a shared understanding’, </w:t>
      </w:r>
      <w:r w:rsidRPr="00245A57">
        <w:rPr>
          <w:i/>
          <w:iCs/>
        </w:rPr>
        <w:t xml:space="preserve">Journal of Sexual Aggression </w:t>
      </w:r>
      <w:r w:rsidRPr="00245A57">
        <w:t xml:space="preserve">21(3) pp.394-405. DOI: </w:t>
      </w:r>
      <w:hyperlink r:id="rId19" w:history="1">
        <w:r w:rsidR="00245A57" w:rsidRPr="008E0BD9">
          <w:rPr>
            <w:rStyle w:val="Hyperlink"/>
          </w:rPr>
          <w:t>https://doi.org/10.1080/133552600.2014.939596</w:t>
        </w:r>
      </w:hyperlink>
    </w:p>
    <w:p w14:paraId="0C68B2AD" w14:textId="77777777" w:rsidR="00245A57" w:rsidRPr="00245A57" w:rsidRDefault="00245A57" w:rsidP="00245A57">
      <w:pPr>
        <w:spacing w:after="0"/>
      </w:pPr>
    </w:p>
    <w:p w14:paraId="279B58A3" w14:textId="77777777" w:rsidR="009C1830" w:rsidRPr="00245A57" w:rsidRDefault="00CC2161" w:rsidP="00245A57">
      <w:pPr>
        <w:spacing w:after="0"/>
      </w:pPr>
      <w:r w:rsidRPr="00245A57">
        <w:t xml:space="preserve">Kwak, H. and Kim, E. K. (2022). The Role of Low Self-Control and Risky Lifestyles in Criminal Victimisation:  A Study of Adolescents inn South Korea. </w:t>
      </w:r>
      <w:r w:rsidRPr="00245A57">
        <w:rPr>
          <w:i/>
          <w:iCs/>
        </w:rPr>
        <w:t xml:space="preserve">International Journal of Environmental Research and Public Health </w:t>
      </w:r>
      <w:r w:rsidRPr="00245A57">
        <w:t xml:space="preserve">19(18), p.11500. DOI: </w:t>
      </w:r>
      <w:hyperlink r:id="rId20" w:history="1">
        <w:r w:rsidRPr="00245A57">
          <w:rPr>
            <w:rStyle w:val="Hyperlink"/>
            <w:color w:val="auto"/>
          </w:rPr>
          <w:t>https://doi.org/10.3390/ijerph191811500</w:t>
        </w:r>
      </w:hyperlink>
    </w:p>
    <w:p w14:paraId="0DA42B20" w14:textId="77777777" w:rsidR="00245A57" w:rsidRPr="00245A57" w:rsidRDefault="00245A57" w:rsidP="00245A57">
      <w:pPr>
        <w:spacing w:after="0"/>
      </w:pPr>
    </w:p>
    <w:p w14:paraId="6E173028" w14:textId="77777777" w:rsidR="00D24623" w:rsidRPr="00245A57" w:rsidRDefault="001B0DB7" w:rsidP="00245A57">
      <w:pPr>
        <w:spacing w:after="0"/>
      </w:pPr>
      <w:r w:rsidRPr="00245A57">
        <w:t xml:space="preserve">Lister, S. &amp; Rowe, M. (2016) </w:t>
      </w:r>
      <w:r w:rsidRPr="00245A57">
        <w:rPr>
          <w:i/>
        </w:rPr>
        <w:t xml:space="preserve">Accountability of Policing. </w:t>
      </w:r>
      <w:r w:rsidRPr="00245A57">
        <w:t>London: Routledge.</w:t>
      </w:r>
    </w:p>
    <w:p w14:paraId="0A9F5DF4" w14:textId="77777777" w:rsidR="00856384" w:rsidRPr="00245A57" w:rsidRDefault="00856384" w:rsidP="00245A57">
      <w:pPr>
        <w:spacing w:after="0"/>
      </w:pPr>
    </w:p>
    <w:p w14:paraId="1EE41104" w14:textId="77777777" w:rsidR="00790E09" w:rsidRPr="00245A57" w:rsidRDefault="00790E09" w:rsidP="00245A57">
      <w:pPr>
        <w:spacing w:after="0"/>
      </w:pPr>
      <w:proofErr w:type="spellStart"/>
      <w:r w:rsidRPr="00245A57">
        <w:t>MacVean</w:t>
      </w:r>
      <w:proofErr w:type="spellEnd"/>
      <w:r w:rsidRPr="00245A57">
        <w:t xml:space="preserve">, A. &amp; </w:t>
      </w:r>
      <w:proofErr w:type="spellStart"/>
      <w:r w:rsidRPr="00245A57">
        <w:t>Neyroud</w:t>
      </w:r>
      <w:proofErr w:type="spellEnd"/>
      <w:r w:rsidRPr="00245A57">
        <w:t xml:space="preserve"> P. (2012) </w:t>
      </w:r>
      <w:r w:rsidR="001B0DB7" w:rsidRPr="00245A57">
        <w:rPr>
          <w:i/>
        </w:rPr>
        <w:t xml:space="preserve">Police Ethics and Values. </w:t>
      </w:r>
      <w:r w:rsidR="001B0DB7" w:rsidRPr="00245A57">
        <w:t>London: Sage Publications.</w:t>
      </w:r>
    </w:p>
    <w:p w14:paraId="2E6D82D9" w14:textId="77777777" w:rsidR="00CC2161" w:rsidRPr="00245A57" w:rsidRDefault="00CC2161" w:rsidP="00245A57">
      <w:pPr>
        <w:tabs>
          <w:tab w:val="left" w:pos="6660"/>
        </w:tabs>
        <w:spacing w:after="0"/>
      </w:pPr>
    </w:p>
    <w:p w14:paraId="3A4181BE" w14:textId="77777777" w:rsidR="00CC2161" w:rsidRPr="00245A57" w:rsidRDefault="00CC2161" w:rsidP="00245A57">
      <w:pPr>
        <w:tabs>
          <w:tab w:val="left" w:pos="6660"/>
        </w:tabs>
        <w:spacing w:after="0"/>
      </w:pPr>
      <w:proofErr w:type="spellStart"/>
      <w:r w:rsidRPr="00245A57">
        <w:t>Maile</w:t>
      </w:r>
      <w:proofErr w:type="spellEnd"/>
      <w:r w:rsidRPr="00245A57">
        <w:t xml:space="preserve">, A., Thompson, A., McLoughlin, S. &amp; </w:t>
      </w:r>
      <w:proofErr w:type="spellStart"/>
      <w:r w:rsidRPr="00245A57">
        <w:t>Kristj</w:t>
      </w:r>
      <w:r w:rsidRPr="00245A57">
        <w:rPr>
          <w:rFonts w:cstheme="minorHAnsi"/>
        </w:rPr>
        <w:t>á</w:t>
      </w:r>
      <w:r w:rsidRPr="00245A57">
        <w:t>nsson</w:t>
      </w:r>
      <w:proofErr w:type="spellEnd"/>
      <w:r w:rsidRPr="00245A57">
        <w:t xml:space="preserve">, K. (2022) ‘The choice of deontological, virtue ethical, and consequentialist moral reasoning strategies by pre- and in-service police officers in the UK: an empirical study’, </w:t>
      </w:r>
      <w:r w:rsidRPr="00245A57">
        <w:rPr>
          <w:i/>
        </w:rPr>
        <w:t>Ethics &amp; Behaviour</w:t>
      </w:r>
      <w:r w:rsidRPr="00245A57">
        <w:t xml:space="preserve"> 33(8) pp. 637/655. DOI: </w:t>
      </w:r>
      <w:hyperlink r:id="rId21" w:history="1">
        <w:r w:rsidRPr="00245A57">
          <w:rPr>
            <w:rStyle w:val="Hyperlink"/>
            <w:color w:val="auto"/>
          </w:rPr>
          <w:t>https://doi.org/10.1080/10508422.2022.2124995</w:t>
        </w:r>
      </w:hyperlink>
      <w:r w:rsidRPr="00245A57">
        <w:t xml:space="preserve"> </w:t>
      </w:r>
    </w:p>
    <w:p w14:paraId="7E1B37BA" w14:textId="77777777" w:rsidR="00CC2161" w:rsidRPr="00245A57" w:rsidRDefault="00CC2161" w:rsidP="00245A57">
      <w:pPr>
        <w:spacing w:after="0"/>
      </w:pPr>
    </w:p>
    <w:p w14:paraId="7535D560" w14:textId="77777777" w:rsidR="00CC2161" w:rsidRPr="00245A57" w:rsidRDefault="00CC2161" w:rsidP="00245A57">
      <w:pPr>
        <w:spacing w:after="0"/>
        <w:rPr>
          <w:rFonts w:cstheme="minorHAnsi"/>
        </w:rPr>
      </w:pPr>
      <w:r w:rsidRPr="00245A57">
        <w:rPr>
          <w:rFonts w:cstheme="minorHAnsi"/>
        </w:rPr>
        <w:t xml:space="preserve">Maxfield, M. G. (1987) Lifestyle and routine activity theories of crime: Empirical studies of victimisation, delinquency, and offender decision-making. </w:t>
      </w:r>
      <w:r w:rsidRPr="00245A57">
        <w:rPr>
          <w:rFonts w:cstheme="minorHAnsi"/>
          <w:i/>
        </w:rPr>
        <w:t xml:space="preserve">Journal of Quantitative Criminology </w:t>
      </w:r>
      <w:r w:rsidRPr="00245A57">
        <w:rPr>
          <w:rFonts w:cstheme="minorHAnsi"/>
        </w:rPr>
        <w:t xml:space="preserve">3(4), pp. 275-282. DOI: </w:t>
      </w:r>
      <w:r w:rsidRPr="00245A57">
        <w:rPr>
          <w:rFonts w:cstheme="minorHAnsi"/>
          <w:spacing w:val="-5"/>
        </w:rPr>
        <w:t>https://www.jstor.org/stable/23365565</w:t>
      </w:r>
    </w:p>
    <w:p w14:paraId="2D47B8FD" w14:textId="77777777" w:rsidR="009C1830" w:rsidRPr="00245A57" w:rsidRDefault="009C1830" w:rsidP="00245A57">
      <w:pPr>
        <w:spacing w:after="0"/>
      </w:pPr>
    </w:p>
    <w:p w14:paraId="33909827" w14:textId="77777777" w:rsidR="00CC2161" w:rsidRDefault="00CC2161" w:rsidP="00245A57">
      <w:pPr>
        <w:tabs>
          <w:tab w:val="left" w:pos="6660"/>
        </w:tabs>
        <w:spacing w:after="0"/>
      </w:pPr>
      <w:proofErr w:type="spellStart"/>
      <w:r w:rsidRPr="00245A57">
        <w:t>McAlinden</w:t>
      </w:r>
      <w:proofErr w:type="spellEnd"/>
      <w:r w:rsidRPr="00245A57">
        <w:t xml:space="preserve">, A. M. (2011) ‘The </w:t>
      </w:r>
      <w:proofErr w:type="spellStart"/>
      <w:r w:rsidRPr="00245A57">
        <w:t>reintergration</w:t>
      </w:r>
      <w:proofErr w:type="spellEnd"/>
      <w:r w:rsidRPr="00245A57">
        <w:t xml:space="preserve"> of sexual offenders’ in S. </w:t>
      </w:r>
      <w:proofErr w:type="spellStart"/>
      <w:r w:rsidRPr="00245A57">
        <w:t>Farrall</w:t>
      </w:r>
      <w:proofErr w:type="spellEnd"/>
      <w:r w:rsidRPr="00245A57">
        <w:t xml:space="preserve">, M. Hough, S. </w:t>
      </w:r>
      <w:proofErr w:type="spellStart"/>
      <w:r w:rsidRPr="00245A57">
        <w:t>Maruna</w:t>
      </w:r>
      <w:proofErr w:type="spellEnd"/>
      <w:r w:rsidRPr="00245A57">
        <w:t xml:space="preserve"> &amp; R. Sparks (eds.) </w:t>
      </w:r>
      <w:r w:rsidRPr="00245A57">
        <w:rPr>
          <w:i/>
        </w:rPr>
        <w:t xml:space="preserve">Escape Routes: Contemporary Perspectives on Life After Punishment, </w:t>
      </w:r>
      <w:r w:rsidRPr="00245A57">
        <w:t>Oxon: Routledge, pp. 158-181.</w:t>
      </w:r>
    </w:p>
    <w:p w14:paraId="4D29ECA1" w14:textId="77777777" w:rsidR="00245A57" w:rsidRPr="00245A57" w:rsidRDefault="00245A57" w:rsidP="00245A57">
      <w:pPr>
        <w:tabs>
          <w:tab w:val="left" w:pos="6660"/>
        </w:tabs>
        <w:spacing w:after="0"/>
      </w:pPr>
    </w:p>
    <w:p w14:paraId="5C67BBDF" w14:textId="77777777" w:rsidR="00856384" w:rsidRDefault="00CC2161" w:rsidP="00245A57">
      <w:pPr>
        <w:spacing w:after="0"/>
      </w:pPr>
      <w:proofErr w:type="spellStart"/>
      <w:r w:rsidRPr="00245A57">
        <w:t>McNeeley</w:t>
      </w:r>
      <w:proofErr w:type="spellEnd"/>
      <w:r w:rsidRPr="00245A57">
        <w:t xml:space="preserve">, S. (2014) Lifestyle-routine activities and crime events. </w:t>
      </w:r>
      <w:r w:rsidRPr="00245A57">
        <w:rPr>
          <w:i/>
        </w:rPr>
        <w:t xml:space="preserve">Journal of Contemporary Criminal Justice </w:t>
      </w:r>
      <w:r w:rsidRPr="00245A57">
        <w:t xml:space="preserve">31(1), pp. 30-52. DOI: </w:t>
      </w:r>
      <w:hyperlink r:id="rId22" w:history="1">
        <w:r w:rsidRPr="00245A57">
          <w:rPr>
            <w:rStyle w:val="Hyperlink"/>
            <w:color w:val="auto"/>
          </w:rPr>
          <w:t>https://doi.org/10.1177/1043986214552607</w:t>
        </w:r>
      </w:hyperlink>
    </w:p>
    <w:p w14:paraId="129F3C9F" w14:textId="77777777" w:rsidR="00245A57" w:rsidRPr="00245A57" w:rsidRDefault="00245A57" w:rsidP="00245A57">
      <w:pPr>
        <w:spacing w:after="0"/>
      </w:pPr>
    </w:p>
    <w:p w14:paraId="01E554BD" w14:textId="77777777" w:rsidR="00D24623" w:rsidRPr="00245A57" w:rsidRDefault="00D46A2A" w:rsidP="00245A57">
      <w:pPr>
        <w:spacing w:after="0"/>
      </w:pPr>
      <w:r w:rsidRPr="00245A57">
        <w:t xml:space="preserve">Merry, S., Power, N., McManus, M., &amp; Alison, L. (2012) </w:t>
      </w:r>
      <w:r w:rsidR="00856384" w:rsidRPr="00245A57">
        <w:t>‘</w:t>
      </w:r>
      <w:r w:rsidRPr="00245A57">
        <w:t>Drivers of Public Trust and Confidence in Police</w:t>
      </w:r>
      <w:r w:rsidR="00D24623" w:rsidRPr="00245A57">
        <w:t xml:space="preserve"> in the UK</w:t>
      </w:r>
      <w:r w:rsidR="00856384" w:rsidRPr="00245A57">
        <w:t>’</w:t>
      </w:r>
      <w:r w:rsidRPr="00245A57">
        <w:t xml:space="preserve">, </w:t>
      </w:r>
      <w:r w:rsidRPr="00245A57">
        <w:rPr>
          <w:i/>
          <w:iCs/>
        </w:rPr>
        <w:t>International Journal of Police Science &amp; Management</w:t>
      </w:r>
      <w:r w:rsidRPr="00245A57">
        <w:t xml:space="preserve"> 14(2) pp. 118-135. DOI:</w:t>
      </w:r>
      <w:r w:rsidR="00D24623" w:rsidRPr="00245A57">
        <w:t xml:space="preserve"> </w:t>
      </w:r>
      <w:hyperlink r:id="rId23" w:history="1">
        <w:r w:rsidRPr="00245A57">
          <w:rPr>
            <w:rStyle w:val="Hyperlink"/>
            <w:color w:val="auto"/>
          </w:rPr>
          <w:t>https://doi.org/10.1350/</w:t>
        </w:r>
        <w:r w:rsidR="00D24623" w:rsidRPr="00245A57">
          <w:rPr>
            <w:rStyle w:val="Hyperlink"/>
            <w:color w:val="auto"/>
          </w:rPr>
          <w:t>ijps.2012.14.2.268</w:t>
        </w:r>
      </w:hyperlink>
    </w:p>
    <w:p w14:paraId="55F09A3F" w14:textId="77777777" w:rsidR="00856384" w:rsidRPr="00245A57" w:rsidRDefault="00856384" w:rsidP="00245A57">
      <w:pPr>
        <w:spacing w:after="0"/>
      </w:pPr>
    </w:p>
    <w:p w14:paraId="0A5A3696" w14:textId="77777777" w:rsidR="00D24623" w:rsidRPr="00245A57" w:rsidRDefault="00D24623" w:rsidP="00245A57">
      <w:pPr>
        <w:spacing w:after="0"/>
      </w:pPr>
      <w:r w:rsidRPr="00245A57">
        <w:t xml:space="preserve">Millen, F. &amp; Stevens M. (2011) </w:t>
      </w:r>
      <w:r w:rsidR="00856384" w:rsidRPr="00245A57">
        <w:t>‘</w:t>
      </w:r>
      <w:r w:rsidRPr="00245A57">
        <w:t>Policing and accountability: the working of police authorities</w:t>
      </w:r>
      <w:r w:rsidR="00856384" w:rsidRPr="00245A57">
        <w:t>’</w:t>
      </w:r>
      <w:r w:rsidRPr="00245A57">
        <w:t xml:space="preserve">, </w:t>
      </w:r>
      <w:r w:rsidRPr="00245A57">
        <w:rPr>
          <w:i/>
        </w:rPr>
        <w:t xml:space="preserve">International Journal or Research and Policy </w:t>
      </w:r>
      <w:r w:rsidRPr="00245A57">
        <w:t xml:space="preserve">21(3) pp. 265/283. DOI: </w:t>
      </w:r>
      <w:hyperlink r:id="rId24" w:history="1">
        <w:r w:rsidRPr="00245A57">
          <w:rPr>
            <w:rStyle w:val="Hyperlink"/>
            <w:color w:val="auto"/>
          </w:rPr>
          <w:t>https://doi.org/10.1080/10439463.2011.556734</w:t>
        </w:r>
      </w:hyperlink>
      <w:r w:rsidRPr="00245A57">
        <w:t xml:space="preserve"> </w:t>
      </w:r>
    </w:p>
    <w:p w14:paraId="41ECDEDA" w14:textId="77777777" w:rsidR="00D24623" w:rsidRPr="00245A57" w:rsidRDefault="00D24623" w:rsidP="00245A57">
      <w:pPr>
        <w:spacing w:after="0"/>
      </w:pPr>
    </w:p>
    <w:p w14:paraId="372E1A2D" w14:textId="77777777" w:rsidR="00CC2161" w:rsidRPr="00245A57" w:rsidRDefault="00CC2161" w:rsidP="00245A57">
      <w:pPr>
        <w:pStyle w:val="NormalWeb"/>
        <w:shd w:val="clear" w:color="auto" w:fill="FFFFFF"/>
        <w:spacing w:before="0" w:beforeAutospacing="0" w:after="0" w:afterAutospacing="0"/>
        <w:rPr>
          <w:rFonts w:asciiTheme="minorHAnsi" w:hAnsiTheme="minorHAnsi" w:cstheme="minorHAnsi"/>
          <w:sz w:val="22"/>
          <w:szCs w:val="22"/>
        </w:rPr>
      </w:pPr>
      <w:r w:rsidRPr="00245A57">
        <w:rPr>
          <w:rFonts w:asciiTheme="minorHAnsi" w:hAnsiTheme="minorHAnsi" w:cstheme="minorHAnsi"/>
          <w:sz w:val="22"/>
          <w:szCs w:val="22"/>
        </w:rPr>
        <w:t xml:space="preserve">Morgan, H., Baker, C. &amp; Coleman, J. (2022) Examining the role of partnership within sport and physical activity crime prevention and rehabilitation projects, in H. Morgan &amp; A. Parker (eds.) </w:t>
      </w:r>
      <w:r w:rsidRPr="00245A57">
        <w:rPr>
          <w:rFonts w:asciiTheme="minorHAnsi" w:hAnsiTheme="minorHAnsi" w:cstheme="minorHAnsi"/>
          <w:i/>
          <w:sz w:val="22"/>
          <w:szCs w:val="22"/>
        </w:rPr>
        <w:t xml:space="preserve">Sport, Physical Activity and Criminal Justice: Politics, Policy and Practice. </w:t>
      </w:r>
      <w:r w:rsidRPr="00245A57">
        <w:rPr>
          <w:rFonts w:asciiTheme="minorHAnsi" w:hAnsiTheme="minorHAnsi" w:cstheme="minorHAnsi"/>
          <w:sz w:val="22"/>
          <w:szCs w:val="22"/>
        </w:rPr>
        <w:t>Oxon: Routledge.</w:t>
      </w:r>
    </w:p>
    <w:p w14:paraId="7EAF0709" w14:textId="77777777" w:rsidR="00CC2161" w:rsidRPr="00245A57" w:rsidRDefault="00CC2161" w:rsidP="00245A57">
      <w:pPr>
        <w:spacing w:after="0"/>
      </w:pPr>
    </w:p>
    <w:p w14:paraId="1BADEA8B" w14:textId="77777777" w:rsidR="00CC2161" w:rsidRDefault="00CC2161" w:rsidP="00245A57">
      <w:pPr>
        <w:spacing w:after="0"/>
      </w:pPr>
      <w:r w:rsidRPr="00245A57">
        <w:t xml:space="preserve">Osgood, D. W., Wilson, J. K., O’Malley, P. M., Bachman, J. G. and Johnston L. D. (1996) Routine activities and individual deviant behaviour. </w:t>
      </w:r>
      <w:r w:rsidRPr="00245A57">
        <w:rPr>
          <w:i/>
        </w:rPr>
        <w:t xml:space="preserve">American Sociological Review </w:t>
      </w:r>
      <w:r w:rsidRPr="00245A57">
        <w:t xml:space="preserve">61(4), pp. 635-655. DOI: </w:t>
      </w:r>
      <w:hyperlink r:id="rId25" w:history="1">
        <w:r w:rsidRPr="00245A57">
          <w:rPr>
            <w:rStyle w:val="Hyperlink"/>
            <w:color w:val="auto"/>
          </w:rPr>
          <w:t>https://doi.org/10.2307/2096397</w:t>
        </w:r>
      </w:hyperlink>
      <w:r w:rsidRPr="00245A57">
        <w:t xml:space="preserve"> </w:t>
      </w:r>
    </w:p>
    <w:p w14:paraId="7A0B9D26" w14:textId="77777777" w:rsidR="00245A57" w:rsidRPr="00245A57" w:rsidRDefault="00245A57" w:rsidP="00245A57">
      <w:pPr>
        <w:spacing w:after="0"/>
      </w:pPr>
    </w:p>
    <w:p w14:paraId="2A98C606" w14:textId="77777777" w:rsidR="00CC2161" w:rsidRPr="00245A57" w:rsidRDefault="00CC2161" w:rsidP="00245A57">
      <w:pPr>
        <w:pStyle w:val="NormalWeb"/>
        <w:shd w:val="clear" w:color="auto" w:fill="FFFFFF"/>
        <w:spacing w:before="0" w:beforeAutospacing="0" w:after="0" w:afterAutospacing="0"/>
        <w:rPr>
          <w:rFonts w:asciiTheme="minorHAnsi" w:hAnsiTheme="minorHAnsi" w:cstheme="minorHAnsi"/>
          <w:sz w:val="22"/>
          <w:szCs w:val="22"/>
        </w:rPr>
      </w:pPr>
      <w:r w:rsidRPr="00245A57">
        <w:rPr>
          <w:rFonts w:asciiTheme="minorHAnsi" w:hAnsiTheme="minorHAnsi" w:cstheme="minorHAnsi"/>
          <w:sz w:val="22"/>
          <w:szCs w:val="22"/>
        </w:rPr>
        <w:t xml:space="preserve">Phillips, C., Jacobson, J., Prime, R., Carter, M. &amp; Considine, M. (2002) </w:t>
      </w:r>
      <w:r w:rsidRPr="00245A57">
        <w:rPr>
          <w:rFonts w:asciiTheme="minorHAnsi" w:hAnsiTheme="minorHAnsi" w:cstheme="minorHAnsi"/>
          <w:i/>
          <w:sz w:val="22"/>
          <w:szCs w:val="22"/>
        </w:rPr>
        <w:t>Crime and disorder reduction partnerships: round one progress.</w:t>
      </w:r>
      <w:r w:rsidRPr="00245A57">
        <w:rPr>
          <w:rFonts w:asciiTheme="minorHAnsi" w:hAnsiTheme="minorHAnsi" w:cstheme="minorHAnsi"/>
          <w:sz w:val="22"/>
          <w:szCs w:val="22"/>
        </w:rPr>
        <w:t xml:space="preserve"> Project Report. Home Office, London, UK.</w:t>
      </w:r>
    </w:p>
    <w:p w14:paraId="41F19A8A" w14:textId="77777777" w:rsidR="00CC2161" w:rsidRPr="00245A57" w:rsidRDefault="00CC2161" w:rsidP="00245A57">
      <w:pPr>
        <w:pStyle w:val="NormalWeb"/>
        <w:shd w:val="clear" w:color="auto" w:fill="FFFFFF"/>
        <w:spacing w:before="0" w:beforeAutospacing="0" w:after="0" w:afterAutospacing="0"/>
        <w:rPr>
          <w:rFonts w:asciiTheme="minorHAnsi" w:hAnsiTheme="minorHAnsi" w:cstheme="minorHAnsi"/>
          <w:sz w:val="22"/>
          <w:szCs w:val="22"/>
        </w:rPr>
      </w:pPr>
    </w:p>
    <w:p w14:paraId="6CC2691C" w14:textId="77777777" w:rsidR="00CC2161" w:rsidRPr="00245A57" w:rsidRDefault="00CC2161" w:rsidP="00245A57">
      <w:pPr>
        <w:pStyle w:val="NormalWeb"/>
        <w:shd w:val="clear" w:color="auto" w:fill="FFFFFF"/>
        <w:spacing w:before="0" w:beforeAutospacing="0" w:after="0" w:afterAutospacing="0"/>
        <w:rPr>
          <w:rFonts w:asciiTheme="minorHAnsi" w:hAnsiTheme="minorHAnsi" w:cstheme="minorHAnsi"/>
          <w:sz w:val="22"/>
          <w:szCs w:val="22"/>
        </w:rPr>
      </w:pPr>
      <w:r w:rsidRPr="00245A57">
        <w:rPr>
          <w:rFonts w:asciiTheme="minorHAnsi" w:hAnsiTheme="minorHAnsi" w:cstheme="minorHAnsi"/>
          <w:sz w:val="22"/>
          <w:szCs w:val="22"/>
        </w:rPr>
        <w:lastRenderedPageBreak/>
        <w:t xml:space="preserve">Rosenbaum, D. P. (2006) Community crime prevention: A review and synthesis of the literature. </w:t>
      </w:r>
      <w:r w:rsidRPr="00245A57">
        <w:rPr>
          <w:rFonts w:asciiTheme="minorHAnsi" w:hAnsiTheme="minorHAnsi" w:cstheme="minorHAnsi"/>
          <w:i/>
          <w:sz w:val="22"/>
          <w:szCs w:val="22"/>
        </w:rPr>
        <w:t xml:space="preserve">Justice Quarterly </w:t>
      </w:r>
      <w:r w:rsidRPr="00245A57">
        <w:rPr>
          <w:rFonts w:asciiTheme="minorHAnsi" w:hAnsiTheme="minorHAnsi" w:cstheme="minorHAnsi"/>
          <w:sz w:val="22"/>
          <w:szCs w:val="22"/>
        </w:rPr>
        <w:t xml:space="preserve">5(3), pp. 323-395. DOI: </w:t>
      </w:r>
      <w:hyperlink r:id="rId26" w:history="1">
        <w:r w:rsidRPr="00245A57">
          <w:rPr>
            <w:rStyle w:val="Hyperlink"/>
            <w:rFonts w:asciiTheme="minorHAnsi" w:hAnsiTheme="minorHAnsi" w:cstheme="minorHAnsi"/>
            <w:color w:val="auto"/>
            <w:sz w:val="22"/>
            <w:szCs w:val="22"/>
          </w:rPr>
          <w:t>https://doi.org/10.1080/07418828800089781</w:t>
        </w:r>
      </w:hyperlink>
    </w:p>
    <w:p w14:paraId="79475439" w14:textId="77777777" w:rsidR="00CC2161" w:rsidRPr="00245A57" w:rsidRDefault="00CC2161" w:rsidP="00245A57">
      <w:pPr>
        <w:spacing w:after="0"/>
      </w:pPr>
    </w:p>
    <w:p w14:paraId="4077150E" w14:textId="77777777" w:rsidR="00CC2161" w:rsidRDefault="00CC2161" w:rsidP="00245A57">
      <w:pPr>
        <w:spacing w:after="0"/>
      </w:pPr>
      <w:r w:rsidRPr="00245A57">
        <w:t xml:space="preserve">Sampson, R. J. &amp; Lauritsen, J. L. (1990) Deviant lifestyles, proximity to crime, and the offender-victim link in personal violence. </w:t>
      </w:r>
      <w:r w:rsidRPr="00245A57">
        <w:rPr>
          <w:i/>
        </w:rPr>
        <w:t xml:space="preserve">Journal of Research in Crime and Delinquency </w:t>
      </w:r>
      <w:r w:rsidRPr="00245A57">
        <w:t xml:space="preserve">27(2), pp. 101-139. DOI: </w:t>
      </w:r>
      <w:hyperlink r:id="rId27" w:history="1">
        <w:r w:rsidRPr="00245A57">
          <w:rPr>
            <w:rStyle w:val="Hyperlink"/>
            <w:color w:val="auto"/>
          </w:rPr>
          <w:t>https://doi.org/10.1177/0022427890027002002</w:t>
        </w:r>
      </w:hyperlink>
      <w:r w:rsidRPr="00245A57">
        <w:t xml:space="preserve"> </w:t>
      </w:r>
    </w:p>
    <w:p w14:paraId="336F87CA" w14:textId="77777777" w:rsidR="00245A57" w:rsidRPr="00245A57" w:rsidRDefault="00245A57" w:rsidP="00245A57">
      <w:pPr>
        <w:spacing w:after="0"/>
      </w:pPr>
    </w:p>
    <w:p w14:paraId="58B911B8" w14:textId="77777777" w:rsidR="00CC2161" w:rsidRDefault="00CC2161" w:rsidP="00245A57">
      <w:pPr>
        <w:spacing w:after="0"/>
      </w:pPr>
      <w:proofErr w:type="spellStart"/>
      <w:r w:rsidRPr="00245A57">
        <w:t>Stolzenberg</w:t>
      </w:r>
      <w:proofErr w:type="spellEnd"/>
      <w:r w:rsidRPr="00245A57">
        <w:t xml:space="preserve">, L., </w:t>
      </w:r>
      <w:proofErr w:type="spellStart"/>
      <w:r w:rsidRPr="00245A57">
        <w:t>Eitle</w:t>
      </w:r>
      <w:proofErr w:type="spellEnd"/>
      <w:r w:rsidRPr="00245A57">
        <w:t xml:space="preserve">, D. &amp; </w:t>
      </w:r>
      <w:proofErr w:type="spellStart"/>
      <w:r w:rsidRPr="00245A57">
        <w:t>D’Alessio</w:t>
      </w:r>
      <w:proofErr w:type="spellEnd"/>
      <w:r w:rsidRPr="00245A57">
        <w:t xml:space="preserve">, S. J. (2006) Race, economic inequality, and violent crime. </w:t>
      </w:r>
      <w:r w:rsidRPr="00245A57">
        <w:rPr>
          <w:i/>
        </w:rPr>
        <w:t xml:space="preserve">Journal of Criminal Justice </w:t>
      </w:r>
      <w:r w:rsidRPr="00245A57">
        <w:t xml:space="preserve">34(3), pp. 303-316. DOI: </w:t>
      </w:r>
      <w:hyperlink r:id="rId28" w:history="1">
        <w:r w:rsidRPr="00245A57">
          <w:rPr>
            <w:rStyle w:val="Hyperlink"/>
            <w:color w:val="auto"/>
          </w:rPr>
          <w:t>https://doi.org/10.1016/j.jcrimjus.2006.03.002</w:t>
        </w:r>
      </w:hyperlink>
      <w:r w:rsidRPr="00245A57">
        <w:t xml:space="preserve"> </w:t>
      </w:r>
    </w:p>
    <w:p w14:paraId="4EE9A8AB" w14:textId="77777777" w:rsidR="00245A57" w:rsidRPr="00245A57" w:rsidRDefault="00245A57" w:rsidP="00245A57">
      <w:pPr>
        <w:spacing w:after="0"/>
      </w:pPr>
    </w:p>
    <w:p w14:paraId="74F88661" w14:textId="77777777" w:rsidR="00CC2161" w:rsidRPr="00245A57" w:rsidRDefault="00CC2161" w:rsidP="00245A57">
      <w:pPr>
        <w:spacing w:after="0"/>
      </w:pPr>
      <w:r w:rsidRPr="00245A57">
        <w:t xml:space="preserve">Van </w:t>
      </w:r>
      <w:proofErr w:type="spellStart"/>
      <w:r w:rsidRPr="00245A57">
        <w:t>Wilsem</w:t>
      </w:r>
      <w:proofErr w:type="spellEnd"/>
      <w:r w:rsidRPr="00245A57">
        <w:t xml:space="preserve">, J. </w:t>
      </w:r>
      <w:proofErr w:type="spellStart"/>
      <w:r w:rsidRPr="00245A57">
        <w:t>Wittebrood</w:t>
      </w:r>
      <w:proofErr w:type="spellEnd"/>
      <w:r w:rsidRPr="00245A57">
        <w:t xml:space="preserve">, K. and De Graff, N.D. (2006). Socioeconomic Dynamics of Neighbourhoods and the Risk of Crime Victimisation: A Multilevel Study of Improving, Declining and Stable Areas in the Netherlands. </w:t>
      </w:r>
      <w:r w:rsidRPr="00245A57">
        <w:rPr>
          <w:i/>
          <w:iCs/>
        </w:rPr>
        <w:t xml:space="preserve">Social Problems, </w:t>
      </w:r>
      <w:r w:rsidRPr="00245A57">
        <w:t xml:space="preserve">53(2), pp.226-247. DOI: </w:t>
      </w:r>
      <w:hyperlink r:id="rId29" w:history="1">
        <w:r w:rsidRPr="00245A57">
          <w:rPr>
            <w:rStyle w:val="Hyperlink"/>
            <w:color w:val="auto"/>
          </w:rPr>
          <w:t>https://doi.org/10.1525/sp.2006.53.2.226</w:t>
        </w:r>
      </w:hyperlink>
      <w:r w:rsidRPr="00245A57">
        <w:t xml:space="preserve">  </w:t>
      </w:r>
    </w:p>
    <w:p w14:paraId="7D482468" w14:textId="77777777" w:rsidR="00CC2161" w:rsidRPr="00245A57" w:rsidRDefault="00CC2161" w:rsidP="00245A57">
      <w:pPr>
        <w:spacing w:after="0"/>
      </w:pPr>
    </w:p>
    <w:p w14:paraId="53A99CA5" w14:textId="77777777" w:rsidR="009C1830" w:rsidRDefault="009C1830" w:rsidP="00245A57">
      <w:pPr>
        <w:spacing w:after="0"/>
        <w:rPr>
          <w:rStyle w:val="Hyperlink"/>
          <w:color w:val="auto"/>
        </w:rPr>
      </w:pPr>
      <w:r w:rsidRPr="00245A57">
        <w:t xml:space="preserve">Ward, T., Collie, R. M. &amp; Bourke, P. (2009) ‘Models of offender rehabilitation: The good lives model and the risk-need-responsivity model’ in A. R. Beech, L. A. Craig, K. D. Browne (eds.) </w:t>
      </w:r>
      <w:r w:rsidRPr="00245A57">
        <w:rPr>
          <w:i/>
        </w:rPr>
        <w:t xml:space="preserve">Assessment and Treatment of Sex Offenders: A Handbook </w:t>
      </w:r>
      <w:r w:rsidRPr="00245A57">
        <w:t xml:space="preserve">DOI: </w:t>
      </w:r>
      <w:hyperlink r:id="rId30" w:history="1">
        <w:r w:rsidRPr="00245A57">
          <w:rPr>
            <w:rStyle w:val="Hyperlink"/>
            <w:color w:val="auto"/>
          </w:rPr>
          <w:t>https://doi.org/10.1002/9780470714362.ch16</w:t>
        </w:r>
      </w:hyperlink>
    </w:p>
    <w:p w14:paraId="2CEB5151" w14:textId="77777777" w:rsidR="00245A57" w:rsidRPr="00245A57" w:rsidRDefault="00245A57" w:rsidP="00245A57">
      <w:pPr>
        <w:spacing w:after="0"/>
        <w:rPr>
          <w:rStyle w:val="Hyperlink"/>
          <w:color w:val="auto"/>
        </w:rPr>
      </w:pPr>
    </w:p>
    <w:p w14:paraId="5A9B4F11" w14:textId="77777777" w:rsidR="00CC2161" w:rsidRPr="00245A57" w:rsidRDefault="00CC2161" w:rsidP="00245A57">
      <w:pPr>
        <w:spacing w:after="0"/>
      </w:pPr>
      <w:r w:rsidRPr="00245A57">
        <w:t xml:space="preserve">Wilson, C. (2011) Managing the problem: Working with people convicted of sexual offences, in S. </w:t>
      </w:r>
      <w:proofErr w:type="spellStart"/>
      <w:r w:rsidRPr="00245A57">
        <w:t>Hanvey</w:t>
      </w:r>
      <w:proofErr w:type="spellEnd"/>
      <w:r w:rsidRPr="00245A57">
        <w:t xml:space="preserve">, T. Philpot &amp; C. Wilson (eds.) </w:t>
      </w:r>
      <w:r w:rsidRPr="00245A57">
        <w:rPr>
          <w:i/>
        </w:rPr>
        <w:t xml:space="preserve">a Community Based Approach to the Reduction of Sexual Reoffending, </w:t>
      </w:r>
      <w:r w:rsidRPr="00245A57">
        <w:t>pp. 45-57. London: Jessica Kingsley Publishers.</w:t>
      </w:r>
    </w:p>
    <w:p w14:paraId="13351353" w14:textId="77777777" w:rsidR="00CC2161" w:rsidRPr="00245A57" w:rsidRDefault="00CC2161" w:rsidP="00245A57">
      <w:pPr>
        <w:spacing w:after="0"/>
      </w:pPr>
    </w:p>
    <w:p w14:paraId="763309F3" w14:textId="77777777" w:rsidR="00CC2161" w:rsidRPr="00245A57" w:rsidRDefault="00CC2161" w:rsidP="00245A57">
      <w:pPr>
        <w:spacing w:after="0"/>
      </w:pPr>
      <w:proofErr w:type="spellStart"/>
      <w:r w:rsidRPr="00245A57">
        <w:t>Wittebrood</w:t>
      </w:r>
      <w:proofErr w:type="spellEnd"/>
      <w:r w:rsidRPr="00245A57">
        <w:t xml:space="preserve">, K. &amp; </w:t>
      </w:r>
      <w:proofErr w:type="spellStart"/>
      <w:r w:rsidRPr="00245A57">
        <w:t>Nieuwbeerta</w:t>
      </w:r>
      <w:proofErr w:type="spellEnd"/>
      <w:r w:rsidRPr="00245A57">
        <w:t xml:space="preserve">, P. (1999) Wages of sin? The link between offending, </w:t>
      </w:r>
      <w:proofErr w:type="gramStart"/>
      <w:r w:rsidRPr="00245A57">
        <w:t>lifestyle</w:t>
      </w:r>
      <w:proofErr w:type="gramEnd"/>
      <w:r w:rsidRPr="00245A57">
        <w:t xml:space="preserve"> and violent victimisation. </w:t>
      </w:r>
      <w:r w:rsidRPr="00245A57">
        <w:rPr>
          <w:i/>
        </w:rPr>
        <w:t xml:space="preserve">European Journal on Criminal Policy and Research, </w:t>
      </w:r>
      <w:r w:rsidRPr="00245A57">
        <w:t xml:space="preserve">7, pp. 63-80. DOI: </w:t>
      </w:r>
      <w:hyperlink r:id="rId31" w:history="1">
        <w:r w:rsidRPr="00245A57">
          <w:rPr>
            <w:rStyle w:val="Hyperlink"/>
            <w:rFonts w:cstheme="minorHAnsi"/>
            <w:color w:val="auto"/>
            <w:shd w:val="clear" w:color="auto" w:fill="FFFFFF"/>
          </w:rPr>
          <w:t>https://doi.org/10.1023/A:1008736114804</w:t>
        </w:r>
      </w:hyperlink>
      <w:r w:rsidRPr="00245A57">
        <w:rPr>
          <w:rFonts w:cstheme="minorHAnsi"/>
          <w:shd w:val="clear" w:color="auto" w:fill="FFFFFF"/>
        </w:rPr>
        <w:t xml:space="preserve"> </w:t>
      </w:r>
    </w:p>
    <w:p w14:paraId="1F11B554" w14:textId="77777777" w:rsidR="00CC2161" w:rsidRPr="00245A57" w:rsidRDefault="00CC2161" w:rsidP="00245A57">
      <w:pPr>
        <w:spacing w:after="0"/>
      </w:pPr>
    </w:p>
    <w:p w14:paraId="05660959" w14:textId="77777777" w:rsidR="009C1830" w:rsidRPr="00245A57" w:rsidRDefault="009C1830" w:rsidP="00245A57">
      <w:pPr>
        <w:spacing w:after="0"/>
      </w:pPr>
    </w:p>
    <w:p w14:paraId="368146CB" w14:textId="77777777" w:rsidR="00FD72AF" w:rsidRPr="00245A57" w:rsidRDefault="00FD72AF" w:rsidP="00245A57">
      <w:pPr>
        <w:spacing w:after="0"/>
      </w:pPr>
    </w:p>
    <w:sectPr w:rsidR="00FD72AF" w:rsidRPr="00245A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751AD"/>
    <w:multiLevelType w:val="multilevel"/>
    <w:tmpl w:val="301E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4B2F6D"/>
    <w:multiLevelType w:val="multilevel"/>
    <w:tmpl w:val="26DE9F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622087">
    <w:abstractNumId w:val="1"/>
  </w:num>
  <w:num w:numId="2" w16cid:durableId="1896775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4021"/>
    <w:rsid w:val="00025692"/>
    <w:rsid w:val="000318DB"/>
    <w:rsid w:val="000F52A7"/>
    <w:rsid w:val="001259BA"/>
    <w:rsid w:val="00185107"/>
    <w:rsid w:val="001B0DB7"/>
    <w:rsid w:val="00245A57"/>
    <w:rsid w:val="002A041F"/>
    <w:rsid w:val="002B0BFB"/>
    <w:rsid w:val="00301441"/>
    <w:rsid w:val="003B62AF"/>
    <w:rsid w:val="003C6070"/>
    <w:rsid w:val="003D6C63"/>
    <w:rsid w:val="004C257A"/>
    <w:rsid w:val="005020A2"/>
    <w:rsid w:val="00527629"/>
    <w:rsid w:val="00587373"/>
    <w:rsid w:val="005B3D69"/>
    <w:rsid w:val="006C749E"/>
    <w:rsid w:val="007553CC"/>
    <w:rsid w:val="007858BF"/>
    <w:rsid w:val="00790E09"/>
    <w:rsid w:val="0081702E"/>
    <w:rsid w:val="00856384"/>
    <w:rsid w:val="00857763"/>
    <w:rsid w:val="008A3C91"/>
    <w:rsid w:val="00945B59"/>
    <w:rsid w:val="00952B05"/>
    <w:rsid w:val="009C1830"/>
    <w:rsid w:val="009E4A46"/>
    <w:rsid w:val="00AD3113"/>
    <w:rsid w:val="00B87F28"/>
    <w:rsid w:val="00BA46CF"/>
    <w:rsid w:val="00C03001"/>
    <w:rsid w:val="00CA4021"/>
    <w:rsid w:val="00CC2161"/>
    <w:rsid w:val="00D24623"/>
    <w:rsid w:val="00D46A2A"/>
    <w:rsid w:val="00DF21DE"/>
    <w:rsid w:val="00E45ABC"/>
    <w:rsid w:val="00FD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FE19"/>
  <w15:docId w15:val="{10D2070E-A3A3-416F-92ED-39AE031F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02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402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A4021"/>
    <w:rPr>
      <w:rFonts w:ascii="Calibri" w:hAnsi="Calibri"/>
      <w:szCs w:val="21"/>
    </w:rPr>
  </w:style>
  <w:style w:type="character" w:styleId="Hyperlink">
    <w:name w:val="Hyperlink"/>
    <w:basedOn w:val="DefaultParagraphFont"/>
    <w:uiPriority w:val="99"/>
    <w:unhideWhenUsed/>
    <w:rsid w:val="00FD72AF"/>
    <w:rPr>
      <w:color w:val="0000FF" w:themeColor="hyperlink"/>
      <w:u w:val="single"/>
    </w:rPr>
  </w:style>
  <w:style w:type="character" w:customStyle="1" w:styleId="authorname">
    <w:name w:val="authorname"/>
    <w:basedOn w:val="DefaultParagraphFont"/>
    <w:rsid w:val="00790E09"/>
  </w:style>
  <w:style w:type="character" w:customStyle="1" w:styleId="separator">
    <w:name w:val="separator"/>
    <w:basedOn w:val="DefaultParagraphFont"/>
    <w:rsid w:val="00790E09"/>
  </w:style>
  <w:style w:type="character" w:customStyle="1" w:styleId="Date1">
    <w:name w:val="Date1"/>
    <w:basedOn w:val="DefaultParagraphFont"/>
    <w:rsid w:val="00790E09"/>
  </w:style>
  <w:style w:type="character" w:customStyle="1" w:styleId="arttitle">
    <w:name w:val="art_title"/>
    <w:basedOn w:val="DefaultParagraphFont"/>
    <w:rsid w:val="00790E09"/>
  </w:style>
  <w:style w:type="character" w:customStyle="1" w:styleId="serialtitle">
    <w:name w:val="serial_title"/>
    <w:basedOn w:val="DefaultParagraphFont"/>
    <w:rsid w:val="00790E09"/>
  </w:style>
  <w:style w:type="character" w:customStyle="1" w:styleId="volumeissue">
    <w:name w:val="volume_issue"/>
    <w:basedOn w:val="DefaultParagraphFont"/>
    <w:rsid w:val="00790E09"/>
  </w:style>
  <w:style w:type="character" w:customStyle="1" w:styleId="pagerange">
    <w:name w:val="page_range"/>
    <w:basedOn w:val="DefaultParagraphFont"/>
    <w:rsid w:val="00790E09"/>
  </w:style>
  <w:style w:type="character" w:customStyle="1" w:styleId="doilink">
    <w:name w:val="doi_link"/>
    <w:basedOn w:val="DefaultParagraphFont"/>
    <w:rsid w:val="00790E09"/>
  </w:style>
  <w:style w:type="paragraph" w:styleId="NoSpacing">
    <w:name w:val="No Spacing"/>
    <w:uiPriority w:val="1"/>
    <w:qFormat/>
    <w:rsid w:val="009C1830"/>
    <w:pPr>
      <w:spacing w:after="0" w:line="240" w:lineRule="auto"/>
    </w:pPr>
  </w:style>
  <w:style w:type="character" w:styleId="FollowedHyperlink">
    <w:name w:val="FollowedHyperlink"/>
    <w:basedOn w:val="DefaultParagraphFont"/>
    <w:uiPriority w:val="99"/>
    <w:semiHidden/>
    <w:unhideWhenUsed/>
    <w:rsid w:val="00CC2161"/>
    <w:rPr>
      <w:color w:val="800080" w:themeColor="followedHyperlink"/>
      <w:u w:val="single"/>
    </w:rPr>
  </w:style>
  <w:style w:type="paragraph" w:styleId="NormalWeb">
    <w:name w:val="Normal (Web)"/>
    <w:basedOn w:val="Normal"/>
    <w:uiPriority w:val="99"/>
    <w:unhideWhenUsed/>
    <w:rsid w:val="00CC2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bibliographic-informationvalue">
    <w:name w:val="c-bibliographic-information__value"/>
    <w:basedOn w:val="DefaultParagraphFont"/>
    <w:rsid w:val="00CC2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BF01308442" TargetMode="External"/><Relationship Id="rId13" Type="http://schemas.openxmlformats.org/officeDocument/2006/relationships/hyperlink" Target="https://doi.org/10.1080/14786010701617698" TargetMode="External"/><Relationship Id="rId18" Type="http://schemas.openxmlformats.org/officeDocument/2006/relationships/hyperlink" Target="https://doi.org/10.1002/9780470714362.ch28" TargetMode="External"/><Relationship Id="rId26" Type="http://schemas.openxmlformats.org/officeDocument/2006/relationships/hyperlink" Target="https://doi.org/10.1080/07418828800089781" TargetMode="External"/><Relationship Id="rId3" Type="http://schemas.openxmlformats.org/officeDocument/2006/relationships/settings" Target="settings.xml"/><Relationship Id="rId21" Type="http://schemas.openxmlformats.org/officeDocument/2006/relationships/hyperlink" Target="https://doi.org/10.1080/10508422.2022.2124995" TargetMode="External"/><Relationship Id="rId7" Type="http://schemas.openxmlformats.org/officeDocument/2006/relationships/hyperlink" Target="https://www.college.police.uk/ethics/code-of-ethics" TargetMode="External"/><Relationship Id="rId12" Type="http://schemas.openxmlformats.org/officeDocument/2006/relationships/hyperlink" Target="https://doi.org/10.1300/J076v32n03_03" TargetMode="External"/><Relationship Id="rId17" Type="http://schemas.openxmlformats.org/officeDocument/2006/relationships/hyperlink" Target="https://doi.org/10.1080/15564886.2010.509651" TargetMode="External"/><Relationship Id="rId25" Type="http://schemas.openxmlformats.org/officeDocument/2006/relationships/hyperlink" Target="https://doi.org/10.2307/209639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23/A:1013103623175" TargetMode="External"/><Relationship Id="rId20" Type="http://schemas.openxmlformats.org/officeDocument/2006/relationships/hyperlink" Target="https://doi.org/10.3390/ijerph191811500" TargetMode="External"/><Relationship Id="rId29" Type="http://schemas.openxmlformats.org/officeDocument/2006/relationships/hyperlink" Target="https://doi.org/10.1525/sp.2006.53.2.226" TargetMode="External"/><Relationship Id="rId1" Type="http://schemas.openxmlformats.org/officeDocument/2006/relationships/numbering" Target="numbering.xml"/><Relationship Id="rId6" Type="http://schemas.openxmlformats.org/officeDocument/2006/relationships/hyperlink" Target="https://doi.org/10.1146/annurev-soc031021-123710" TargetMode="External"/><Relationship Id="rId11" Type="http://schemas.openxmlformats.org/officeDocument/2006/relationships/hyperlink" Target="https://doi.org/10.1371/journal.pone.0233034" TargetMode="External"/><Relationship Id="rId24" Type="http://schemas.openxmlformats.org/officeDocument/2006/relationships/hyperlink" Target="https://doi.org/10.1080/10439463.2011.556734" TargetMode="External"/><Relationship Id="rId32" Type="http://schemas.openxmlformats.org/officeDocument/2006/relationships/fontTable" Target="fontTable.xml"/><Relationship Id="rId5" Type="http://schemas.openxmlformats.org/officeDocument/2006/relationships/hyperlink" Target="https://doi.org/10.1108/IJPSM-12-2011-0131" TargetMode="External"/><Relationship Id="rId15" Type="http://schemas.openxmlformats.org/officeDocument/2006/relationships/hyperlink" Target="https://doi.org/10.1177/0032258X16641426" TargetMode="External"/><Relationship Id="rId23" Type="http://schemas.openxmlformats.org/officeDocument/2006/relationships/hyperlink" Target="https://doi.org/10.1350/ijps.2012.14.2.268" TargetMode="External"/><Relationship Id="rId28" Type="http://schemas.openxmlformats.org/officeDocument/2006/relationships/hyperlink" Target="https://doi.org/10.1016/j.jcrimjus.2006.03.002" TargetMode="External"/><Relationship Id="rId10" Type="http://schemas.openxmlformats.org/officeDocument/2006/relationships/hyperlink" Target="https://doi" TargetMode="External"/><Relationship Id="rId19" Type="http://schemas.openxmlformats.org/officeDocument/2006/relationships/hyperlink" Target="https://doi.org/10.1080/133552600.2014.939596" TargetMode="External"/><Relationship Id="rId31" Type="http://schemas.openxmlformats.org/officeDocument/2006/relationships/hyperlink" Target="https://doi.org/10.1023/A:1008736114804" TargetMode="External"/><Relationship Id="rId4" Type="http://schemas.openxmlformats.org/officeDocument/2006/relationships/webSettings" Target="webSettings.xml"/><Relationship Id="rId9" Type="http://schemas.openxmlformats.org/officeDocument/2006/relationships/hyperlink" Target="https://doi/10.3316/informit.775756308532845" TargetMode="External"/><Relationship Id="rId14" Type="http://schemas.openxmlformats.org/officeDocument/2006/relationships/hyperlink" Target="https://doi.org/10.1080/01900690701590835" TargetMode="External"/><Relationship Id="rId22" Type="http://schemas.openxmlformats.org/officeDocument/2006/relationships/hyperlink" Target="https://doi.org/10.1177/1043986214552607" TargetMode="External"/><Relationship Id="rId27" Type="http://schemas.openxmlformats.org/officeDocument/2006/relationships/hyperlink" Target="https://doi.org/10.1177/0022427890027002002" TargetMode="External"/><Relationship Id="rId30" Type="http://schemas.openxmlformats.org/officeDocument/2006/relationships/hyperlink" Target="https://doi.org/10.1002/9780470714362.ch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5725</Words>
  <Characters>32637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Teri</dc:creator>
  <cp:lastModifiedBy>Oliver, Alan</cp:lastModifiedBy>
  <cp:revision>4</cp:revision>
  <dcterms:created xsi:type="dcterms:W3CDTF">2023-12-10T17:04:00Z</dcterms:created>
  <dcterms:modified xsi:type="dcterms:W3CDTF">2023-12-10T17:27:00Z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2023-12-10T17:04:21Z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3ab77f71-858e-4cd2-945c-e4ff264a9b16</vt:lpwstr>
  </property>
  <property fmtid="{D5CDD505-2E9C-101B-9397-08002B2CF9AE}" pid="8" name="MSIP_Label_f2acd28b-79a3-4a0f-b0ff-4b75658b1549_ContentBits">
    <vt:lpwstr>0</vt:lpwstr>
  </property>
</Properties>
</file>