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7750A" w:rsidRDefault="0077750A">
      <w:pPr>
        <w:pStyle w:val="Normal1"/>
        <w:spacing w:line="360" w:lineRule="auto"/>
        <w:jc w:val="center"/>
        <w:rPr>
          <w:rFonts w:ascii="Times New Roman" w:eastAsia="Times New Roman" w:hAnsi="Times New Roman" w:cs="Times New Roman"/>
          <w:b/>
          <w:sz w:val="32"/>
          <w:szCs w:val="32"/>
        </w:rPr>
      </w:pPr>
    </w:p>
    <w:p w14:paraId="00000002" w14:textId="77777777" w:rsidR="0077750A" w:rsidRDefault="0077750A">
      <w:pPr>
        <w:pStyle w:val="Normal1"/>
        <w:spacing w:line="360" w:lineRule="auto"/>
        <w:jc w:val="center"/>
        <w:rPr>
          <w:rFonts w:ascii="Times New Roman" w:eastAsia="Times New Roman" w:hAnsi="Times New Roman" w:cs="Times New Roman"/>
          <w:b/>
          <w:sz w:val="32"/>
          <w:szCs w:val="32"/>
        </w:rPr>
      </w:pPr>
    </w:p>
    <w:p w14:paraId="00000003" w14:textId="77777777" w:rsidR="0077750A" w:rsidRDefault="0077750A">
      <w:pPr>
        <w:pStyle w:val="Normal1"/>
        <w:spacing w:line="360" w:lineRule="auto"/>
        <w:jc w:val="center"/>
        <w:rPr>
          <w:rFonts w:ascii="Times New Roman" w:eastAsia="Times New Roman" w:hAnsi="Times New Roman" w:cs="Times New Roman"/>
          <w:b/>
          <w:sz w:val="32"/>
          <w:szCs w:val="32"/>
        </w:rPr>
      </w:pPr>
    </w:p>
    <w:p w14:paraId="00000004" w14:textId="77777777" w:rsidR="0077750A" w:rsidRDefault="0077750A">
      <w:pPr>
        <w:pStyle w:val="Normal1"/>
        <w:spacing w:line="360" w:lineRule="auto"/>
        <w:jc w:val="center"/>
        <w:rPr>
          <w:rFonts w:ascii="Times New Roman" w:eastAsia="Times New Roman" w:hAnsi="Times New Roman" w:cs="Times New Roman"/>
          <w:b/>
          <w:sz w:val="32"/>
          <w:szCs w:val="32"/>
        </w:rPr>
      </w:pPr>
    </w:p>
    <w:p w14:paraId="00000005" w14:textId="77777777" w:rsidR="0077750A" w:rsidRDefault="0077750A">
      <w:pPr>
        <w:pStyle w:val="Normal1"/>
        <w:spacing w:line="360" w:lineRule="auto"/>
        <w:jc w:val="center"/>
        <w:rPr>
          <w:rFonts w:ascii="Times New Roman" w:eastAsia="Times New Roman" w:hAnsi="Times New Roman" w:cs="Times New Roman"/>
          <w:b/>
          <w:sz w:val="32"/>
          <w:szCs w:val="32"/>
        </w:rPr>
      </w:pPr>
    </w:p>
    <w:p w14:paraId="00000006" w14:textId="77777777" w:rsidR="0077750A" w:rsidRDefault="0077750A">
      <w:pPr>
        <w:pStyle w:val="Normal1"/>
        <w:spacing w:line="360" w:lineRule="auto"/>
        <w:jc w:val="center"/>
        <w:rPr>
          <w:rFonts w:ascii="Times New Roman" w:eastAsia="Times New Roman" w:hAnsi="Times New Roman" w:cs="Times New Roman"/>
          <w:b/>
          <w:sz w:val="32"/>
          <w:szCs w:val="32"/>
        </w:rPr>
      </w:pPr>
    </w:p>
    <w:p w14:paraId="00000007" w14:textId="77777777" w:rsidR="0077750A" w:rsidRDefault="0077750A">
      <w:pPr>
        <w:pStyle w:val="Normal1"/>
        <w:spacing w:line="360" w:lineRule="auto"/>
        <w:jc w:val="center"/>
        <w:rPr>
          <w:rFonts w:ascii="Times New Roman" w:eastAsia="Times New Roman" w:hAnsi="Times New Roman" w:cs="Times New Roman"/>
          <w:b/>
          <w:sz w:val="32"/>
          <w:szCs w:val="32"/>
        </w:rPr>
      </w:pPr>
    </w:p>
    <w:p w14:paraId="00000008" w14:textId="77777777" w:rsidR="0077750A"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32"/>
          <w:szCs w:val="32"/>
        </w:rPr>
        <w:t>DIMINISHED RESPONSIBILITY</w:t>
      </w:r>
      <w:r>
        <w:br w:type="page"/>
      </w:r>
    </w:p>
    <w:sdt>
      <w:sdtPr>
        <w:id w:val="2024973594"/>
        <w:docPartObj>
          <w:docPartGallery w:val="Table of Contents"/>
          <w:docPartUnique/>
        </w:docPartObj>
      </w:sdtPr>
      <w:sdtEndPr>
        <w:rPr>
          <w:rFonts w:ascii="Arial" w:eastAsia="Arial" w:hAnsi="Arial" w:cs="Arial"/>
          <w:b/>
          <w:bCs/>
          <w:noProof/>
          <w:color w:val="auto"/>
          <w:sz w:val="22"/>
          <w:szCs w:val="22"/>
          <w:lang w:val=""/>
        </w:rPr>
      </w:sdtEndPr>
      <w:sdtContent>
        <w:p w14:paraId="3B8623DE" w14:textId="1C8F310D" w:rsidR="00212ED5" w:rsidRPr="00212ED5" w:rsidRDefault="00212ED5" w:rsidP="00212ED5">
          <w:pPr>
            <w:pStyle w:val="TOCHeading"/>
            <w:spacing w:line="360" w:lineRule="auto"/>
            <w:jc w:val="center"/>
            <w:rPr>
              <w:rFonts w:ascii="Times New Roman" w:hAnsi="Times New Roman" w:cs="Times New Roman"/>
              <w:b/>
              <w:bCs/>
              <w:color w:val="000000" w:themeColor="text1"/>
              <w:sz w:val="24"/>
              <w:szCs w:val="24"/>
            </w:rPr>
          </w:pPr>
          <w:r w:rsidRPr="00212ED5">
            <w:rPr>
              <w:rFonts w:ascii="Times New Roman" w:hAnsi="Times New Roman" w:cs="Times New Roman"/>
              <w:b/>
              <w:bCs/>
              <w:color w:val="000000" w:themeColor="text1"/>
              <w:sz w:val="24"/>
              <w:szCs w:val="24"/>
            </w:rPr>
            <w:t>Table of Contents</w:t>
          </w:r>
        </w:p>
        <w:p w14:paraId="7E4DB042" w14:textId="2949BEEA" w:rsidR="00212ED5" w:rsidRPr="00212ED5" w:rsidRDefault="00212ED5" w:rsidP="00212ED5">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212ED5">
            <w:rPr>
              <w:rFonts w:ascii="Times New Roman" w:hAnsi="Times New Roman" w:cs="Times New Roman"/>
              <w:color w:val="000000" w:themeColor="text1"/>
              <w:sz w:val="24"/>
              <w:szCs w:val="24"/>
            </w:rPr>
            <w:fldChar w:fldCharType="begin"/>
          </w:r>
          <w:r w:rsidRPr="00212ED5">
            <w:rPr>
              <w:rFonts w:ascii="Times New Roman" w:hAnsi="Times New Roman" w:cs="Times New Roman"/>
              <w:color w:val="000000" w:themeColor="text1"/>
              <w:sz w:val="24"/>
              <w:szCs w:val="24"/>
            </w:rPr>
            <w:instrText xml:space="preserve"> TOC \o "1-3" \h \z \u </w:instrText>
          </w:r>
          <w:r w:rsidRPr="00212ED5">
            <w:rPr>
              <w:rFonts w:ascii="Times New Roman" w:hAnsi="Times New Roman" w:cs="Times New Roman"/>
              <w:color w:val="000000" w:themeColor="text1"/>
              <w:sz w:val="24"/>
              <w:szCs w:val="24"/>
            </w:rPr>
            <w:fldChar w:fldCharType="separate"/>
          </w:r>
          <w:hyperlink w:anchor="_Toc129188347" w:history="1">
            <w:r w:rsidRPr="00212ED5">
              <w:rPr>
                <w:rStyle w:val="Hyperlink"/>
                <w:rFonts w:ascii="Times New Roman" w:hAnsi="Times New Roman" w:cs="Times New Roman"/>
                <w:noProof/>
                <w:color w:val="000000" w:themeColor="text1"/>
                <w:sz w:val="24"/>
                <w:szCs w:val="24"/>
              </w:rPr>
              <w:t>Introduction</w:t>
            </w:r>
            <w:r w:rsidRPr="00212ED5">
              <w:rPr>
                <w:rFonts w:ascii="Times New Roman" w:hAnsi="Times New Roman" w:cs="Times New Roman"/>
                <w:noProof/>
                <w:webHidden/>
                <w:color w:val="000000" w:themeColor="text1"/>
                <w:sz w:val="24"/>
                <w:szCs w:val="24"/>
              </w:rPr>
              <w:tab/>
            </w:r>
            <w:r w:rsidRPr="00212ED5">
              <w:rPr>
                <w:rFonts w:ascii="Times New Roman" w:hAnsi="Times New Roman" w:cs="Times New Roman"/>
                <w:noProof/>
                <w:webHidden/>
                <w:color w:val="000000" w:themeColor="text1"/>
                <w:sz w:val="24"/>
                <w:szCs w:val="24"/>
              </w:rPr>
              <w:fldChar w:fldCharType="begin"/>
            </w:r>
            <w:r w:rsidRPr="00212ED5">
              <w:rPr>
                <w:rFonts w:ascii="Times New Roman" w:hAnsi="Times New Roman" w:cs="Times New Roman"/>
                <w:noProof/>
                <w:webHidden/>
                <w:color w:val="000000" w:themeColor="text1"/>
                <w:sz w:val="24"/>
                <w:szCs w:val="24"/>
              </w:rPr>
              <w:instrText xml:space="preserve"> PAGEREF _Toc129188347 \h </w:instrText>
            </w:r>
            <w:r w:rsidRPr="00212ED5">
              <w:rPr>
                <w:rFonts w:ascii="Times New Roman" w:hAnsi="Times New Roman" w:cs="Times New Roman"/>
                <w:noProof/>
                <w:webHidden/>
                <w:color w:val="000000" w:themeColor="text1"/>
                <w:sz w:val="24"/>
                <w:szCs w:val="24"/>
              </w:rPr>
            </w:r>
            <w:r w:rsidRPr="00212ED5">
              <w:rPr>
                <w:rFonts w:ascii="Times New Roman" w:hAnsi="Times New Roman" w:cs="Times New Roman"/>
                <w:noProof/>
                <w:webHidden/>
                <w:color w:val="000000" w:themeColor="text1"/>
                <w:sz w:val="24"/>
                <w:szCs w:val="24"/>
              </w:rPr>
              <w:fldChar w:fldCharType="separate"/>
            </w:r>
            <w:r w:rsidRPr="00212ED5">
              <w:rPr>
                <w:rFonts w:ascii="Times New Roman" w:hAnsi="Times New Roman" w:cs="Times New Roman"/>
                <w:noProof/>
                <w:webHidden/>
                <w:color w:val="000000" w:themeColor="text1"/>
                <w:sz w:val="24"/>
                <w:szCs w:val="24"/>
              </w:rPr>
              <w:t>3</w:t>
            </w:r>
            <w:r w:rsidRPr="00212ED5">
              <w:rPr>
                <w:rFonts w:ascii="Times New Roman" w:hAnsi="Times New Roman" w:cs="Times New Roman"/>
                <w:noProof/>
                <w:webHidden/>
                <w:color w:val="000000" w:themeColor="text1"/>
                <w:sz w:val="24"/>
                <w:szCs w:val="24"/>
              </w:rPr>
              <w:fldChar w:fldCharType="end"/>
            </w:r>
          </w:hyperlink>
        </w:p>
        <w:p w14:paraId="056FC3C6" w14:textId="69B326CD" w:rsidR="00212ED5" w:rsidRPr="00212ED5" w:rsidRDefault="00212ED5" w:rsidP="00212ED5">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29188348" w:history="1">
            <w:r w:rsidRPr="00212ED5">
              <w:rPr>
                <w:rStyle w:val="Hyperlink"/>
                <w:rFonts w:ascii="Times New Roman" w:hAnsi="Times New Roman" w:cs="Times New Roman"/>
                <w:noProof/>
                <w:color w:val="000000" w:themeColor="text1"/>
                <w:sz w:val="24"/>
                <w:szCs w:val="24"/>
              </w:rPr>
              <w:t>Main body</w:t>
            </w:r>
            <w:r w:rsidRPr="00212ED5">
              <w:rPr>
                <w:rFonts w:ascii="Times New Roman" w:hAnsi="Times New Roman" w:cs="Times New Roman"/>
                <w:noProof/>
                <w:webHidden/>
                <w:color w:val="000000" w:themeColor="text1"/>
                <w:sz w:val="24"/>
                <w:szCs w:val="24"/>
              </w:rPr>
              <w:tab/>
            </w:r>
            <w:r w:rsidRPr="00212ED5">
              <w:rPr>
                <w:rFonts w:ascii="Times New Roman" w:hAnsi="Times New Roman" w:cs="Times New Roman"/>
                <w:noProof/>
                <w:webHidden/>
                <w:color w:val="000000" w:themeColor="text1"/>
                <w:sz w:val="24"/>
                <w:szCs w:val="24"/>
              </w:rPr>
              <w:fldChar w:fldCharType="begin"/>
            </w:r>
            <w:r w:rsidRPr="00212ED5">
              <w:rPr>
                <w:rFonts w:ascii="Times New Roman" w:hAnsi="Times New Roman" w:cs="Times New Roman"/>
                <w:noProof/>
                <w:webHidden/>
                <w:color w:val="000000" w:themeColor="text1"/>
                <w:sz w:val="24"/>
                <w:szCs w:val="24"/>
              </w:rPr>
              <w:instrText xml:space="preserve"> PAGEREF _Toc129188348 \h </w:instrText>
            </w:r>
            <w:r w:rsidRPr="00212ED5">
              <w:rPr>
                <w:rFonts w:ascii="Times New Roman" w:hAnsi="Times New Roman" w:cs="Times New Roman"/>
                <w:noProof/>
                <w:webHidden/>
                <w:color w:val="000000" w:themeColor="text1"/>
                <w:sz w:val="24"/>
                <w:szCs w:val="24"/>
              </w:rPr>
            </w:r>
            <w:r w:rsidRPr="00212ED5">
              <w:rPr>
                <w:rFonts w:ascii="Times New Roman" w:hAnsi="Times New Roman" w:cs="Times New Roman"/>
                <w:noProof/>
                <w:webHidden/>
                <w:color w:val="000000" w:themeColor="text1"/>
                <w:sz w:val="24"/>
                <w:szCs w:val="24"/>
              </w:rPr>
              <w:fldChar w:fldCharType="separate"/>
            </w:r>
            <w:r w:rsidRPr="00212ED5">
              <w:rPr>
                <w:rFonts w:ascii="Times New Roman" w:hAnsi="Times New Roman" w:cs="Times New Roman"/>
                <w:noProof/>
                <w:webHidden/>
                <w:color w:val="000000" w:themeColor="text1"/>
                <w:sz w:val="24"/>
                <w:szCs w:val="24"/>
              </w:rPr>
              <w:t>3</w:t>
            </w:r>
            <w:r w:rsidRPr="00212ED5">
              <w:rPr>
                <w:rFonts w:ascii="Times New Roman" w:hAnsi="Times New Roman" w:cs="Times New Roman"/>
                <w:noProof/>
                <w:webHidden/>
                <w:color w:val="000000" w:themeColor="text1"/>
                <w:sz w:val="24"/>
                <w:szCs w:val="24"/>
              </w:rPr>
              <w:fldChar w:fldCharType="end"/>
            </w:r>
          </w:hyperlink>
        </w:p>
        <w:p w14:paraId="2BB636B5" w14:textId="3C06B377" w:rsidR="00212ED5" w:rsidRPr="00212ED5" w:rsidRDefault="00212ED5" w:rsidP="00212ED5">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29188349" w:history="1">
            <w:r w:rsidRPr="00212ED5">
              <w:rPr>
                <w:rStyle w:val="Hyperlink"/>
                <w:rFonts w:ascii="Times New Roman" w:hAnsi="Times New Roman" w:cs="Times New Roman"/>
                <w:noProof/>
                <w:color w:val="000000" w:themeColor="text1"/>
                <w:sz w:val="24"/>
                <w:szCs w:val="24"/>
              </w:rPr>
              <w:t>Conclusion</w:t>
            </w:r>
            <w:r w:rsidRPr="00212ED5">
              <w:rPr>
                <w:rFonts w:ascii="Times New Roman" w:hAnsi="Times New Roman" w:cs="Times New Roman"/>
                <w:noProof/>
                <w:webHidden/>
                <w:color w:val="000000" w:themeColor="text1"/>
                <w:sz w:val="24"/>
                <w:szCs w:val="24"/>
              </w:rPr>
              <w:tab/>
            </w:r>
            <w:r w:rsidRPr="00212ED5">
              <w:rPr>
                <w:rFonts w:ascii="Times New Roman" w:hAnsi="Times New Roman" w:cs="Times New Roman"/>
                <w:noProof/>
                <w:webHidden/>
                <w:color w:val="000000" w:themeColor="text1"/>
                <w:sz w:val="24"/>
                <w:szCs w:val="24"/>
              </w:rPr>
              <w:fldChar w:fldCharType="begin"/>
            </w:r>
            <w:r w:rsidRPr="00212ED5">
              <w:rPr>
                <w:rFonts w:ascii="Times New Roman" w:hAnsi="Times New Roman" w:cs="Times New Roman"/>
                <w:noProof/>
                <w:webHidden/>
                <w:color w:val="000000" w:themeColor="text1"/>
                <w:sz w:val="24"/>
                <w:szCs w:val="24"/>
              </w:rPr>
              <w:instrText xml:space="preserve"> PAGEREF _Toc129188349 \h </w:instrText>
            </w:r>
            <w:r w:rsidRPr="00212ED5">
              <w:rPr>
                <w:rFonts w:ascii="Times New Roman" w:hAnsi="Times New Roman" w:cs="Times New Roman"/>
                <w:noProof/>
                <w:webHidden/>
                <w:color w:val="000000" w:themeColor="text1"/>
                <w:sz w:val="24"/>
                <w:szCs w:val="24"/>
              </w:rPr>
            </w:r>
            <w:r w:rsidRPr="00212ED5">
              <w:rPr>
                <w:rFonts w:ascii="Times New Roman" w:hAnsi="Times New Roman" w:cs="Times New Roman"/>
                <w:noProof/>
                <w:webHidden/>
                <w:color w:val="000000" w:themeColor="text1"/>
                <w:sz w:val="24"/>
                <w:szCs w:val="24"/>
              </w:rPr>
              <w:fldChar w:fldCharType="separate"/>
            </w:r>
            <w:r w:rsidRPr="00212ED5">
              <w:rPr>
                <w:rFonts w:ascii="Times New Roman" w:hAnsi="Times New Roman" w:cs="Times New Roman"/>
                <w:noProof/>
                <w:webHidden/>
                <w:color w:val="000000" w:themeColor="text1"/>
                <w:sz w:val="24"/>
                <w:szCs w:val="24"/>
              </w:rPr>
              <w:t>6</w:t>
            </w:r>
            <w:r w:rsidRPr="00212ED5">
              <w:rPr>
                <w:rFonts w:ascii="Times New Roman" w:hAnsi="Times New Roman" w:cs="Times New Roman"/>
                <w:noProof/>
                <w:webHidden/>
                <w:color w:val="000000" w:themeColor="text1"/>
                <w:sz w:val="24"/>
                <w:szCs w:val="24"/>
              </w:rPr>
              <w:fldChar w:fldCharType="end"/>
            </w:r>
          </w:hyperlink>
        </w:p>
        <w:p w14:paraId="085D84F1" w14:textId="6AEBACC8" w:rsidR="00212ED5" w:rsidRPr="00212ED5" w:rsidRDefault="00212ED5" w:rsidP="00212ED5">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29188350" w:history="1">
            <w:r w:rsidRPr="00212ED5">
              <w:rPr>
                <w:rStyle w:val="Hyperlink"/>
                <w:rFonts w:ascii="Times New Roman" w:hAnsi="Times New Roman" w:cs="Times New Roman"/>
                <w:noProof/>
                <w:color w:val="000000" w:themeColor="text1"/>
                <w:sz w:val="24"/>
                <w:szCs w:val="24"/>
              </w:rPr>
              <w:t>Reference</w:t>
            </w:r>
            <w:r w:rsidRPr="00212ED5">
              <w:rPr>
                <w:rFonts w:ascii="Times New Roman" w:hAnsi="Times New Roman" w:cs="Times New Roman"/>
                <w:noProof/>
                <w:webHidden/>
                <w:color w:val="000000" w:themeColor="text1"/>
                <w:sz w:val="24"/>
                <w:szCs w:val="24"/>
              </w:rPr>
              <w:tab/>
            </w:r>
            <w:r w:rsidRPr="00212ED5">
              <w:rPr>
                <w:rFonts w:ascii="Times New Roman" w:hAnsi="Times New Roman" w:cs="Times New Roman"/>
                <w:noProof/>
                <w:webHidden/>
                <w:color w:val="000000" w:themeColor="text1"/>
                <w:sz w:val="24"/>
                <w:szCs w:val="24"/>
              </w:rPr>
              <w:fldChar w:fldCharType="begin"/>
            </w:r>
            <w:r w:rsidRPr="00212ED5">
              <w:rPr>
                <w:rFonts w:ascii="Times New Roman" w:hAnsi="Times New Roman" w:cs="Times New Roman"/>
                <w:noProof/>
                <w:webHidden/>
                <w:color w:val="000000" w:themeColor="text1"/>
                <w:sz w:val="24"/>
                <w:szCs w:val="24"/>
              </w:rPr>
              <w:instrText xml:space="preserve"> PAGEREF _Toc129188350 \h </w:instrText>
            </w:r>
            <w:r w:rsidRPr="00212ED5">
              <w:rPr>
                <w:rFonts w:ascii="Times New Roman" w:hAnsi="Times New Roman" w:cs="Times New Roman"/>
                <w:noProof/>
                <w:webHidden/>
                <w:color w:val="000000" w:themeColor="text1"/>
                <w:sz w:val="24"/>
                <w:szCs w:val="24"/>
              </w:rPr>
            </w:r>
            <w:r w:rsidRPr="00212ED5">
              <w:rPr>
                <w:rFonts w:ascii="Times New Roman" w:hAnsi="Times New Roman" w:cs="Times New Roman"/>
                <w:noProof/>
                <w:webHidden/>
                <w:color w:val="000000" w:themeColor="text1"/>
                <w:sz w:val="24"/>
                <w:szCs w:val="24"/>
              </w:rPr>
              <w:fldChar w:fldCharType="separate"/>
            </w:r>
            <w:r w:rsidRPr="00212ED5">
              <w:rPr>
                <w:rFonts w:ascii="Times New Roman" w:hAnsi="Times New Roman" w:cs="Times New Roman"/>
                <w:noProof/>
                <w:webHidden/>
                <w:color w:val="000000" w:themeColor="text1"/>
                <w:sz w:val="24"/>
                <w:szCs w:val="24"/>
              </w:rPr>
              <w:t>7</w:t>
            </w:r>
            <w:r w:rsidRPr="00212ED5">
              <w:rPr>
                <w:rFonts w:ascii="Times New Roman" w:hAnsi="Times New Roman" w:cs="Times New Roman"/>
                <w:noProof/>
                <w:webHidden/>
                <w:color w:val="000000" w:themeColor="text1"/>
                <w:sz w:val="24"/>
                <w:szCs w:val="24"/>
              </w:rPr>
              <w:fldChar w:fldCharType="end"/>
            </w:r>
          </w:hyperlink>
        </w:p>
        <w:p w14:paraId="241AC7A1" w14:textId="6E506067" w:rsidR="00212ED5" w:rsidRDefault="00212ED5" w:rsidP="00212ED5">
          <w:pPr>
            <w:spacing w:line="360" w:lineRule="auto"/>
            <w:jc w:val="both"/>
          </w:pPr>
          <w:r w:rsidRPr="00212ED5">
            <w:rPr>
              <w:rFonts w:ascii="Times New Roman" w:hAnsi="Times New Roman" w:cs="Times New Roman"/>
              <w:b/>
              <w:bCs/>
              <w:noProof/>
              <w:color w:val="000000" w:themeColor="text1"/>
              <w:sz w:val="24"/>
              <w:szCs w:val="24"/>
            </w:rPr>
            <w:fldChar w:fldCharType="end"/>
          </w:r>
        </w:p>
      </w:sdtContent>
    </w:sdt>
    <w:p w14:paraId="1F19CD0F" w14:textId="77777777" w:rsidR="00212ED5" w:rsidRDefault="00212ED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9" w14:textId="0485E11D" w:rsidR="0077750A" w:rsidRPr="00212ED5" w:rsidRDefault="00000000" w:rsidP="00212ED5">
      <w:pPr>
        <w:pStyle w:val="Heading1"/>
      </w:pPr>
      <w:bookmarkStart w:id="0" w:name="_Toc129188347"/>
      <w:r w:rsidRPr="00212ED5">
        <w:lastRenderedPageBreak/>
        <w:t>Introduction</w:t>
      </w:r>
      <w:bookmarkEnd w:id="0"/>
      <w:r w:rsidRPr="00212ED5">
        <w:t xml:space="preserve"> </w:t>
      </w:r>
    </w:p>
    <w:p w14:paraId="0000000A"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Diminished responsibility is identified as the potential defence where one individual is not stable mentally to take responsibility for the crime. In criminal law, diminished responsibility is identified as the context where one person is </w:t>
      </w:r>
      <w:r>
        <w:rPr>
          <w:rFonts w:ascii="Times New Roman" w:eastAsia="Times New Roman" w:hAnsi="Times New Roman" w:cs="Times New Roman"/>
          <w:b/>
          <w:i/>
          <w:sz w:val="24"/>
          <w:szCs w:val="24"/>
        </w:rPr>
        <w:t>“convicted of homicide”</w:t>
      </w:r>
      <w:r>
        <w:rPr>
          <w:rFonts w:ascii="Times New Roman" w:eastAsia="Times New Roman" w:hAnsi="Times New Roman" w:cs="Times New Roman"/>
          <w:sz w:val="24"/>
          <w:szCs w:val="24"/>
        </w:rPr>
        <w:t xml:space="preserve"> due to a mental disorder. This study has focused on the requirement for diminished responsibility under the </w:t>
      </w:r>
      <w:r>
        <w:rPr>
          <w:rFonts w:ascii="Times New Roman" w:eastAsia="Times New Roman" w:hAnsi="Times New Roman" w:cs="Times New Roman"/>
          <w:b/>
          <w:i/>
          <w:sz w:val="24"/>
          <w:szCs w:val="24"/>
        </w:rPr>
        <w:t>“S.2 Homicide Act 1957”</w:t>
      </w:r>
      <w:r>
        <w:rPr>
          <w:rFonts w:ascii="Times New Roman" w:eastAsia="Times New Roman" w:hAnsi="Times New Roman" w:cs="Times New Roman"/>
          <w:sz w:val="24"/>
          <w:szCs w:val="24"/>
        </w:rPr>
        <w:t xml:space="preserve"> which helps to measure the needed changes in the Law.</w:t>
      </w:r>
      <w:r>
        <w:rPr>
          <w:rFonts w:ascii="Times New Roman" w:eastAsia="Times New Roman" w:hAnsi="Times New Roman" w:cs="Times New Roman"/>
          <w:b/>
          <w:i/>
          <w:sz w:val="24"/>
          <w:szCs w:val="24"/>
        </w:rPr>
        <w:t xml:space="preserve"> “Coroners and Justice Act 2009”</w:t>
      </w:r>
      <w:r>
        <w:rPr>
          <w:rFonts w:ascii="Times New Roman" w:eastAsia="Times New Roman" w:hAnsi="Times New Roman" w:cs="Times New Roman"/>
          <w:sz w:val="24"/>
          <w:szCs w:val="24"/>
        </w:rPr>
        <w:t xml:space="preserve"> is developed for investigating coroners, certification and causes of death under the criminal law of the UK. Additionally, the study has analysed the application of the </w:t>
      </w:r>
      <w:r>
        <w:rPr>
          <w:rFonts w:ascii="Times New Roman" w:eastAsia="Times New Roman" w:hAnsi="Times New Roman" w:cs="Times New Roman"/>
          <w:b/>
          <w:i/>
          <w:sz w:val="24"/>
          <w:szCs w:val="24"/>
        </w:rPr>
        <w:t>“s.52 Coroners and Justice Act 2009”</w:t>
      </w:r>
      <w:r>
        <w:rPr>
          <w:rFonts w:ascii="Times New Roman" w:eastAsia="Times New Roman" w:hAnsi="Times New Roman" w:cs="Times New Roman"/>
          <w:sz w:val="24"/>
          <w:szCs w:val="24"/>
        </w:rPr>
        <w:t xml:space="preserve"> for several changes in the </w:t>
      </w:r>
      <w:r>
        <w:rPr>
          <w:rFonts w:ascii="Times New Roman" w:eastAsia="Times New Roman" w:hAnsi="Times New Roman" w:cs="Times New Roman"/>
          <w:b/>
          <w:i/>
          <w:sz w:val="24"/>
          <w:szCs w:val="24"/>
        </w:rPr>
        <w:t xml:space="preserve">“S.2 Homicide Act 1957”. </w:t>
      </w:r>
      <w:r>
        <w:rPr>
          <w:rFonts w:ascii="Times New Roman" w:eastAsia="Times New Roman" w:hAnsi="Times New Roman" w:cs="Times New Roman"/>
          <w:sz w:val="24"/>
          <w:szCs w:val="24"/>
        </w:rPr>
        <w:t>Interpretation of the advantages and disadvantages of the changes helps to identify the effectiveness of the changes in criminal law. Critical analysis of the changes in the mentioned criminal law helps to develop recommendations for future reformation of the law. The</w:t>
      </w:r>
      <w:r>
        <w:rPr>
          <w:rFonts w:ascii="Times New Roman" w:eastAsia="Times New Roman" w:hAnsi="Times New Roman" w:cs="Times New Roman"/>
          <w:b/>
          <w:i/>
          <w:sz w:val="24"/>
          <w:szCs w:val="24"/>
        </w:rPr>
        <w:t xml:space="preserve"> thesis statement</w:t>
      </w:r>
      <w:r>
        <w:rPr>
          <w:rFonts w:ascii="Times New Roman" w:eastAsia="Times New Roman" w:hAnsi="Times New Roman" w:cs="Times New Roman"/>
          <w:sz w:val="24"/>
          <w:szCs w:val="24"/>
        </w:rPr>
        <w:t xml:space="preserve"> of the study is to identify the changes </w:t>
      </w:r>
      <w:r>
        <w:rPr>
          <w:rFonts w:ascii="Times New Roman" w:eastAsia="Times New Roman" w:hAnsi="Times New Roman" w:cs="Times New Roman"/>
          <w:b/>
          <w:i/>
          <w:sz w:val="24"/>
          <w:szCs w:val="24"/>
        </w:rPr>
        <w:t>“defence of diminished responsibility”</w:t>
      </w:r>
      <w:r>
        <w:rPr>
          <w:rFonts w:ascii="Times New Roman" w:eastAsia="Times New Roman" w:hAnsi="Times New Roman" w:cs="Times New Roman"/>
          <w:sz w:val="24"/>
          <w:szCs w:val="24"/>
        </w:rPr>
        <w:t xml:space="preserve"> with the application of </w:t>
      </w:r>
      <w:r>
        <w:rPr>
          <w:rFonts w:ascii="Times New Roman" w:eastAsia="Times New Roman" w:hAnsi="Times New Roman" w:cs="Times New Roman"/>
          <w:b/>
          <w:i/>
          <w:sz w:val="24"/>
          <w:szCs w:val="24"/>
        </w:rPr>
        <w:t>“The Coroners and Justice Act (2009)”</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 </w:t>
      </w:r>
    </w:p>
    <w:p w14:paraId="0000000B" w14:textId="77777777" w:rsidR="0077750A" w:rsidRDefault="00000000" w:rsidP="00212ED5">
      <w:pPr>
        <w:pStyle w:val="Heading1"/>
      </w:pPr>
      <w:bookmarkStart w:id="1" w:name="_Toc129188348"/>
      <w:r>
        <w:t>Main body</w:t>
      </w:r>
      <w:bookmarkEnd w:id="1"/>
      <w:r>
        <w:t xml:space="preserve"> </w:t>
      </w:r>
    </w:p>
    <w:p w14:paraId="0000000C" w14:textId="77777777" w:rsidR="0077750A"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“S.2 Homicide Act 1957” and diminished responsibility under the act </w:t>
      </w:r>
    </w:p>
    <w:p w14:paraId="0000000D"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“defence of diminished responsibility”</w:t>
      </w:r>
      <w:r>
        <w:rPr>
          <w:rFonts w:ascii="Times New Roman" w:eastAsia="Times New Roman" w:hAnsi="Times New Roman" w:cs="Times New Roman"/>
          <w:sz w:val="24"/>
          <w:szCs w:val="24"/>
        </w:rPr>
        <w:t xml:space="preserve"> is provided to a person who has reduced moral capability due to the presence of mental instability or disorder. In addition, </w:t>
      </w:r>
      <w:r>
        <w:rPr>
          <w:rFonts w:ascii="Times New Roman" w:eastAsia="Times New Roman" w:hAnsi="Times New Roman" w:cs="Times New Roman"/>
          <w:b/>
          <w:i/>
          <w:sz w:val="24"/>
          <w:szCs w:val="24"/>
        </w:rPr>
        <w:t>“The homicide Act 1957”</w:t>
      </w:r>
      <w:r>
        <w:rPr>
          <w:rFonts w:ascii="Times New Roman" w:eastAsia="Times New Roman" w:hAnsi="Times New Roman" w:cs="Times New Roman"/>
          <w:sz w:val="24"/>
          <w:szCs w:val="24"/>
        </w:rPr>
        <w:t xml:space="preserve"> is developed to relate the </w:t>
      </w:r>
      <w:r>
        <w:rPr>
          <w:rFonts w:ascii="Times New Roman" w:eastAsia="Times New Roman" w:hAnsi="Times New Roman" w:cs="Times New Roman"/>
          <w:b/>
          <w:i/>
          <w:sz w:val="24"/>
          <w:szCs w:val="24"/>
        </w:rPr>
        <w:t xml:space="preserve">“homicide and the trial and punishment of murder” </w:t>
      </w:r>
      <w:r>
        <w:rPr>
          <w:rFonts w:ascii="Times New Roman" w:eastAsia="Times New Roman" w:hAnsi="Times New Roman" w:cs="Times New Roman"/>
          <w:sz w:val="24"/>
          <w:szCs w:val="24"/>
        </w:rPr>
        <w:t xml:space="preserve">which is included in the criminal law of the UK (Legislation.gov.uk, 2019). In the law, </w:t>
      </w:r>
      <w:r>
        <w:rPr>
          <w:rFonts w:ascii="Times New Roman" w:eastAsia="Times New Roman" w:hAnsi="Times New Roman" w:cs="Times New Roman"/>
          <w:b/>
          <w:i/>
          <w:sz w:val="24"/>
          <w:szCs w:val="24"/>
        </w:rPr>
        <w:t>section 2</w:t>
      </w:r>
      <w:r>
        <w:rPr>
          <w:rFonts w:ascii="Times New Roman" w:eastAsia="Times New Roman" w:hAnsi="Times New Roman" w:cs="Times New Roman"/>
          <w:sz w:val="24"/>
          <w:szCs w:val="24"/>
        </w:rPr>
        <w:t xml:space="preserve"> is developed for the people who have suffered from the situation of diminished responsibility. The requirements of the person who has suffered from diminished responsibility are identified as four separate areas. In section 2 of the act, the first requirement is measured as the person who is mentally unstable for taking responsibility for killing or partly killing (Flynn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p.211). The second requirement for diminished responsibility is deference required to prove the unreliability of the person in charge o murder. The third requirement is for one person who has been suffering a situation to be convicted of the murder whereas, the fourth requirement is one party who has been killed by virtue is not liable in the section. </w:t>
      </w:r>
    </w:p>
    <w:p w14:paraId="0000000E"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 helps in the management of cases related to homicide, trial or punishment of murder cases in the UK. As an example, </w:t>
      </w:r>
      <w:r>
        <w:rPr>
          <w:rFonts w:ascii="Times New Roman" w:eastAsia="Times New Roman" w:hAnsi="Times New Roman" w:cs="Times New Roman"/>
          <w:b/>
          <w:i/>
          <w:sz w:val="24"/>
          <w:szCs w:val="24"/>
        </w:rPr>
        <w:t>“Criminal appeal R v Cobley [2021] EWCA Crim 954”</w:t>
      </w:r>
      <w:r>
        <w:rPr>
          <w:rFonts w:ascii="Times New Roman" w:eastAsia="Times New Roman" w:hAnsi="Times New Roman" w:cs="Times New Roman"/>
          <w:sz w:val="24"/>
          <w:szCs w:val="24"/>
        </w:rPr>
        <w:t xml:space="preserve"> is a case where an applicant was convicted for the murder of her baby where psychiatric evidence she had argued for </w:t>
      </w:r>
      <w:r>
        <w:rPr>
          <w:rFonts w:ascii="Times New Roman" w:eastAsia="Times New Roman" w:hAnsi="Times New Roman" w:cs="Times New Roman"/>
          <w:b/>
          <w:i/>
          <w:sz w:val="24"/>
          <w:szCs w:val="24"/>
        </w:rPr>
        <w:t xml:space="preserve">“defence of diminished responsibility” </w:t>
      </w:r>
      <w:r>
        <w:rPr>
          <w:rFonts w:ascii="Times New Roman" w:eastAsia="Times New Roman" w:hAnsi="Times New Roman" w:cs="Times New Roman"/>
          <w:sz w:val="24"/>
          <w:szCs w:val="24"/>
        </w:rPr>
        <w:t xml:space="preserve">under section 2 of </w:t>
      </w:r>
      <w:r>
        <w:rPr>
          <w:rFonts w:ascii="Times New Roman" w:eastAsia="Times New Roman" w:hAnsi="Times New Roman" w:cs="Times New Roman"/>
          <w:b/>
          <w:i/>
          <w:sz w:val="24"/>
          <w:szCs w:val="24"/>
        </w:rPr>
        <w:t>“Homicide Act 1957”</w:t>
      </w:r>
      <w:r>
        <w:rPr>
          <w:rFonts w:ascii="Times New Roman" w:eastAsia="Times New Roman" w:hAnsi="Times New Roman" w:cs="Times New Roman"/>
          <w:sz w:val="24"/>
          <w:szCs w:val="24"/>
        </w:rPr>
        <w:t xml:space="preserve"> (Mentalhealthlaw.co.uk, 2022). Therefore, in the relevant case, a clear link is identified </w:t>
      </w:r>
      <w:r>
        <w:rPr>
          <w:rFonts w:ascii="Times New Roman" w:eastAsia="Times New Roman" w:hAnsi="Times New Roman" w:cs="Times New Roman"/>
          <w:sz w:val="24"/>
          <w:szCs w:val="24"/>
        </w:rPr>
        <w:lastRenderedPageBreak/>
        <w:t xml:space="preserve">between the requirement of the mentioned act which helps understand the relevance between the defence of diminished responsibility and the present situation related to the charge of murder.     </w:t>
      </w:r>
    </w:p>
    <w:p w14:paraId="0000000F" w14:textId="77777777" w:rsidR="0077750A"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Identification of the need for changes </w:t>
      </w:r>
    </w:p>
    <w:p w14:paraId="00000010"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mentioned act of diminished responsibility changes are needed which was developed in the year 2010. In the whole legislation, the first changes are identified in the activities relevant to diminished responsibility which helps to reduce murder happening concerning manslaughter. As per the view of Ulbrick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p.220), an explanation of the mental functioning of the applicants is needed to develop a clear understanding of the people under diminished responsibility. In the updated legislation clear information is provided about mental abnormality and functioning. Additionally, a wider spectrum of mental illness is needed which is improved with the development of medical science related to mental health. As an example, a case of </w:t>
      </w:r>
      <w:r>
        <w:rPr>
          <w:rFonts w:ascii="Times New Roman" w:eastAsia="Times New Roman" w:hAnsi="Times New Roman" w:cs="Times New Roman"/>
          <w:b/>
          <w:i/>
          <w:sz w:val="24"/>
          <w:szCs w:val="24"/>
        </w:rPr>
        <w:t>“Diminished responsibility medical evidence R v Hussain [2019] EWCA Crim 666”</w:t>
      </w:r>
      <w:r>
        <w:rPr>
          <w:rFonts w:ascii="Times New Roman" w:eastAsia="Times New Roman" w:hAnsi="Times New Roman" w:cs="Times New Roman"/>
          <w:sz w:val="24"/>
          <w:szCs w:val="24"/>
        </w:rPr>
        <w:t xml:space="preserve"> is identified where issues are developed related to the diminished responsibility and unanimity for the killing activity is measured in the applicant in time of the murder (Mentalhealthlaw.co.uk, 2022). Therefore, changes and improvements are required for the management of the issues related to the lack of clearance of the medical clarification for the health situation of the applicant. </w:t>
      </w:r>
    </w:p>
    <w:p w14:paraId="00000011"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changes in the details of the legislation are needed to improve the investigation process in the cases of homicides or diminished responsibility. In addition, to improve the investigation process for</w:t>
      </w:r>
      <w:r>
        <w:rPr>
          <w:rFonts w:ascii="Times New Roman" w:eastAsia="Times New Roman" w:hAnsi="Times New Roman" w:cs="Times New Roman"/>
          <w:b/>
          <w:i/>
          <w:sz w:val="24"/>
          <w:szCs w:val="24"/>
        </w:rPr>
        <w:t xml:space="preserve"> “loss of control” and “no comment” </w:t>
      </w:r>
      <w:r>
        <w:rPr>
          <w:rFonts w:ascii="Times New Roman" w:eastAsia="Times New Roman" w:hAnsi="Times New Roman" w:cs="Times New Roman"/>
          <w:sz w:val="24"/>
          <w:szCs w:val="24"/>
        </w:rPr>
        <w:t xml:space="preserve">cases are required which are identified in new legislation. </w:t>
      </w:r>
    </w:p>
    <w:p w14:paraId="00000012" w14:textId="77777777" w:rsidR="0077750A"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of changes in diminished responsibility law with “s.52 Coroners and Justice Act 2009” </w:t>
      </w:r>
    </w:p>
    <w:p w14:paraId="00000013"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issues in the legislation are identified which effectively changed with the use of </w:t>
      </w:r>
      <w:r>
        <w:rPr>
          <w:rFonts w:ascii="Times New Roman" w:eastAsia="Times New Roman" w:hAnsi="Times New Roman" w:cs="Times New Roman"/>
          <w:b/>
          <w:i/>
          <w:sz w:val="24"/>
          <w:szCs w:val="24"/>
        </w:rPr>
        <w:t xml:space="preserve">“s.52 Coroners and Justice Act 2009” </w:t>
      </w:r>
      <w:r>
        <w:rPr>
          <w:rFonts w:ascii="Times New Roman" w:eastAsia="Times New Roman" w:hAnsi="Times New Roman" w:cs="Times New Roman"/>
          <w:sz w:val="24"/>
          <w:szCs w:val="24"/>
        </w:rPr>
        <w:t xml:space="preserve">as this law helps to clarify the conviction for the murder cases. The changes in the requirement of the </w:t>
      </w:r>
      <w:r>
        <w:rPr>
          <w:rFonts w:ascii="Times New Roman" w:eastAsia="Times New Roman" w:hAnsi="Times New Roman" w:cs="Times New Roman"/>
          <w:b/>
          <w:i/>
          <w:sz w:val="24"/>
          <w:szCs w:val="24"/>
        </w:rPr>
        <w:t xml:space="preserve">“Homicide Act 1957” </w:t>
      </w:r>
      <w:r>
        <w:rPr>
          <w:rFonts w:ascii="Times New Roman" w:eastAsia="Times New Roman" w:hAnsi="Times New Roman" w:cs="Times New Roman"/>
          <w:sz w:val="24"/>
          <w:szCs w:val="24"/>
        </w:rPr>
        <w:t xml:space="preserve">seen which identified </w:t>
      </w:r>
      <w:r>
        <w:rPr>
          <w:rFonts w:ascii="Times New Roman" w:eastAsia="Times New Roman" w:hAnsi="Times New Roman" w:cs="Times New Roman"/>
          <w:b/>
          <w:i/>
          <w:sz w:val="24"/>
          <w:szCs w:val="24"/>
        </w:rPr>
        <w:t>“abnormality of mental functioning”</w:t>
      </w:r>
      <w:r>
        <w:rPr>
          <w:rFonts w:ascii="Times New Roman" w:eastAsia="Times New Roman" w:hAnsi="Times New Roman" w:cs="Times New Roman"/>
          <w:sz w:val="24"/>
          <w:szCs w:val="24"/>
        </w:rPr>
        <w:t xml:space="preserve"> such as related to the situation, </w:t>
      </w:r>
      <w:r>
        <w:rPr>
          <w:rFonts w:ascii="Times New Roman" w:eastAsia="Times New Roman" w:hAnsi="Times New Roman" w:cs="Times New Roman"/>
          <w:b/>
          <w:i/>
          <w:sz w:val="24"/>
          <w:szCs w:val="24"/>
        </w:rPr>
        <w:t>“to exercise self-control”</w:t>
      </w:r>
      <w:r>
        <w:rPr>
          <w:rFonts w:ascii="Times New Roman" w:eastAsia="Times New Roman" w:hAnsi="Times New Roman" w:cs="Times New Roman"/>
          <w:sz w:val="24"/>
          <w:szCs w:val="24"/>
        </w:rPr>
        <w:t xml:space="preserve"> (Lawgazette.co.uk, 2023). Therefore, more specification is added with the application of section 52 as that helps to clearly identify factors associated with the case of homicide. On the other hand, </w:t>
      </w:r>
      <w:r>
        <w:rPr>
          <w:rFonts w:ascii="Times New Roman" w:eastAsia="Times New Roman" w:hAnsi="Times New Roman" w:cs="Times New Roman"/>
          <w:b/>
          <w:i/>
          <w:sz w:val="24"/>
          <w:szCs w:val="24"/>
        </w:rPr>
        <w:t>“The Coroners and Justice Act [2009]”</w:t>
      </w:r>
      <w:r>
        <w:rPr>
          <w:rFonts w:ascii="Times New Roman" w:eastAsia="Times New Roman" w:hAnsi="Times New Roman" w:cs="Times New Roman"/>
          <w:sz w:val="24"/>
          <w:szCs w:val="24"/>
        </w:rPr>
        <w:t xml:space="preserve"> has been amended to the </w:t>
      </w:r>
      <w:r>
        <w:rPr>
          <w:rFonts w:ascii="Times New Roman" w:eastAsia="Times New Roman" w:hAnsi="Times New Roman" w:cs="Times New Roman"/>
          <w:b/>
          <w:i/>
          <w:sz w:val="24"/>
          <w:szCs w:val="24"/>
        </w:rPr>
        <w:t>“Homicide Act 1957”</w:t>
      </w:r>
      <w:r>
        <w:rPr>
          <w:rFonts w:ascii="Times New Roman" w:eastAsia="Times New Roman" w:hAnsi="Times New Roman" w:cs="Times New Roman"/>
          <w:sz w:val="24"/>
          <w:szCs w:val="24"/>
        </w:rPr>
        <w:t xml:space="preserve"> and helps to highlight the psychological factors which can be considered </w:t>
      </w:r>
      <w:r>
        <w:rPr>
          <w:rFonts w:ascii="Times New Roman" w:eastAsia="Times New Roman" w:hAnsi="Times New Roman" w:cs="Times New Roman"/>
          <w:b/>
          <w:i/>
          <w:sz w:val="24"/>
          <w:szCs w:val="24"/>
        </w:rPr>
        <w:t>“abnormal mental functioning”</w:t>
      </w:r>
      <w:r>
        <w:rPr>
          <w:rFonts w:ascii="Times New Roman" w:eastAsia="Times New Roman" w:hAnsi="Times New Roman" w:cs="Times New Roman"/>
          <w:sz w:val="24"/>
          <w:szCs w:val="24"/>
        </w:rPr>
        <w:t xml:space="preserve"> (Legislation.gov.uk, 2020). Therefore, the use of the phrase </w:t>
      </w:r>
      <w:r>
        <w:rPr>
          <w:rFonts w:ascii="Times New Roman" w:eastAsia="Times New Roman" w:hAnsi="Times New Roman" w:cs="Times New Roman"/>
          <w:b/>
          <w:i/>
          <w:sz w:val="24"/>
          <w:szCs w:val="24"/>
        </w:rPr>
        <w:t xml:space="preserve">“abnormal mind” </w:t>
      </w:r>
      <w:r>
        <w:rPr>
          <w:rFonts w:ascii="Times New Roman" w:eastAsia="Times New Roman" w:hAnsi="Times New Roman" w:cs="Times New Roman"/>
          <w:sz w:val="24"/>
          <w:szCs w:val="24"/>
        </w:rPr>
        <w:t xml:space="preserve">was rephrased to </w:t>
      </w:r>
      <w:r>
        <w:rPr>
          <w:rFonts w:ascii="Times New Roman" w:eastAsia="Times New Roman" w:hAnsi="Times New Roman" w:cs="Times New Roman"/>
          <w:b/>
          <w:i/>
          <w:sz w:val="24"/>
          <w:szCs w:val="24"/>
        </w:rPr>
        <w:t xml:space="preserve">“abnormal mental functioning” </w:t>
      </w:r>
      <w:r>
        <w:rPr>
          <w:rFonts w:ascii="Times New Roman" w:eastAsia="Times New Roman" w:hAnsi="Times New Roman" w:cs="Times New Roman"/>
          <w:sz w:val="24"/>
          <w:szCs w:val="24"/>
        </w:rPr>
        <w:t xml:space="preserve">with the application of section 52. </w:t>
      </w:r>
    </w:p>
    <w:p w14:paraId="00000014"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new and improved law, a mixture of subjective and objective tests are identified which helps to measure the circumstances of the defendant. A significant change in the existing law of diminished responsibility is </w:t>
      </w:r>
      <w:r>
        <w:rPr>
          <w:rFonts w:ascii="Times New Roman" w:eastAsia="Times New Roman" w:hAnsi="Times New Roman" w:cs="Times New Roman"/>
          <w:b/>
          <w:i/>
          <w:sz w:val="24"/>
          <w:szCs w:val="24"/>
        </w:rPr>
        <w:t>“Loss of control”</w:t>
      </w:r>
      <w:r>
        <w:rPr>
          <w:rFonts w:ascii="Times New Roman" w:eastAsia="Times New Roman" w:hAnsi="Times New Roman" w:cs="Times New Roman"/>
          <w:sz w:val="24"/>
          <w:szCs w:val="24"/>
        </w:rPr>
        <w:t xml:space="preserve"> as the abolition of the provocation of deference (Reed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p.161). In addition, in section 2 of the </w:t>
      </w:r>
      <w:r>
        <w:rPr>
          <w:rFonts w:ascii="Times New Roman" w:eastAsia="Times New Roman" w:hAnsi="Times New Roman" w:cs="Times New Roman"/>
          <w:b/>
          <w:i/>
          <w:sz w:val="24"/>
          <w:szCs w:val="24"/>
        </w:rPr>
        <w:t xml:space="preserve">“Homicide Act 1957” </w:t>
      </w:r>
      <w:r>
        <w:rPr>
          <w:rFonts w:ascii="Times New Roman" w:eastAsia="Times New Roman" w:hAnsi="Times New Roman" w:cs="Times New Roman"/>
          <w:sz w:val="24"/>
          <w:szCs w:val="24"/>
        </w:rPr>
        <w:t xml:space="preserve">a subjection of “1A” is developed with the implementation of section 52 which helps to implement the changes in the cases of murder or attempt to murder. Therefore, the s. 52 of the Act of 2009 helps to develop subsections </w:t>
      </w:r>
      <w:r>
        <w:rPr>
          <w:rFonts w:ascii="Times New Roman" w:eastAsia="Times New Roman" w:hAnsi="Times New Roman" w:cs="Times New Roman"/>
          <w:b/>
          <w:i/>
          <w:sz w:val="24"/>
          <w:szCs w:val="24"/>
        </w:rPr>
        <w:t>(1A, 1B and 1C)</w:t>
      </w:r>
      <w:r>
        <w:rPr>
          <w:rFonts w:ascii="Times New Roman" w:eastAsia="Times New Roman" w:hAnsi="Times New Roman" w:cs="Times New Roman"/>
          <w:sz w:val="24"/>
          <w:szCs w:val="24"/>
        </w:rPr>
        <w:t xml:space="preserve"> in the existing legislation of the criminal law of the UK.     </w:t>
      </w:r>
    </w:p>
    <w:p w14:paraId="00000015" w14:textId="77777777" w:rsidR="0077750A"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Advantages and disadvantages of the changes </w:t>
      </w:r>
    </w:p>
    <w:p w14:paraId="00000016" w14:textId="77777777" w:rsidR="0077750A"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w:t>
      </w:r>
    </w:p>
    <w:p w14:paraId="00000017"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changes are identified in the diminished responsibility in section 2 which helps to improve the investigation process by identifying relevant factors under abnormal mental functioning. As per the view of Bettinson (2019, p.75), changes in the factors based on the diminished responsibility amended development is identified as related to </w:t>
      </w:r>
      <w:r>
        <w:rPr>
          <w:rFonts w:ascii="Times New Roman" w:eastAsia="Times New Roman" w:hAnsi="Times New Roman" w:cs="Times New Roman"/>
          <w:b/>
          <w:i/>
          <w:sz w:val="24"/>
          <w:szCs w:val="24"/>
        </w:rPr>
        <w:t>“defence, reducing murder to manslaughter”</w:t>
      </w:r>
      <w:r>
        <w:rPr>
          <w:rFonts w:ascii="Times New Roman" w:eastAsia="Times New Roman" w:hAnsi="Times New Roman" w:cs="Times New Roman"/>
          <w:sz w:val="24"/>
          <w:szCs w:val="24"/>
        </w:rPr>
        <w:t xml:space="preserve">. In addition, the development of a clear spectrum for the requirement of the applicant related to mental illness helps to improve the investigation process. Therefore, changes in the mentioned legislation help to measure the characteristics of obligatory punishment processes.   </w:t>
      </w:r>
    </w:p>
    <w:p w14:paraId="00000018" w14:textId="77777777" w:rsidR="0077750A"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“Disadvantages”</w:t>
      </w:r>
    </w:p>
    <w:p w14:paraId="00000019"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w:t>
      </w:r>
      <w:r>
        <w:rPr>
          <w:rFonts w:ascii="Times New Roman" w:eastAsia="Times New Roman" w:hAnsi="Times New Roman" w:cs="Times New Roman"/>
          <w:b/>
          <w:i/>
          <w:sz w:val="24"/>
          <w:szCs w:val="24"/>
        </w:rPr>
        <w:t>“mental responsibility”</w:t>
      </w:r>
      <w:r>
        <w:rPr>
          <w:rFonts w:ascii="Times New Roman" w:eastAsia="Times New Roman" w:hAnsi="Times New Roman" w:cs="Times New Roman"/>
          <w:sz w:val="24"/>
          <w:szCs w:val="24"/>
        </w:rPr>
        <w:t xml:space="preserve"> under the homicide act of the criminal law is identified as a hybrid concept which is associated with the psychiatrist witness and the present concept developed unclearly in the investigation. The changes in the diminished responsibility help to identify the common factors whereas rising complications in the investigation process (Feruzbek, 2020, p.86). </w:t>
      </w:r>
      <w:r>
        <w:rPr>
          <w:rFonts w:ascii="Times New Roman" w:eastAsia="Times New Roman" w:hAnsi="Times New Roman" w:cs="Times New Roman"/>
          <w:b/>
          <w:i/>
          <w:sz w:val="24"/>
          <w:szCs w:val="24"/>
        </w:rPr>
        <w:t>“Loss of control” and “no comment”</w:t>
      </w:r>
      <w:r>
        <w:rPr>
          <w:rFonts w:ascii="Times New Roman" w:eastAsia="Times New Roman" w:hAnsi="Times New Roman" w:cs="Times New Roman"/>
          <w:sz w:val="24"/>
          <w:szCs w:val="24"/>
        </w:rPr>
        <w:t xml:space="preserve"> are identified as two factors triggering a clear investigation of the cause of criminal behaviour rather than management of the violent applicant with such sanctions is not possible.   </w:t>
      </w:r>
    </w:p>
    <w:p w14:paraId="0000001A" w14:textId="77777777" w:rsidR="0077750A" w:rsidRDefault="0000000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Recommendation for further reform </w:t>
      </w:r>
    </w:p>
    <w:p w14:paraId="0000001B"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legislation of the homicide act can be improved with the limitation of the negative factors identified in the modified legalisation. Therefore, improvement is required for acts related to the negligence of the serious violence from the applicant and improvement of the activity is required for the excuse of the violence. According to the view of Fortson (2021, p.171), reformation of the law offence for the murder is needed which provides more specification about the related factors of diminished responsibility. Therefore, it is recommended improvement of the concept of the mental abnormality or causes of the killing helps to improve </w:t>
      </w:r>
      <w:r>
        <w:rPr>
          <w:rFonts w:ascii="Times New Roman" w:eastAsia="Times New Roman" w:hAnsi="Times New Roman" w:cs="Times New Roman"/>
          <w:sz w:val="24"/>
          <w:szCs w:val="24"/>
        </w:rPr>
        <w:lastRenderedPageBreak/>
        <w:t xml:space="preserve">the Act with effective reformation. In the cases of patient homicides improvement of the services will be possible with reform of the act for the criminal consequences (Fortson, 2021, p.171). Development of the responsibility improvement for mental responsibility rise accuracy in the investigation process. </w:t>
      </w:r>
    </w:p>
    <w:p w14:paraId="0000001C" w14:textId="77777777" w:rsidR="0077750A" w:rsidRDefault="00000000" w:rsidP="00212ED5">
      <w:pPr>
        <w:pStyle w:val="Heading1"/>
      </w:pPr>
      <w:bookmarkStart w:id="2" w:name="_Toc129188349"/>
      <w:r>
        <w:t>Conclusion</w:t>
      </w:r>
      <w:bookmarkEnd w:id="2"/>
      <w:r>
        <w:t xml:space="preserve"> </w:t>
      </w:r>
    </w:p>
    <w:p w14:paraId="0000001D" w14:textId="7777777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amendment changes in section 2 of </w:t>
      </w:r>
      <w:r>
        <w:rPr>
          <w:rFonts w:ascii="Times New Roman" w:eastAsia="Times New Roman" w:hAnsi="Times New Roman" w:cs="Times New Roman"/>
          <w:b/>
          <w:i/>
          <w:sz w:val="24"/>
          <w:szCs w:val="24"/>
        </w:rPr>
        <w:t>“Homicide Act 1957”</w:t>
      </w:r>
      <w:r>
        <w:rPr>
          <w:rFonts w:ascii="Times New Roman" w:eastAsia="Times New Roman" w:hAnsi="Times New Roman" w:cs="Times New Roman"/>
          <w:sz w:val="24"/>
          <w:szCs w:val="24"/>
        </w:rPr>
        <w:t xml:space="preserve"> improve the effectiveness of the legislation for the management of the quality investigation process. Besides this, a change in the concept from </w:t>
      </w:r>
      <w:r>
        <w:rPr>
          <w:rFonts w:ascii="Times New Roman" w:eastAsia="Times New Roman" w:hAnsi="Times New Roman" w:cs="Times New Roman"/>
          <w:b/>
          <w:i/>
          <w:sz w:val="24"/>
          <w:szCs w:val="24"/>
        </w:rPr>
        <w:t>“abnormal mind”</w:t>
      </w:r>
      <w:r>
        <w:rPr>
          <w:rFonts w:ascii="Times New Roman" w:eastAsia="Times New Roman" w:hAnsi="Times New Roman" w:cs="Times New Roman"/>
          <w:sz w:val="24"/>
          <w:szCs w:val="24"/>
        </w:rPr>
        <w:t xml:space="preserve"> to </w:t>
      </w:r>
      <w:r>
        <w:rPr>
          <w:rFonts w:ascii="Times New Roman" w:eastAsia="Times New Roman" w:hAnsi="Times New Roman" w:cs="Times New Roman"/>
          <w:b/>
          <w:i/>
          <w:sz w:val="24"/>
          <w:szCs w:val="24"/>
        </w:rPr>
        <w:t xml:space="preserve">“abnormal mental functioning” </w:t>
      </w:r>
      <w:r>
        <w:rPr>
          <w:rFonts w:ascii="Times New Roman" w:eastAsia="Times New Roman" w:hAnsi="Times New Roman" w:cs="Times New Roman"/>
          <w:sz w:val="24"/>
          <w:szCs w:val="24"/>
        </w:rPr>
        <w:t xml:space="preserve">is identified with effective support of </w:t>
      </w:r>
      <w:r>
        <w:rPr>
          <w:rFonts w:ascii="Times New Roman" w:eastAsia="Times New Roman" w:hAnsi="Times New Roman" w:cs="Times New Roman"/>
          <w:b/>
          <w:i/>
          <w:sz w:val="24"/>
          <w:szCs w:val="24"/>
        </w:rPr>
        <w:t>“s.52 Coroners and Justice Act 2009”</w:t>
      </w:r>
      <w:r>
        <w:rPr>
          <w:rFonts w:ascii="Times New Roman" w:eastAsia="Times New Roman" w:hAnsi="Times New Roman" w:cs="Times New Roman"/>
          <w:sz w:val="24"/>
          <w:szCs w:val="24"/>
        </w:rPr>
        <w:t xml:space="preserve">. In section 2, several subsections such as </w:t>
      </w:r>
      <w:r>
        <w:rPr>
          <w:rFonts w:ascii="Times New Roman" w:eastAsia="Times New Roman" w:hAnsi="Times New Roman" w:cs="Times New Roman"/>
          <w:b/>
          <w:i/>
          <w:sz w:val="24"/>
          <w:szCs w:val="24"/>
        </w:rPr>
        <w:t>(1A, 1B and 1C)</w:t>
      </w:r>
      <w:r>
        <w:rPr>
          <w:rFonts w:ascii="Times New Roman" w:eastAsia="Times New Roman" w:hAnsi="Times New Roman" w:cs="Times New Roman"/>
          <w:sz w:val="24"/>
          <w:szCs w:val="24"/>
        </w:rPr>
        <w:t xml:space="preserve"> are developed in the reformed legislation where the concept of defence of the diminished responsibility is developed clearly. Therefore, it can be concluded effective improvement is possible in the required identification of the applicant with mental instability. Additionally, several disadvantages of the changes are measured such as the development of a hybrid concept of </w:t>
      </w:r>
      <w:r>
        <w:rPr>
          <w:rFonts w:ascii="Times New Roman" w:eastAsia="Times New Roman" w:hAnsi="Times New Roman" w:cs="Times New Roman"/>
          <w:b/>
          <w:i/>
          <w:sz w:val="24"/>
          <w:szCs w:val="24"/>
        </w:rPr>
        <w:t xml:space="preserve">“mental responsibility” </w:t>
      </w:r>
      <w:r>
        <w:rPr>
          <w:rFonts w:ascii="Times New Roman" w:eastAsia="Times New Roman" w:hAnsi="Times New Roman" w:cs="Times New Roman"/>
          <w:sz w:val="24"/>
          <w:szCs w:val="24"/>
        </w:rPr>
        <w:t>which leads to the violent behaviour of the applicant.</w:t>
      </w:r>
    </w:p>
    <w:p w14:paraId="0000001E" w14:textId="1DA457B7" w:rsidR="0077750A"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the subsections in legislation helps to identify the requirement for the diminished responsibility and accuracy of the applicant to adopt these facilities. Therefore, </w:t>
      </w:r>
      <w:r w:rsidR="00212ED5">
        <w:rPr>
          <w:rFonts w:ascii="Times New Roman" w:eastAsia="Times New Roman" w:hAnsi="Times New Roman" w:cs="Times New Roman"/>
          <w:sz w:val="24"/>
          <w:szCs w:val="24"/>
        </w:rPr>
        <w:t xml:space="preserve">it is concluded </w:t>
      </w:r>
      <w:r>
        <w:rPr>
          <w:rFonts w:ascii="Times New Roman" w:eastAsia="Times New Roman" w:hAnsi="Times New Roman" w:cs="Times New Roman"/>
          <w:sz w:val="24"/>
          <w:szCs w:val="24"/>
        </w:rPr>
        <w:t xml:space="preserve">further reformation of </w:t>
      </w:r>
      <w:r>
        <w:rPr>
          <w:rFonts w:ascii="Times New Roman" w:eastAsia="Times New Roman" w:hAnsi="Times New Roman" w:cs="Times New Roman"/>
          <w:b/>
          <w:i/>
          <w:sz w:val="24"/>
          <w:szCs w:val="24"/>
        </w:rPr>
        <w:t xml:space="preserve">“The Homicide Act 1957” </w:t>
      </w:r>
      <w:r>
        <w:rPr>
          <w:rFonts w:ascii="Times New Roman" w:eastAsia="Times New Roman" w:hAnsi="Times New Roman" w:cs="Times New Roman"/>
          <w:sz w:val="24"/>
          <w:szCs w:val="24"/>
        </w:rPr>
        <w:t xml:space="preserve">for the diminished responsibility helps to establish the relevance of medical science with the investigation process to understanding mental illness.   </w:t>
      </w:r>
    </w:p>
    <w:p w14:paraId="0000001F" w14:textId="77777777" w:rsidR="0077750A" w:rsidRDefault="00000000">
      <w:pPr>
        <w:pStyle w:val="Normal1"/>
        <w:spacing w:line="360" w:lineRule="auto"/>
        <w:jc w:val="both"/>
        <w:rPr>
          <w:rFonts w:ascii="Times New Roman" w:eastAsia="Times New Roman" w:hAnsi="Times New Roman" w:cs="Times New Roman"/>
          <w:sz w:val="24"/>
          <w:szCs w:val="24"/>
        </w:rPr>
      </w:pPr>
      <w:r>
        <w:br w:type="page"/>
      </w:r>
    </w:p>
    <w:p w14:paraId="00000020" w14:textId="77777777" w:rsidR="0077750A" w:rsidRDefault="00000000" w:rsidP="00212ED5">
      <w:pPr>
        <w:pStyle w:val="Heading1"/>
      </w:pPr>
      <w:bookmarkStart w:id="3" w:name="_Toc129188350"/>
      <w:r>
        <w:lastRenderedPageBreak/>
        <w:t>Reference</w:t>
      </w:r>
      <w:bookmarkEnd w:id="3"/>
      <w:r>
        <w:t xml:space="preserve"> </w:t>
      </w:r>
    </w:p>
    <w:p w14:paraId="657816A7" w14:textId="77777777" w:rsidR="00212ED5" w:rsidRDefault="00212ED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Bettinson, V., (2019). Aligning partial defences to murder with the offence of coercive or controlling behaviour. </w:t>
      </w:r>
      <w:r>
        <w:rPr>
          <w:rFonts w:ascii="Times New Roman" w:eastAsia="Times New Roman" w:hAnsi="Times New Roman" w:cs="Times New Roman"/>
          <w:i/>
          <w:sz w:val="24"/>
          <w:szCs w:val="24"/>
        </w:rPr>
        <w:t>The Journal of Criminal Law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83</w:t>
      </w:r>
      <w:r>
        <w:rPr>
          <w:rFonts w:ascii="Times New Roman" w:eastAsia="Times New Roman" w:hAnsi="Times New Roman" w:cs="Times New Roman"/>
          <w:sz w:val="24"/>
          <w:szCs w:val="24"/>
        </w:rPr>
        <w:t>(1), pp.71-86.</w:t>
      </w:r>
    </w:p>
    <w:p w14:paraId="4B09F1D7" w14:textId="77777777" w:rsidR="00212ED5" w:rsidRDefault="00212ED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Feruzbek, K., (2020). Offence of Infanticide: National and Foreign Experiences. </w:t>
      </w:r>
      <w:r>
        <w:rPr>
          <w:rFonts w:ascii="Times New Roman" w:eastAsia="Times New Roman" w:hAnsi="Times New Roman" w:cs="Times New Roman"/>
          <w:i/>
          <w:sz w:val="24"/>
          <w:szCs w:val="24"/>
        </w:rPr>
        <w:t>Review of law sciences</w:t>
      </w:r>
      <w:r>
        <w:rPr>
          <w:rFonts w:ascii="Times New Roman" w:eastAsia="Times New Roman" w:hAnsi="Times New Roman" w:cs="Times New Roman"/>
          <w:sz w:val="24"/>
          <w:szCs w:val="24"/>
        </w:rPr>
        <w:t>, (4), pp.85-89.</w:t>
      </w:r>
    </w:p>
    <w:p w14:paraId="578F9188" w14:textId="77777777" w:rsidR="00212ED5" w:rsidRDefault="00212ED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Flynn, S., Ibrahim, S., Kapur, N., Appleby, L. and Shaw, J., (2021). Mental disorder in people convicted of homicide: long-term national trends in rates and court outcome. </w:t>
      </w:r>
      <w:r>
        <w:rPr>
          <w:rFonts w:ascii="Times New Roman" w:eastAsia="Times New Roman" w:hAnsi="Times New Roman" w:cs="Times New Roman"/>
          <w:i/>
          <w:sz w:val="24"/>
          <w:szCs w:val="24"/>
        </w:rPr>
        <w:t>The British Journal of Psychiatry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218</w:t>
      </w:r>
      <w:r>
        <w:rPr>
          <w:rFonts w:ascii="Times New Roman" w:eastAsia="Times New Roman" w:hAnsi="Times New Roman" w:cs="Times New Roman"/>
          <w:sz w:val="24"/>
          <w:szCs w:val="24"/>
        </w:rPr>
        <w:t>(4), pp.210-216.</w:t>
      </w:r>
    </w:p>
    <w:p w14:paraId="39CEF2BC" w14:textId="77777777" w:rsidR="00212ED5" w:rsidRDefault="00212ED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Fortson, R., (2021). Partial Defences to Murder: Changed Landscape and Nomenclature. </w:t>
      </w:r>
      <w:r>
        <w:rPr>
          <w:rFonts w:ascii="Times New Roman" w:eastAsia="Times New Roman" w:hAnsi="Times New Roman" w:cs="Times New Roman"/>
          <w:i/>
          <w:sz w:val="24"/>
          <w:szCs w:val="24"/>
        </w:rPr>
        <w:t>N. Ir. Legal Q.</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72</w:t>
      </w:r>
      <w:r>
        <w:rPr>
          <w:rFonts w:ascii="Times New Roman" w:eastAsia="Times New Roman" w:hAnsi="Times New Roman" w:cs="Times New Roman"/>
          <w:sz w:val="24"/>
          <w:szCs w:val="24"/>
        </w:rPr>
        <w:t>, p.171.</w:t>
      </w:r>
    </w:p>
    <w:p w14:paraId="5342F874" w14:textId="77777777" w:rsidR="00212ED5" w:rsidRDefault="00212ED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Reed, A., Wake, N. and Simpson, B., (2021). 'Domestic and Comparative Perspectives on Loss of Self-Control and Diminished Responsibility as Partial Defences to Murder: A 10-Year Review of the Coroners and Justice Act 2009 Reform Framework'. </w:t>
      </w:r>
      <w:r>
        <w:rPr>
          <w:rFonts w:ascii="Times New Roman" w:eastAsia="Times New Roman" w:hAnsi="Times New Roman" w:cs="Times New Roman"/>
          <w:i/>
          <w:sz w:val="24"/>
          <w:szCs w:val="24"/>
        </w:rPr>
        <w:t>N. Ir. Legal Q.</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72</w:t>
      </w:r>
      <w:r>
        <w:rPr>
          <w:rFonts w:ascii="Times New Roman" w:eastAsia="Times New Roman" w:hAnsi="Times New Roman" w:cs="Times New Roman"/>
          <w:sz w:val="24"/>
          <w:szCs w:val="24"/>
        </w:rPr>
        <w:t>, p.161.</w:t>
      </w:r>
    </w:p>
    <w:p w14:paraId="4B425208" w14:textId="77777777" w:rsidR="00212ED5" w:rsidRDefault="00212ED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Ulbrick, M., Flynn, A. and Tyson, D., (2019). An argument for diminished culpability manslaughter: Responding to gaps in Victorian homicide law. </w:t>
      </w:r>
      <w:r>
        <w:rPr>
          <w:rFonts w:ascii="Times New Roman" w:eastAsia="Times New Roman" w:hAnsi="Times New Roman" w:cs="Times New Roman"/>
          <w:i/>
          <w:sz w:val="24"/>
          <w:szCs w:val="24"/>
        </w:rPr>
        <w:t>Monash University Law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(1), pp.201-231.</w:t>
      </w:r>
    </w:p>
    <w:p w14:paraId="00000027" w14:textId="77777777" w:rsidR="0077750A" w:rsidRDefault="00000000">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Websites </w:t>
      </w:r>
    </w:p>
    <w:p w14:paraId="00000028" w14:textId="77777777" w:rsidR="0077750A"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Legislation.gov.uk, (2019). Homicide Act 1957. </w:t>
      </w:r>
      <w:r>
        <w:rPr>
          <w:rFonts w:ascii="Times New Roman" w:eastAsia="Times New Roman" w:hAnsi="Times New Roman" w:cs="Times New Roman"/>
          <w:sz w:val="24"/>
          <w:szCs w:val="24"/>
        </w:rPr>
        <w:t>Available at:</w:t>
      </w:r>
      <w:hyperlink r:id="rId7" w:anchor=":~:text=2Persons%20suffering%20from%20diminished%20responsibility&amp;text=(2)On%20a%20charge%20of,to%20be%20convicted%20of%20murder">
        <w:r>
          <w:rPr>
            <w:rFonts w:ascii="Times New Roman" w:eastAsia="Times New Roman" w:hAnsi="Times New Roman" w:cs="Times New Roman"/>
            <w:sz w:val="24"/>
            <w:szCs w:val="24"/>
          </w:rPr>
          <w:t xml:space="preserve"> </w:t>
        </w:r>
      </w:hyperlink>
      <w:hyperlink r:id="rId8" w:anchor=":~:text=2Persons%20suffering%20from%20diminished%20responsibility&amp;text=(2)On%20a%20charge%20of,to%20be%20convicted%20of%20murder">
        <w:r>
          <w:rPr>
            <w:rFonts w:ascii="Times New Roman" w:eastAsia="Times New Roman" w:hAnsi="Times New Roman" w:cs="Times New Roman"/>
            <w:color w:val="1155CC"/>
            <w:sz w:val="24"/>
            <w:szCs w:val="24"/>
            <w:highlight w:val="white"/>
            <w:u w:val="single"/>
          </w:rPr>
          <w:t>https://www.legislation.gov.uk/ukpga/Eliz2/5-6/11/section/2/enacted#:~:text=2Persons%20suffering%20from%20diminished%20responsibility&amp;text=(2)On%20a%20charge%20of,to%20be%20convicted%20of%20murder</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8 March 2023]</w:t>
      </w:r>
    </w:p>
    <w:p w14:paraId="00000029" w14:textId="77777777" w:rsidR="0077750A"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Legislation.gov.uk, (2020). Homicide Act 1957. </w:t>
      </w:r>
      <w:r>
        <w:rPr>
          <w:rFonts w:ascii="Times New Roman" w:eastAsia="Times New Roman" w:hAnsi="Times New Roman" w:cs="Times New Roman"/>
          <w:sz w:val="24"/>
          <w:szCs w:val="24"/>
        </w:rPr>
        <w:t>Available at:</w:t>
      </w:r>
      <w:hyperlink r:id="rId9">
        <w:r>
          <w:rPr>
            <w:rFonts w:ascii="Times New Roman" w:eastAsia="Times New Roman" w:hAnsi="Times New Roman" w:cs="Times New Roman"/>
            <w:sz w:val="24"/>
            <w:szCs w:val="24"/>
          </w:rPr>
          <w:t xml:space="preserve"> </w:t>
        </w:r>
      </w:hyperlink>
      <w:hyperlink r:id="rId10">
        <w:r>
          <w:rPr>
            <w:rFonts w:ascii="Times New Roman" w:eastAsia="Times New Roman" w:hAnsi="Times New Roman" w:cs="Times New Roman"/>
            <w:color w:val="1155CC"/>
            <w:sz w:val="24"/>
            <w:szCs w:val="24"/>
            <w:highlight w:val="white"/>
            <w:u w:val="single"/>
          </w:rPr>
          <w:t>https://www.legislation.gov.uk/ukpga/Eliz2/5-6/11/section/2</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8 March 2023]</w:t>
      </w:r>
    </w:p>
    <w:p w14:paraId="0000002A" w14:textId="77777777" w:rsidR="0077750A"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Mentalhealthlaw.co.uk, (2022). Diminished responsibility cases. Available at:</w:t>
      </w:r>
      <w:hyperlink r:id="rId11">
        <w:r>
          <w:rPr>
            <w:rFonts w:ascii="Times New Roman" w:eastAsia="Times New Roman" w:hAnsi="Times New Roman" w:cs="Times New Roman"/>
            <w:sz w:val="24"/>
            <w:szCs w:val="24"/>
          </w:rPr>
          <w:t xml:space="preserve"> </w:t>
        </w:r>
      </w:hyperlink>
      <w:hyperlink r:id="rId12">
        <w:r>
          <w:rPr>
            <w:rFonts w:ascii="Times New Roman" w:eastAsia="Times New Roman" w:hAnsi="Times New Roman" w:cs="Times New Roman"/>
            <w:color w:val="1155CC"/>
            <w:sz w:val="24"/>
            <w:szCs w:val="24"/>
            <w:u w:val="single"/>
          </w:rPr>
          <w:t>https://www.mentalhealthlaw.co.uk/Category:Diminished_responsibility_cases</w:t>
        </w:r>
      </w:hyperlink>
      <w:r>
        <w:rPr>
          <w:rFonts w:ascii="Times New Roman" w:eastAsia="Times New Roman" w:hAnsi="Times New Roman" w:cs="Times New Roman"/>
          <w:sz w:val="24"/>
          <w:szCs w:val="24"/>
        </w:rPr>
        <w:t xml:space="preserve"> [Accessed: 8 March 2023]</w:t>
      </w:r>
    </w:p>
    <w:p w14:paraId="0000002B" w14:textId="77777777" w:rsidR="0077750A"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Lawgazette.co.uk, (2023). Changes to the law of homicide. Available at:</w:t>
      </w:r>
      <w:hyperlink r:id="rId13" w:anchor=":~:text=The%20first%20set%20of%20changes,defence%2C%20reducing%20murder%20to%20manslaughter">
        <w:r>
          <w:rPr>
            <w:rFonts w:ascii="Times New Roman" w:eastAsia="Times New Roman" w:hAnsi="Times New Roman" w:cs="Times New Roman"/>
            <w:sz w:val="24"/>
            <w:szCs w:val="24"/>
          </w:rPr>
          <w:t xml:space="preserve"> </w:t>
        </w:r>
      </w:hyperlink>
      <w:hyperlink r:id="rId14" w:anchor=":~:text=The%20first%20set%20of%20changes,defence%2C%20reducing%20murder%20to%20manslaughter">
        <w:r>
          <w:rPr>
            <w:rFonts w:ascii="Times New Roman" w:eastAsia="Times New Roman" w:hAnsi="Times New Roman" w:cs="Times New Roman"/>
            <w:color w:val="1155CC"/>
            <w:sz w:val="24"/>
            <w:szCs w:val="24"/>
            <w:u w:val="single"/>
          </w:rPr>
          <w:t>https://www.lawgazette.co.uk/law/changes-to-the-law-of-homicide/56789.article#:~:text=The%20first%20set%20of%20changes,defence%2C%20reducing%20murder%20to%20manslaughter</w:t>
        </w:r>
      </w:hyperlink>
      <w:r>
        <w:rPr>
          <w:rFonts w:ascii="Times New Roman" w:eastAsia="Times New Roman" w:hAnsi="Times New Roman" w:cs="Times New Roman"/>
          <w:sz w:val="24"/>
          <w:szCs w:val="24"/>
        </w:rPr>
        <w:t>. [Accessed: 8 March 2023]</w:t>
      </w:r>
    </w:p>
    <w:p w14:paraId="0000002C" w14:textId="77777777" w:rsidR="0077750A" w:rsidRDefault="0000000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2D" w14:textId="77777777" w:rsidR="0077750A" w:rsidRDefault="0077750A">
      <w:pPr>
        <w:pStyle w:val="Normal1"/>
        <w:spacing w:line="360" w:lineRule="auto"/>
        <w:jc w:val="both"/>
        <w:rPr>
          <w:rFonts w:ascii="Times New Roman" w:eastAsia="Times New Roman" w:hAnsi="Times New Roman" w:cs="Times New Roman"/>
          <w:sz w:val="24"/>
          <w:szCs w:val="24"/>
        </w:rPr>
      </w:pPr>
    </w:p>
    <w:p w14:paraId="0000002E" w14:textId="77777777" w:rsidR="0077750A" w:rsidRDefault="0077750A">
      <w:pPr>
        <w:pStyle w:val="Normal1"/>
        <w:spacing w:line="360" w:lineRule="auto"/>
        <w:jc w:val="both"/>
        <w:rPr>
          <w:rFonts w:ascii="Times New Roman" w:eastAsia="Times New Roman" w:hAnsi="Times New Roman" w:cs="Times New Roman"/>
          <w:sz w:val="24"/>
          <w:szCs w:val="24"/>
        </w:rPr>
      </w:pPr>
    </w:p>
    <w:sectPr w:rsidR="0077750A">
      <w:footerReference w:type="default" r:id="rId15"/>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2B107" w14:textId="77777777" w:rsidR="007E4520" w:rsidRDefault="007E4520" w:rsidP="00212ED5">
      <w:pPr>
        <w:spacing w:line="240" w:lineRule="auto"/>
      </w:pPr>
      <w:r>
        <w:separator/>
      </w:r>
    </w:p>
  </w:endnote>
  <w:endnote w:type="continuationSeparator" w:id="0">
    <w:p w14:paraId="0ECCD154" w14:textId="77777777" w:rsidR="007E4520" w:rsidRDefault="007E4520" w:rsidP="00212E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348510"/>
      <w:docPartObj>
        <w:docPartGallery w:val="Page Numbers (Bottom of Page)"/>
        <w:docPartUnique/>
      </w:docPartObj>
    </w:sdtPr>
    <w:sdtEndPr>
      <w:rPr>
        <w:rFonts w:ascii="Times New Roman" w:hAnsi="Times New Roman" w:cs="Times New Roman"/>
        <w:noProof/>
        <w:sz w:val="20"/>
        <w:szCs w:val="20"/>
      </w:rPr>
    </w:sdtEndPr>
    <w:sdtContent>
      <w:p w14:paraId="661358D2" w14:textId="25C44B8A" w:rsidR="00212ED5" w:rsidRPr="00212ED5" w:rsidRDefault="00212ED5">
        <w:pPr>
          <w:pStyle w:val="Footer"/>
          <w:jc w:val="right"/>
          <w:rPr>
            <w:rFonts w:ascii="Times New Roman" w:hAnsi="Times New Roman" w:cs="Times New Roman"/>
            <w:sz w:val="20"/>
            <w:szCs w:val="20"/>
          </w:rPr>
        </w:pPr>
        <w:r w:rsidRPr="00212ED5">
          <w:rPr>
            <w:rFonts w:ascii="Times New Roman" w:hAnsi="Times New Roman" w:cs="Times New Roman"/>
            <w:sz w:val="20"/>
            <w:szCs w:val="20"/>
          </w:rPr>
          <w:fldChar w:fldCharType="begin"/>
        </w:r>
        <w:r w:rsidRPr="00212ED5">
          <w:rPr>
            <w:rFonts w:ascii="Times New Roman" w:hAnsi="Times New Roman" w:cs="Times New Roman"/>
            <w:sz w:val="20"/>
            <w:szCs w:val="20"/>
          </w:rPr>
          <w:instrText xml:space="preserve"> PAGE   \* MERGEFORMAT </w:instrText>
        </w:r>
        <w:r w:rsidRPr="00212ED5">
          <w:rPr>
            <w:rFonts w:ascii="Times New Roman" w:hAnsi="Times New Roman" w:cs="Times New Roman"/>
            <w:sz w:val="20"/>
            <w:szCs w:val="20"/>
          </w:rPr>
          <w:fldChar w:fldCharType="separate"/>
        </w:r>
        <w:r w:rsidRPr="00212ED5">
          <w:rPr>
            <w:rFonts w:ascii="Times New Roman" w:hAnsi="Times New Roman" w:cs="Times New Roman"/>
            <w:noProof/>
            <w:sz w:val="20"/>
            <w:szCs w:val="20"/>
          </w:rPr>
          <w:t>2</w:t>
        </w:r>
        <w:r w:rsidRPr="00212ED5">
          <w:rPr>
            <w:rFonts w:ascii="Times New Roman" w:hAnsi="Times New Roman" w:cs="Times New Roman"/>
            <w:noProof/>
            <w:sz w:val="20"/>
            <w:szCs w:val="20"/>
          </w:rPr>
          <w:fldChar w:fldCharType="end"/>
        </w:r>
      </w:p>
    </w:sdtContent>
  </w:sdt>
  <w:p w14:paraId="06310DA6" w14:textId="77777777" w:rsidR="00212ED5" w:rsidRDefault="00212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3A4D1" w14:textId="77777777" w:rsidR="007E4520" w:rsidRDefault="007E4520" w:rsidP="00212ED5">
      <w:pPr>
        <w:spacing w:line="240" w:lineRule="auto"/>
      </w:pPr>
      <w:r>
        <w:separator/>
      </w:r>
    </w:p>
  </w:footnote>
  <w:footnote w:type="continuationSeparator" w:id="0">
    <w:p w14:paraId="09A702B2" w14:textId="77777777" w:rsidR="007E4520" w:rsidRDefault="007E4520" w:rsidP="00212ED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50A"/>
    <w:rsid w:val="00212ED5"/>
    <w:rsid w:val="0077750A"/>
    <w:rsid w:val="007E452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DEB03"/>
  <w15:docId w15:val="{13485684-2E29-49D8-A9F9-7A1D515D1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212ED5"/>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212ED5"/>
    <w:pPr>
      <w:tabs>
        <w:tab w:val="center" w:pos="4513"/>
        <w:tab w:val="right" w:pos="9026"/>
      </w:tabs>
      <w:spacing w:line="240" w:lineRule="auto"/>
    </w:pPr>
  </w:style>
  <w:style w:type="character" w:customStyle="1" w:styleId="HeaderChar">
    <w:name w:val="Header Char"/>
    <w:basedOn w:val="DefaultParagraphFont"/>
    <w:link w:val="Header"/>
    <w:uiPriority w:val="99"/>
    <w:rsid w:val="00212ED5"/>
  </w:style>
  <w:style w:type="paragraph" w:styleId="Footer">
    <w:name w:val="footer"/>
    <w:basedOn w:val="Normal"/>
    <w:link w:val="FooterChar"/>
    <w:uiPriority w:val="99"/>
    <w:unhideWhenUsed/>
    <w:rsid w:val="00212ED5"/>
    <w:pPr>
      <w:tabs>
        <w:tab w:val="center" w:pos="4513"/>
        <w:tab w:val="right" w:pos="9026"/>
      </w:tabs>
      <w:spacing w:line="240" w:lineRule="auto"/>
    </w:pPr>
  </w:style>
  <w:style w:type="character" w:customStyle="1" w:styleId="FooterChar">
    <w:name w:val="Footer Char"/>
    <w:basedOn w:val="DefaultParagraphFont"/>
    <w:link w:val="Footer"/>
    <w:uiPriority w:val="99"/>
    <w:rsid w:val="00212ED5"/>
  </w:style>
  <w:style w:type="paragraph" w:styleId="TOCHeading">
    <w:name w:val="TOC Heading"/>
    <w:basedOn w:val="Heading1"/>
    <w:next w:val="Normal"/>
    <w:uiPriority w:val="39"/>
    <w:unhideWhenUsed/>
    <w:qFormat/>
    <w:rsid w:val="00212ED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12ED5"/>
    <w:pPr>
      <w:spacing w:after="100"/>
    </w:pPr>
  </w:style>
  <w:style w:type="character" w:styleId="Hyperlink">
    <w:name w:val="Hyperlink"/>
    <w:basedOn w:val="DefaultParagraphFont"/>
    <w:uiPriority w:val="99"/>
    <w:unhideWhenUsed/>
    <w:rsid w:val="00212E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egislation.gov.uk/ukpga/Eliz2/5-6/11/section/2/enacted" TargetMode="External"/><Relationship Id="rId13" Type="http://schemas.openxmlformats.org/officeDocument/2006/relationships/hyperlink" Target="https://www.lawgazette.co.uk/law/changes-to-the-law-of-homicide/56789.article" TargetMode="External"/><Relationship Id="rId3" Type="http://schemas.openxmlformats.org/officeDocument/2006/relationships/settings" Target="settings.xml"/><Relationship Id="rId7" Type="http://schemas.openxmlformats.org/officeDocument/2006/relationships/hyperlink" Target="https://www.legislation.gov.uk/ukpga/Eliz2/5-6/11/section/2/enacted" TargetMode="External"/><Relationship Id="rId12" Type="http://schemas.openxmlformats.org/officeDocument/2006/relationships/hyperlink" Target="https://www.mentalhealthlaw.co.uk/Category:Diminished_responsibility_cas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ntalhealthlaw.co.uk/Category:Diminished_responsibility_cas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egislation.gov.uk/ukpga/Eliz2/5-6/11/section/2" TargetMode="External"/><Relationship Id="rId4" Type="http://schemas.openxmlformats.org/officeDocument/2006/relationships/webSettings" Target="webSettings.xml"/><Relationship Id="rId9" Type="http://schemas.openxmlformats.org/officeDocument/2006/relationships/hyperlink" Target="https://www.legislation.gov.uk/ukpga/Eliz2/5-6/11/section/2" TargetMode="External"/><Relationship Id="rId14" Type="http://schemas.openxmlformats.org/officeDocument/2006/relationships/hyperlink" Target="https://www.lawgazette.co.uk/law/changes-to-the-law-of-homicide/56789.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DE4CE-618A-4DFF-8FBC-C9F84A79C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2004</Words>
  <Characters>11425</Characters>
  <Application>Microsoft Office Word</Application>
  <DocSecurity>0</DocSecurity>
  <Lines>95</Lines>
  <Paragraphs>26</Paragraphs>
  <ScaleCrop>false</ScaleCrop>
  <Company/>
  <LinksUpToDate>false</LinksUpToDate>
  <CharactersWithSpaces>13403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Doyel Basak</cp:lastModifiedBy>
  <cp:revision>1</cp:revision>
  <dcterms:created xsi:type="dcterms:W3CDTF">2023-03-08T11:46:00Z</dcterms:created>
  <dcterms:modified xsi:type="dcterms:W3CDTF">2023-03-08T11:49:00Z</dcterms:modified>
</cp:coreProperties>
</file>