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DACFD" w14:textId="51A2B5CF" w:rsidR="00E50A99" w:rsidRDefault="00EA1D7B" w:rsidP="00383675">
      <w:pPr>
        <w:jc w:val="both"/>
      </w:pPr>
      <w:r w:rsidRPr="00EA1D7B">
        <w:drawing>
          <wp:inline distT="0" distB="0" distL="0" distR="0" wp14:anchorId="6A25B398" wp14:editId="4367AF8D">
            <wp:extent cx="5781675" cy="8229600"/>
            <wp:effectExtent l="0" t="0" r="0" b="0"/>
            <wp:docPr id="1180503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503685" name=""/>
                    <pic:cNvPicPr/>
                  </pic:nvPicPr>
                  <pic:blipFill>
                    <a:blip r:embed="rId7"/>
                    <a:stretch>
                      <a:fillRect/>
                    </a:stretch>
                  </pic:blipFill>
                  <pic:spPr>
                    <a:xfrm>
                      <a:off x="0" y="0"/>
                      <a:ext cx="5781675" cy="8229600"/>
                    </a:xfrm>
                    <a:prstGeom prst="rect">
                      <a:avLst/>
                    </a:prstGeom>
                  </pic:spPr>
                </pic:pic>
              </a:graphicData>
            </a:graphic>
          </wp:inline>
        </w:drawing>
      </w:r>
    </w:p>
    <w:p w14:paraId="573AD7A6" w14:textId="77777777" w:rsidR="00E50A99" w:rsidRDefault="00E50A99" w:rsidP="00383675">
      <w:pPr>
        <w:jc w:val="both"/>
      </w:pPr>
    </w:p>
    <w:p w14:paraId="479352A1" w14:textId="23322ED1" w:rsidR="0043583C" w:rsidRPr="004C63D2" w:rsidRDefault="00755850" w:rsidP="00383675">
      <w:pPr>
        <w:jc w:val="both"/>
      </w:pPr>
      <w:r w:rsidRPr="004C63D2">
        <w:t>AI Disclaimer:</w:t>
      </w:r>
    </w:p>
    <w:p w14:paraId="71F62058" w14:textId="088A5105" w:rsidR="00755850" w:rsidRPr="004C63D2" w:rsidRDefault="00755850" w:rsidP="00383675">
      <w:pPr>
        <w:jc w:val="both"/>
      </w:pPr>
      <w:r w:rsidRPr="004C63D2">
        <w:t>Perplexity, ChatGPT for idea generation</w:t>
      </w:r>
    </w:p>
    <w:p w14:paraId="379F1296" w14:textId="3C9D2F0D" w:rsidR="00755850" w:rsidRDefault="00755850" w:rsidP="00383675">
      <w:pPr>
        <w:jc w:val="both"/>
      </w:pPr>
    </w:p>
    <w:p w14:paraId="55E768FC" w14:textId="63F6C616" w:rsidR="00180C99" w:rsidRPr="00180C99" w:rsidRDefault="00180C99" w:rsidP="00383675">
      <w:pPr>
        <w:jc w:val="both"/>
        <w:rPr>
          <w:b/>
          <w:bCs/>
        </w:rPr>
      </w:pPr>
      <w:r w:rsidRPr="00180C99">
        <w:rPr>
          <w:b/>
          <w:bCs/>
        </w:rPr>
        <w:t>Title of Project:</w:t>
      </w:r>
    </w:p>
    <w:p w14:paraId="3E54CE95" w14:textId="77777777" w:rsidR="00180C99" w:rsidRPr="004C63D2" w:rsidRDefault="00180C99" w:rsidP="00383675">
      <w:pPr>
        <w:jc w:val="both"/>
      </w:pPr>
    </w:p>
    <w:p w14:paraId="1D2A0290" w14:textId="0B8DE394" w:rsidR="00B125A6" w:rsidRPr="004C63D2" w:rsidRDefault="00B125A6" w:rsidP="00383675">
      <w:pPr>
        <w:jc w:val="both"/>
      </w:pPr>
      <w:r w:rsidRPr="004C63D2">
        <w:rPr>
          <w:rStyle w:val="Emphasis"/>
          <w:color w:val="000000"/>
        </w:rPr>
        <w:t>Organizational Adoption of Telerehabilitation in Elderly Community Settings: A TOE and Institutional Perspective</w:t>
      </w:r>
    </w:p>
    <w:p w14:paraId="2401501D" w14:textId="77777777" w:rsidR="00F249C4" w:rsidRPr="004C63D2" w:rsidRDefault="00F249C4" w:rsidP="00383675">
      <w:pPr>
        <w:spacing w:before="100" w:beforeAutospacing="1" w:after="100" w:afterAutospacing="1"/>
        <w:jc w:val="both"/>
        <w:outlineLvl w:val="2"/>
        <w:rPr>
          <w:b/>
          <w:bCs/>
          <w:color w:val="000000"/>
        </w:rPr>
      </w:pPr>
      <w:r w:rsidRPr="004C63D2">
        <w:rPr>
          <w:b/>
          <w:bCs/>
          <w:color w:val="000000"/>
        </w:rPr>
        <w:t>Abstract</w:t>
      </w:r>
    </w:p>
    <w:p w14:paraId="167FBFD0" w14:textId="77777777" w:rsidR="00774246" w:rsidRPr="004C63D2" w:rsidRDefault="00774246" w:rsidP="00383675">
      <w:pPr>
        <w:spacing w:before="100" w:beforeAutospacing="1" w:after="100" w:afterAutospacing="1"/>
        <w:jc w:val="both"/>
        <w:rPr>
          <w:color w:val="000000"/>
        </w:rPr>
      </w:pPr>
      <w:r w:rsidRPr="004C63D2">
        <w:rPr>
          <w:color w:val="000000"/>
        </w:rPr>
        <w:t>The increasing demand for elderly rehabilitation services, combined with workforce and resource constraints, has highlighted the potential of telerehabilitation as a scalable and cost-effective solution. While previous studies have largely focused on individual-level technology acceptance, the organizational and management perspectives on telerehabilitation adoption remain underexplored. This study aims to investigate the organizational behavior underlying the adoption of telerehabilitation in elderly community care settings.</w:t>
      </w:r>
    </w:p>
    <w:p w14:paraId="3DEE5E10" w14:textId="77777777" w:rsidR="00774246" w:rsidRPr="004C63D2" w:rsidRDefault="00774246" w:rsidP="00383675">
      <w:pPr>
        <w:spacing w:before="100" w:beforeAutospacing="1" w:after="100" w:afterAutospacing="1"/>
        <w:jc w:val="both"/>
        <w:rPr>
          <w:color w:val="000000"/>
        </w:rPr>
      </w:pPr>
      <w:r w:rsidRPr="004C63D2">
        <w:rPr>
          <w:color w:val="000000"/>
        </w:rPr>
        <w:t>Drawing on the </w:t>
      </w:r>
      <w:r w:rsidRPr="004C63D2">
        <w:rPr>
          <w:b/>
          <w:bCs/>
          <w:color w:val="000000"/>
        </w:rPr>
        <w:t>Technology–Organization–Environment (TOE) framework</w:t>
      </w:r>
      <w:r w:rsidRPr="004C63D2">
        <w:rPr>
          <w:color w:val="000000"/>
        </w:rPr>
        <w:t>, </w:t>
      </w:r>
      <w:r w:rsidRPr="004C63D2">
        <w:rPr>
          <w:b/>
          <w:bCs/>
          <w:color w:val="000000"/>
        </w:rPr>
        <w:t>Institutional Theory</w:t>
      </w:r>
      <w:r w:rsidRPr="004C63D2">
        <w:rPr>
          <w:color w:val="000000"/>
        </w:rPr>
        <w:t>, and the </w:t>
      </w:r>
      <w:r w:rsidRPr="004C63D2">
        <w:rPr>
          <w:b/>
          <w:bCs/>
          <w:color w:val="000000"/>
        </w:rPr>
        <w:t>Socio-Technical Systems perspective</w:t>
      </w:r>
      <w:r w:rsidRPr="004C63D2">
        <w:rPr>
          <w:color w:val="000000"/>
        </w:rPr>
        <w:t>, this research develops an integrated framework to explain organizational decision-making. Specifically, it examines (</w:t>
      </w:r>
      <w:proofErr w:type="spellStart"/>
      <w:r w:rsidRPr="004C63D2">
        <w:rPr>
          <w:color w:val="000000"/>
        </w:rPr>
        <w:t>i</w:t>
      </w:r>
      <w:proofErr w:type="spellEnd"/>
      <w:r w:rsidRPr="004C63D2">
        <w:rPr>
          <w:color w:val="000000"/>
        </w:rPr>
        <w:t>) how technological, organizational, and environmental factors influence adoption, (ii) how institutional pressures (coercive, mimetic, normative) shape decision-making, and (iii) how socio-technical alignment between people, processes, and technology supports sustainable implementation.</w:t>
      </w:r>
    </w:p>
    <w:p w14:paraId="7C9B5AEF" w14:textId="3E271AA8" w:rsidR="00774246" w:rsidRPr="004C63D2" w:rsidRDefault="00774246" w:rsidP="00383675">
      <w:pPr>
        <w:spacing w:before="100" w:beforeAutospacing="1" w:after="100" w:afterAutospacing="1"/>
        <w:jc w:val="both"/>
        <w:rPr>
          <w:color w:val="000000"/>
        </w:rPr>
      </w:pPr>
      <w:r w:rsidRPr="004C63D2">
        <w:rPr>
          <w:color w:val="000000"/>
        </w:rPr>
        <w:t>A </w:t>
      </w:r>
      <w:r w:rsidRPr="004C63D2">
        <w:rPr>
          <w:b/>
          <w:bCs/>
          <w:color w:val="000000"/>
        </w:rPr>
        <w:t>mixed-methods sequential explanatory design</w:t>
      </w:r>
      <w:r w:rsidRPr="004C63D2">
        <w:rPr>
          <w:color w:val="000000"/>
        </w:rPr>
        <w:t> will be employed. Quantitative data will be collected through a survey of managers and clinicians in elderly community organizations, followed by statistical analysis using structural equation modeling (SEM). The quantitative results will inform the selection of case studies, where qualitative interviews and thematic analysis will provide deeper insights into organizational dynamics. Findings from both phases will be integrated to generate a holistic understanding of adoption behavior.</w:t>
      </w:r>
    </w:p>
    <w:p w14:paraId="6EFC7BD5" w14:textId="77777777" w:rsidR="00774246" w:rsidRPr="004C63D2" w:rsidRDefault="00774246" w:rsidP="00383675">
      <w:pPr>
        <w:spacing w:before="100" w:beforeAutospacing="1" w:after="100" w:afterAutospacing="1"/>
        <w:jc w:val="both"/>
        <w:rPr>
          <w:color w:val="000000"/>
        </w:rPr>
      </w:pPr>
      <w:r w:rsidRPr="004C63D2">
        <w:rPr>
          <w:color w:val="000000"/>
        </w:rPr>
        <w:t>This study contributes theoretically by extending the TOE framework with institutional and socio-technical perspectives, offering a richer explanation of organizational adoption. Practically, it will provide evidence-based recommendations for healthcare managers, policymakers, and community organizations on how to overcome barriers, leverage enablers, and sustain telerehabilitation practices for elderly populations.</w:t>
      </w:r>
    </w:p>
    <w:p w14:paraId="71A7C2CF" w14:textId="77777777" w:rsidR="00774246" w:rsidRPr="004C63D2" w:rsidRDefault="00774246" w:rsidP="00383675">
      <w:pPr>
        <w:spacing w:before="100" w:beforeAutospacing="1" w:after="100" w:afterAutospacing="1"/>
        <w:jc w:val="both"/>
        <w:rPr>
          <w:color w:val="000000"/>
        </w:rPr>
      </w:pPr>
      <w:r w:rsidRPr="004C63D2">
        <w:rPr>
          <w:b/>
          <w:bCs/>
          <w:color w:val="000000"/>
        </w:rPr>
        <w:t>Keywords:</w:t>
      </w:r>
      <w:r w:rsidRPr="004C63D2">
        <w:rPr>
          <w:color w:val="000000"/>
        </w:rPr>
        <w:t> Telerehabilitation; Elderly Care; Organizational Adoption; Technology–Organization–Environment (TOE); Institutional Theory; Socio-Technical Systems; Digital Health; Technology Acceptance</w:t>
      </w:r>
    </w:p>
    <w:p w14:paraId="1203ECDD" w14:textId="77777777" w:rsidR="00F74758" w:rsidRPr="004C63D2" w:rsidRDefault="00F74758" w:rsidP="00383675">
      <w:pPr>
        <w:spacing w:before="100" w:beforeAutospacing="1" w:after="100" w:afterAutospacing="1"/>
        <w:jc w:val="both"/>
        <w:outlineLvl w:val="2"/>
      </w:pPr>
    </w:p>
    <w:p w14:paraId="0720F672" w14:textId="77777777" w:rsidR="006E10B7" w:rsidRDefault="006E10B7" w:rsidP="00383675">
      <w:pPr>
        <w:spacing w:before="100" w:beforeAutospacing="1" w:after="100" w:afterAutospacing="1"/>
        <w:jc w:val="both"/>
        <w:outlineLvl w:val="0"/>
        <w:rPr>
          <w:b/>
          <w:bCs/>
          <w:color w:val="000000"/>
          <w:kern w:val="36"/>
        </w:rPr>
      </w:pPr>
    </w:p>
    <w:p w14:paraId="2813B69A" w14:textId="670D5FCC" w:rsidR="00D621CB" w:rsidRPr="004C63D2" w:rsidRDefault="00D621CB" w:rsidP="00383675">
      <w:pPr>
        <w:spacing w:before="100" w:beforeAutospacing="1" w:after="100" w:afterAutospacing="1"/>
        <w:jc w:val="both"/>
        <w:outlineLvl w:val="0"/>
        <w:rPr>
          <w:b/>
          <w:bCs/>
          <w:color w:val="000000"/>
          <w:kern w:val="36"/>
        </w:rPr>
      </w:pPr>
      <w:r w:rsidRPr="004C63D2">
        <w:rPr>
          <w:b/>
          <w:bCs/>
          <w:color w:val="000000"/>
          <w:kern w:val="36"/>
        </w:rPr>
        <w:lastRenderedPageBreak/>
        <w:t>1. Introduction</w:t>
      </w:r>
    </w:p>
    <w:p w14:paraId="1751075E" w14:textId="77777777" w:rsidR="00D621CB" w:rsidRPr="004C63D2" w:rsidRDefault="00D621CB" w:rsidP="00383675">
      <w:pPr>
        <w:spacing w:before="100" w:beforeAutospacing="1" w:after="100" w:afterAutospacing="1"/>
        <w:jc w:val="both"/>
        <w:outlineLvl w:val="1"/>
        <w:rPr>
          <w:b/>
          <w:bCs/>
          <w:color w:val="000000"/>
        </w:rPr>
      </w:pPr>
      <w:r w:rsidRPr="004C63D2">
        <w:rPr>
          <w:b/>
          <w:bCs/>
          <w:color w:val="000000"/>
        </w:rPr>
        <w:t>1.1 Background</w:t>
      </w:r>
    </w:p>
    <w:p w14:paraId="1A946E54" w14:textId="77777777" w:rsidR="00D621CB" w:rsidRPr="004C63D2" w:rsidRDefault="00D621CB" w:rsidP="00383675">
      <w:pPr>
        <w:spacing w:before="100" w:beforeAutospacing="1" w:after="100" w:afterAutospacing="1"/>
        <w:jc w:val="both"/>
        <w:rPr>
          <w:color w:val="000000"/>
        </w:rPr>
      </w:pPr>
      <w:r w:rsidRPr="004C63D2">
        <w:rPr>
          <w:color w:val="000000"/>
        </w:rPr>
        <w:t>The global aging population poses unprecedented challenges to healthcare systems. With rising longevity and increasing prevalence of chronic conditions, elderly individuals often require prolonged and specialized rehabilitation services. Traditional in-person rehabilitation, while effective, is resource-intensive and constrained by staffing, infrastructure, and accessibility barriers. Against this backdrop, </w:t>
      </w:r>
      <w:r w:rsidRPr="004C63D2">
        <w:rPr>
          <w:b/>
          <w:bCs/>
          <w:color w:val="000000"/>
        </w:rPr>
        <w:t>telerehabilitation</w:t>
      </w:r>
      <w:r w:rsidRPr="004C63D2">
        <w:rPr>
          <w:color w:val="000000"/>
        </w:rPr>
        <w:t>—the delivery of rehabilitation services via digital and communication technologies—has emerged as a promising innovation. It offers flexibility, reduces travel burdens, and supports continuity of care, particularly for older adults with mobility limitations or those residing in underserved communities.</w:t>
      </w:r>
    </w:p>
    <w:p w14:paraId="4B594370" w14:textId="1F1F7E2E" w:rsidR="00D621CB" w:rsidRPr="004C63D2" w:rsidRDefault="00D621CB" w:rsidP="00383675">
      <w:pPr>
        <w:spacing w:before="100" w:beforeAutospacing="1" w:after="100" w:afterAutospacing="1"/>
        <w:jc w:val="both"/>
        <w:rPr>
          <w:color w:val="000000"/>
        </w:rPr>
      </w:pPr>
      <w:r w:rsidRPr="004C63D2">
        <w:rPr>
          <w:color w:val="000000"/>
        </w:rPr>
        <w:t>Despite its promise, the organizational adoption of telerehabilitation in elderly community settings remains uneven. Much of the existing research has focused on </w:t>
      </w:r>
      <w:r w:rsidRPr="004C63D2">
        <w:rPr>
          <w:b/>
          <w:bCs/>
          <w:color w:val="000000"/>
        </w:rPr>
        <w:t>individual-level technology acceptance</w:t>
      </w:r>
      <w:r w:rsidRPr="004C63D2">
        <w:rPr>
          <w:color w:val="000000"/>
        </w:rPr>
        <w:t xml:space="preserve"> (e.g., patient or clinician willingness to use digital platforms), often applying models such as </w:t>
      </w:r>
      <w:r w:rsidR="000E08F8" w:rsidRPr="004C63D2">
        <w:rPr>
          <w:color w:val="000000"/>
        </w:rPr>
        <w:t xml:space="preserve">Technology Acceptance Model </w:t>
      </w:r>
      <w:r w:rsidR="00B961C1" w:rsidRPr="004C63D2">
        <w:rPr>
          <w:color w:val="000000"/>
        </w:rPr>
        <w:t xml:space="preserve">(TAM) </w:t>
      </w:r>
      <w:r w:rsidR="00403DD4" w:rsidRPr="004C63D2">
        <w:rPr>
          <w:color w:val="000000"/>
        </w:rPr>
        <w:fldChar w:fldCharType="begin"/>
      </w:r>
      <w:r w:rsidR="00696D0E" w:rsidRPr="004C63D2">
        <w:rPr>
          <w:color w:val="000000"/>
        </w:rPr>
        <w:instrText xml:space="preserve"> ADDIN ZOTERO_ITEM CSL_CITATION {"citationID":"2R2AdFdi","properties":{"formattedCitation":"(Davis, 1989)","plainCitation":"(Davis, 1989)","noteIndex":0},"citationItems":[{"id":231,"uris":["http://zotero.org/users/16099821/items/F7PK2ICX","http://zotero.org/users/16099821/items/CMSYRB4E"],"itemData":{"id":231,"type":"article-journal","abstract":"Valid measurement scales for predicting user acceptance of computers are in short supply. Most subjective measures used in practice are unvalidated, and their relationship to system usage is unknown. The present research develops and validates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of.98 for usefulness and.94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 a parallel, direct determinant of system usage. Implications are drawn for future research on user acceptance.","container-title":"MIS Quarterly","DOI":"10.2307/249008","ISSN":"0276-7783","issue":"3","note":"A classic theoretical piece of work which suggested two specific variables, perceived usefulness and perceived use of use as fundamenetal constructs in technology adoption.","page":"319-340","source":"JSTOR","title":"Perceived Usefulness, Perceived Ease of Use, and User Acceptance of Information Technology","volume":"13","author":[{"family":"Davis","given":"Fred D."}],"issued":{"date-parts":[["1989"]]}}}],"schema":"https://github.com/citation-style-language/schema/raw/master/csl-citation.json"} </w:instrText>
      </w:r>
      <w:r w:rsidR="00403DD4" w:rsidRPr="004C63D2">
        <w:rPr>
          <w:color w:val="000000"/>
        </w:rPr>
        <w:fldChar w:fldCharType="separate"/>
      </w:r>
      <w:r w:rsidR="00C56E27" w:rsidRPr="004C63D2">
        <w:rPr>
          <w:noProof/>
          <w:color w:val="000000"/>
        </w:rPr>
        <w:t>(Davis, 1989)</w:t>
      </w:r>
      <w:r w:rsidR="00403DD4" w:rsidRPr="004C63D2">
        <w:rPr>
          <w:color w:val="000000"/>
        </w:rPr>
        <w:fldChar w:fldCharType="end"/>
      </w:r>
      <w:r w:rsidR="00C56E27" w:rsidRPr="004C63D2">
        <w:rPr>
          <w:color w:val="000000"/>
        </w:rPr>
        <w:t xml:space="preserve"> </w:t>
      </w:r>
      <w:r w:rsidR="00B961C1" w:rsidRPr="004C63D2">
        <w:rPr>
          <w:color w:val="000000"/>
        </w:rPr>
        <w:t xml:space="preserve">or </w:t>
      </w:r>
      <w:r w:rsidR="005B239A" w:rsidRPr="004C63D2">
        <w:rPr>
          <w:color w:val="000000"/>
        </w:rPr>
        <w:t>Unified Theory of Acceptance and Use of Technology</w:t>
      </w:r>
      <w:r w:rsidR="00BF450A" w:rsidRPr="004C63D2">
        <w:rPr>
          <w:color w:val="000000"/>
        </w:rPr>
        <w:t xml:space="preserve"> (UTAUT)</w:t>
      </w:r>
      <w:r w:rsidR="00673537" w:rsidRPr="004C63D2">
        <w:rPr>
          <w:color w:val="000000"/>
        </w:rPr>
        <w:t xml:space="preserve"> </w:t>
      </w:r>
      <w:r w:rsidR="00673537" w:rsidRPr="004C63D2">
        <w:rPr>
          <w:color w:val="000000"/>
        </w:rPr>
        <w:fldChar w:fldCharType="begin"/>
      </w:r>
      <w:r w:rsidR="00E479BC" w:rsidRPr="004C63D2">
        <w:rPr>
          <w:color w:val="000000"/>
        </w:rPr>
        <w:instrText xml:space="preserve"> ADDIN ZOTERO_ITEM CSL_CITATION {"citationID":"sAbWGSJ3","properties":{"formattedCitation":"(Venkatesh {\\i{}et al.}, 2003)","plainCitation":"(Venkatesh et al., 2003)","noteIndex":0},"citationItems":[{"id":107,"uris":["http://zotero.org/users/16099821/items/XN8LGKIX"],"itemData":{"id":107,"type":"article-journal","abstract":"Information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sidR="00673537" w:rsidRPr="004C63D2">
        <w:rPr>
          <w:color w:val="000000"/>
        </w:rPr>
        <w:fldChar w:fldCharType="separate"/>
      </w:r>
      <w:r w:rsidR="00E479BC" w:rsidRPr="004C63D2">
        <w:rPr>
          <w:rFonts w:eastAsiaTheme="minorEastAsia"/>
          <w:color w:val="000000"/>
          <w14:ligatures w14:val="standardContextual"/>
        </w:rPr>
        <w:t xml:space="preserve">(Venkatesh </w:t>
      </w:r>
      <w:r w:rsidR="00E479BC" w:rsidRPr="004C63D2">
        <w:rPr>
          <w:rFonts w:eastAsiaTheme="minorEastAsia"/>
          <w:i/>
          <w:iCs/>
          <w:color w:val="000000"/>
          <w14:ligatures w14:val="standardContextual"/>
        </w:rPr>
        <w:t>et al.</w:t>
      </w:r>
      <w:r w:rsidR="00E479BC" w:rsidRPr="004C63D2">
        <w:rPr>
          <w:rFonts w:eastAsiaTheme="minorEastAsia"/>
          <w:color w:val="000000"/>
          <w14:ligatures w14:val="standardContextual"/>
        </w:rPr>
        <w:t>, 2003)</w:t>
      </w:r>
      <w:r w:rsidR="00673537" w:rsidRPr="004C63D2">
        <w:rPr>
          <w:color w:val="000000"/>
        </w:rPr>
        <w:fldChar w:fldCharType="end"/>
      </w:r>
      <w:r w:rsidRPr="004C63D2">
        <w:rPr>
          <w:color w:val="000000"/>
        </w:rPr>
        <w:t>. However, adoption decisions in healthcare rarely rest solely on individuals; they are shaped by organizational strategies, resource allocation, external pressures, and alignment between people, processes, and technologies</w:t>
      </w:r>
      <w:r w:rsidR="003922FE" w:rsidRPr="004C63D2">
        <w:rPr>
          <w:color w:val="000000"/>
        </w:rPr>
        <w:t xml:space="preserve"> </w:t>
      </w:r>
      <w:r w:rsidR="003922FE" w:rsidRPr="004C63D2">
        <w:rPr>
          <w:color w:val="000000"/>
        </w:rPr>
        <w:fldChar w:fldCharType="begin"/>
      </w:r>
      <w:r w:rsidR="00673537" w:rsidRPr="004C63D2">
        <w:rPr>
          <w:color w:val="000000"/>
        </w:rPr>
        <w:instrText xml:space="preserve"> ADDIN ZOTERO_ITEM CSL_CITATION {"citationID":"dl722IXz","properties":{"formattedCitation":"(Ammenwerth Elske, 2019)","plainCitation":"(Ammenwerth Elske, 2019)","noteIndex":0},"citationItems":[{"id":213,"uris":["http://zotero.org/users/16099821/items/ZJEG2BY9"],"itemData":{"id":213,"type":"chapter","container-title":"Studies in Health Technology and Informatics","note":"DOI: 10.3233/SHTI190111","publisher":"IOS Press","source":"DOI.org (Crossref)","title":"Technology Acceptance Models in Health Informatics: TAM and UTAUT","title-short":"Technology Acceptance Models in Health Informatics","URL":"https://www.medra.org/servlet/aliasResolver?alias=iospressISBN&amp;isbn=978-1-61499-990-4&amp;spage=64&amp;doi=10.3233/SHTI190111","author":[{"literal":"Ammenwerth Elske"}],"accessed":{"date-parts":[["2025",4,13]]},"issued":{"date-parts":[["2019"]]}}}],"schema":"https://github.com/citation-style-language/schema/raw/master/csl-citation.json"} </w:instrText>
      </w:r>
      <w:r w:rsidR="003922FE" w:rsidRPr="004C63D2">
        <w:rPr>
          <w:color w:val="000000"/>
        </w:rPr>
        <w:fldChar w:fldCharType="separate"/>
      </w:r>
      <w:r w:rsidR="00673537" w:rsidRPr="004C63D2">
        <w:rPr>
          <w:noProof/>
          <w:color w:val="000000"/>
        </w:rPr>
        <w:t>(Ammenwerth Elske, 2019)</w:t>
      </w:r>
      <w:r w:rsidR="003922FE" w:rsidRPr="004C63D2">
        <w:rPr>
          <w:color w:val="000000"/>
        </w:rPr>
        <w:fldChar w:fldCharType="end"/>
      </w:r>
      <w:r w:rsidRPr="004C63D2">
        <w:rPr>
          <w:color w:val="000000"/>
        </w:rPr>
        <w:t xml:space="preserve"> This highlights the need for an </w:t>
      </w:r>
      <w:r w:rsidRPr="004C63D2">
        <w:rPr>
          <w:b/>
          <w:bCs/>
          <w:color w:val="000000"/>
        </w:rPr>
        <w:t>organizational behavior lens</w:t>
      </w:r>
      <w:r w:rsidRPr="004C63D2">
        <w:rPr>
          <w:color w:val="000000"/>
        </w:rPr>
        <w:t> in understanding telerehabilitation adoption.</w:t>
      </w:r>
    </w:p>
    <w:p w14:paraId="4594F122" w14:textId="5AB259FB" w:rsidR="00DB6C86" w:rsidRPr="004C63D2" w:rsidRDefault="00F206E2" w:rsidP="00383675">
      <w:pPr>
        <w:spacing w:before="100" w:beforeAutospacing="1" w:after="100" w:afterAutospacing="1"/>
        <w:jc w:val="both"/>
        <w:outlineLvl w:val="2"/>
        <w:rPr>
          <w:b/>
          <w:bCs/>
          <w:color w:val="000000"/>
        </w:rPr>
      </w:pPr>
      <w:r w:rsidRPr="004C63D2">
        <w:rPr>
          <w:b/>
          <w:bCs/>
          <w:color w:val="000000"/>
        </w:rPr>
        <w:t>1.1.1</w:t>
      </w:r>
      <w:r w:rsidR="00DB6C86" w:rsidRPr="004C63D2">
        <w:rPr>
          <w:b/>
          <w:bCs/>
          <w:color w:val="000000"/>
        </w:rPr>
        <w:t>. The Aging Demographics of Hong Kong</w:t>
      </w:r>
    </w:p>
    <w:p w14:paraId="7DF372F9" w14:textId="62574FF6" w:rsidR="00DB6C86" w:rsidRPr="004C63D2" w:rsidRDefault="00DB6C86" w:rsidP="00383675">
      <w:pPr>
        <w:spacing w:before="100" w:beforeAutospacing="1" w:after="100" w:afterAutospacing="1"/>
        <w:jc w:val="both"/>
        <w:rPr>
          <w:color w:val="000000"/>
        </w:rPr>
      </w:pPr>
      <w:r w:rsidRPr="004C63D2">
        <w:rPr>
          <w:color w:val="000000"/>
        </w:rPr>
        <w:t>Hong Kong is confronting a rapid and sustained demographic shift toward an aging society. Current projections indicate that the number of residents aged 65 and above will nearly double from </w:t>
      </w:r>
      <w:r w:rsidRPr="004C63D2">
        <w:rPr>
          <w:b/>
          <w:bCs/>
          <w:color w:val="000000"/>
        </w:rPr>
        <w:t>1.45 million in 2021</w:t>
      </w:r>
      <w:r w:rsidRPr="004C63D2">
        <w:rPr>
          <w:color w:val="000000"/>
        </w:rPr>
        <w:t> (20.5% of the population) to approximately </w:t>
      </w:r>
      <w:r w:rsidRPr="004C63D2">
        <w:rPr>
          <w:b/>
          <w:bCs/>
          <w:color w:val="000000"/>
        </w:rPr>
        <w:t>2.74 million by 2046</w:t>
      </w:r>
      <w:r w:rsidRPr="004C63D2">
        <w:rPr>
          <w:color w:val="000000"/>
        </w:rPr>
        <w:t>, representing </w:t>
      </w:r>
      <w:r w:rsidRPr="004C63D2">
        <w:rPr>
          <w:b/>
          <w:bCs/>
          <w:color w:val="000000"/>
        </w:rPr>
        <w:t>36%</w:t>
      </w:r>
      <w:r w:rsidRPr="004C63D2">
        <w:rPr>
          <w:color w:val="000000"/>
        </w:rPr>
        <w:t> of the population</w:t>
      </w:r>
      <w:r w:rsidR="00900880" w:rsidRPr="004C63D2">
        <w:rPr>
          <w:color w:val="000000"/>
        </w:rPr>
        <w:t xml:space="preserve">. </w:t>
      </w:r>
      <w:r w:rsidR="00900880" w:rsidRPr="004C63D2">
        <w:rPr>
          <w:color w:val="000000"/>
        </w:rPr>
        <w:fldChar w:fldCharType="begin"/>
      </w:r>
      <w:r w:rsidR="00900880" w:rsidRPr="004C63D2">
        <w:rPr>
          <w:color w:val="000000"/>
        </w:rPr>
        <w:instrText xml:space="preserve"> ADDIN ZOTERO_ITEM CSL_CITATION {"citationID":"Gk3X5Ilz","properties":{"formattedCitation":"(Office of the Government Economist  The Government of the Hong Kong Special Administrative Region, 2019)","plainCitation":"(Office of the Government Economist  The Government of the Hong Kong Special Administrative Region, 2019)","noteIndex":0},"citationItems":[{"id":46,"uris":["http://zotero.org/users/16099821/items/Q4XFIDAR"],"itemData":{"id":46,"type":"article-journal","abstract":"With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growth.","container-title":"Economic Letter","issue":"2","language":"en","note":"With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growth.","source":"Zotero","title":"Population ageing trend of Hong Kong","volume":"2019","author":[{"family":"Office of the Government Economist  The Government of the Hong Kong Special Administrative Region","given":""}],"issued":{"date-parts":[["2019",1]]}}}],"schema":"https://github.com/citation-style-language/schema/raw/master/csl-citation.json"} </w:instrText>
      </w:r>
      <w:r w:rsidR="00900880" w:rsidRPr="004C63D2">
        <w:rPr>
          <w:color w:val="000000"/>
        </w:rPr>
        <w:fldChar w:fldCharType="separate"/>
      </w:r>
      <w:r w:rsidR="00900880" w:rsidRPr="004C63D2">
        <w:rPr>
          <w:noProof/>
          <w:color w:val="000000"/>
        </w:rPr>
        <w:t>(Office of the Government Economist  The Government of the Hong Kong Special Administrative Region, 2019)</w:t>
      </w:r>
      <w:r w:rsidR="00900880" w:rsidRPr="004C63D2">
        <w:rPr>
          <w:color w:val="000000"/>
        </w:rPr>
        <w:fldChar w:fldCharType="end"/>
      </w:r>
      <w:r w:rsidR="005338B9" w:rsidRPr="004C63D2">
        <w:rPr>
          <w:color w:val="000000"/>
        </w:rPr>
        <w:fldChar w:fldCharType="begin"/>
      </w:r>
      <w:r w:rsidR="003E2F37" w:rsidRPr="004C63D2">
        <w:rPr>
          <w:color w:val="000000"/>
        </w:rPr>
        <w:instrText xml:space="preserve"> ADDIN ZOTERO_ITEM CSL_CITATION {"citationID":"LHGNeHGC","properties":{"formattedCitation":"({\\i{}Hong Kong population projections for 2022-2046 released}, no date)","plainCitation":"(Hong Kong population projections for 2022-2046 released, no date)","noteIndex":0},"citationItems":[{"id":643,"uris":["http://zotero.org/users/16099821/items/LMD5ZCWT"],"itemData":{"id":643,"type":"webpage","abstract":"The Census and Statistics Department (C&amp;SD) released today (August 15) an updated set of population projections.\n\n \n\n     The C&amp;SD has compiled a new set of population projections...","title":"Hong Kong population projections for 2022-2046 released","URL":"https://www.info.gov.hk/gia/general/202308/15/P2023081500308.htm?utm_source=chatgpt.com","accessed":{"date-parts":[["2025",9,8]]}}}],"schema":"https://github.com/citation-style-language/schema/raw/master/csl-citation.json"} </w:instrText>
      </w:r>
      <w:r w:rsidR="005338B9" w:rsidRPr="004C63D2">
        <w:rPr>
          <w:color w:val="000000"/>
        </w:rPr>
        <w:fldChar w:fldCharType="separate"/>
      </w:r>
      <w:r w:rsidR="005338B9" w:rsidRPr="004C63D2">
        <w:rPr>
          <w:color w:val="000000"/>
        </w:rPr>
        <w:fldChar w:fldCharType="end"/>
      </w:r>
      <w:r w:rsidR="00341C59" w:rsidRPr="004C63D2">
        <w:rPr>
          <w:color w:val="000000"/>
        </w:rPr>
        <w:t xml:space="preserve"> </w:t>
      </w:r>
      <w:r w:rsidRPr="004C63D2">
        <w:rPr>
          <w:color w:val="000000"/>
        </w:rPr>
        <w:br/>
      </w:r>
      <w:r w:rsidR="00E562AD" w:rsidRPr="004C63D2">
        <w:rPr>
          <w:color w:val="000000"/>
        </w:rPr>
        <w:t>The Government published population aging trend</w:t>
      </w:r>
      <w:r w:rsidRPr="004C63D2">
        <w:rPr>
          <w:color w:val="000000"/>
        </w:rPr>
        <w:t xml:space="preserve"> from mid-2022 to 2028 foresee the elderly segment growing from </w:t>
      </w:r>
      <w:r w:rsidRPr="004C63D2">
        <w:rPr>
          <w:b/>
          <w:bCs/>
          <w:color w:val="000000"/>
        </w:rPr>
        <w:t>20.8% to 25.3%</w:t>
      </w:r>
      <w:r w:rsidRPr="004C63D2">
        <w:rPr>
          <w:color w:val="000000"/>
        </w:rPr>
        <w:t>, rising even further to </w:t>
      </w:r>
      <w:r w:rsidRPr="004C63D2">
        <w:rPr>
          <w:b/>
          <w:bCs/>
          <w:color w:val="000000"/>
        </w:rPr>
        <w:t>35.1% by 2069</w:t>
      </w:r>
      <w:r w:rsidR="003C5328" w:rsidRPr="004C63D2">
        <w:rPr>
          <w:color w:val="000000"/>
        </w:rPr>
        <w:t xml:space="preserve"> </w:t>
      </w:r>
      <w:r w:rsidR="003C5328" w:rsidRPr="004C63D2">
        <w:rPr>
          <w:color w:val="000000"/>
        </w:rPr>
        <w:fldChar w:fldCharType="begin"/>
      </w:r>
      <w:r w:rsidR="003C5328" w:rsidRPr="004C63D2">
        <w:rPr>
          <w:color w:val="000000"/>
        </w:rPr>
        <w:instrText xml:space="preserve"> ADDIN ZOTERO_ITEM CSL_CITATION {"citationID":"g7CXHCYu","properties":{"formattedCitation":"(Office of the Government Economist  The Government of the Hong Kong Special Administrative Region, 2019)","plainCitation":"(Office of the Government Economist  The Government of the Hong Kong Special Administrative Region, 2019)","noteIndex":0},"citationItems":[{"id":46,"uris":["http://zotero.org/users/16099821/items/Q4XFIDAR"],"itemData":{"id":46,"type":"article-journal","abstract":"With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growth.","container-title":"Economic Letter","issue":"2","language":"en","note":"With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growth.","source":"Zotero","title":"Population ageing trend of Hong Kong","volume":"2019","author":[{"family":"Office of the Government Economist  The Government of the Hong Kong Special Administrative Region","given":""}],"issued":{"date-parts":[["2019",1]]}}}],"schema":"https://github.com/citation-style-language/schema/raw/master/csl-citation.json"} </w:instrText>
      </w:r>
      <w:r w:rsidR="003C5328" w:rsidRPr="004C63D2">
        <w:rPr>
          <w:color w:val="000000"/>
        </w:rPr>
        <w:fldChar w:fldCharType="separate"/>
      </w:r>
      <w:r w:rsidR="003C5328" w:rsidRPr="004C63D2">
        <w:rPr>
          <w:noProof/>
          <w:color w:val="000000"/>
        </w:rPr>
        <w:t>(Office of the Government Economist  The Government of the Hong Kong Special Administrative Region, 2019)</w:t>
      </w:r>
      <w:r w:rsidR="003C5328" w:rsidRPr="004C63D2">
        <w:rPr>
          <w:color w:val="000000"/>
        </w:rPr>
        <w:fldChar w:fldCharType="end"/>
      </w:r>
      <w:r w:rsidRPr="004C63D2">
        <w:rPr>
          <w:color w:val="000000"/>
        </w:rPr>
        <w:t>. This increasing elderly cohort exerts mounting pressure on healthcare capacity, resource allocation, and workforce demand—amplifying the critical need for scalable solutions like telerehabilitation.</w:t>
      </w:r>
    </w:p>
    <w:p w14:paraId="7F8EC18D" w14:textId="2BA4292F" w:rsidR="00DB6C86" w:rsidRPr="004C63D2" w:rsidRDefault="0015568E" w:rsidP="00383675">
      <w:pPr>
        <w:spacing w:before="100" w:beforeAutospacing="1" w:after="100" w:afterAutospacing="1"/>
        <w:jc w:val="both"/>
        <w:outlineLvl w:val="2"/>
        <w:rPr>
          <w:b/>
          <w:bCs/>
          <w:color w:val="000000"/>
        </w:rPr>
      </w:pPr>
      <w:r w:rsidRPr="004C63D2">
        <w:rPr>
          <w:b/>
          <w:bCs/>
          <w:color w:val="000000"/>
        </w:rPr>
        <w:t>1.1.2</w:t>
      </w:r>
      <w:r w:rsidR="00DB6C86" w:rsidRPr="004C63D2">
        <w:rPr>
          <w:b/>
          <w:bCs/>
          <w:color w:val="000000"/>
        </w:rPr>
        <w:t xml:space="preserve">. Primary Healthcare Reform </w:t>
      </w:r>
    </w:p>
    <w:p w14:paraId="22A42B3F" w14:textId="77777777" w:rsidR="00DB6C86" w:rsidRPr="004C63D2" w:rsidRDefault="00DB6C86" w:rsidP="00383675">
      <w:pPr>
        <w:spacing w:before="100" w:beforeAutospacing="1" w:after="100" w:afterAutospacing="1"/>
        <w:jc w:val="both"/>
        <w:outlineLvl w:val="3"/>
        <w:rPr>
          <w:b/>
          <w:bCs/>
          <w:color w:val="000000"/>
        </w:rPr>
      </w:pPr>
      <w:r w:rsidRPr="004C63D2">
        <w:rPr>
          <w:b/>
          <w:bCs/>
          <w:color w:val="000000"/>
        </w:rPr>
        <w:t>Primary Healthcare Blueprint</w:t>
      </w:r>
    </w:p>
    <w:p w14:paraId="5D42A517" w14:textId="6D9690A7" w:rsidR="009552A9" w:rsidRPr="004C63D2" w:rsidRDefault="00DB6C86" w:rsidP="00DB77E8">
      <w:pPr>
        <w:spacing w:before="100" w:beforeAutospacing="1" w:after="100" w:afterAutospacing="1"/>
        <w:jc w:val="both"/>
        <w:rPr>
          <w:color w:val="000000"/>
        </w:rPr>
      </w:pPr>
      <w:r w:rsidRPr="004C63D2">
        <w:rPr>
          <w:color w:val="000000"/>
        </w:rPr>
        <w:t>In December 2022, the Hong Kong government launched its </w:t>
      </w:r>
      <w:r w:rsidRPr="004C63D2">
        <w:rPr>
          <w:b/>
          <w:bCs/>
          <w:color w:val="000000"/>
        </w:rPr>
        <w:t>Primary Healthcare Blueprint</w:t>
      </w:r>
      <w:r w:rsidR="00140FDF" w:rsidRPr="004C63D2">
        <w:rPr>
          <w:b/>
          <w:bCs/>
          <w:color w:val="000000"/>
        </w:rPr>
        <w:t xml:space="preserve"> </w:t>
      </w:r>
      <w:r w:rsidR="00CF232B" w:rsidRPr="004C63D2">
        <w:rPr>
          <w:b/>
          <w:bCs/>
          <w:color w:val="000000"/>
        </w:rPr>
        <w:fldChar w:fldCharType="begin"/>
      </w:r>
      <w:r w:rsidR="00CF232B" w:rsidRPr="004C63D2">
        <w:rPr>
          <w:b/>
          <w:bCs/>
          <w:color w:val="000000"/>
        </w:rPr>
        <w:instrText xml:space="preserve"> ADDIN ZOTERO_ITEM CSL_CITATION {"citationID":"1ggA5bED","properties":{"formattedCitation":"({\\i{}Primary Healthcare Blueprint}, 2022)","plainCitation":"(Primary Healthcare Blueprint, 2022)","noteIndex":0},"citationItems":[{"id":682,"uris":["http://zotero.org/users/16099821/items/HRWIDLJ9"],"itemData":{"id":682,"type":"report","publisher":"Hospital Authority Hong Kong","title":"Primary Healthcare Blueprint","issued":{"date-parts":[["2022"]]}}}],"schema":"https://github.com/citation-style-language/schema/raw/master/csl-citation.json"} </w:instrText>
      </w:r>
      <w:r w:rsidR="00CF232B" w:rsidRPr="004C63D2">
        <w:rPr>
          <w:b/>
          <w:bCs/>
          <w:color w:val="000000"/>
        </w:rPr>
        <w:fldChar w:fldCharType="separate"/>
      </w:r>
      <w:r w:rsidR="00CF232B" w:rsidRPr="004C63D2">
        <w:rPr>
          <w:rFonts w:eastAsiaTheme="minorEastAsia"/>
          <w:color w:val="000000"/>
          <w14:ligatures w14:val="standardContextual"/>
        </w:rPr>
        <w:t>(</w:t>
      </w:r>
      <w:r w:rsidR="00CF232B" w:rsidRPr="004C63D2">
        <w:rPr>
          <w:rFonts w:eastAsiaTheme="minorEastAsia"/>
          <w:i/>
          <w:iCs/>
          <w:color w:val="000000"/>
          <w14:ligatures w14:val="standardContextual"/>
        </w:rPr>
        <w:t>Primary Healthcare Blueprint</w:t>
      </w:r>
      <w:r w:rsidR="00CF232B" w:rsidRPr="004C63D2">
        <w:rPr>
          <w:rFonts w:eastAsiaTheme="minorEastAsia"/>
          <w:color w:val="000000"/>
          <w14:ligatures w14:val="standardContextual"/>
        </w:rPr>
        <w:t>, 2022)</w:t>
      </w:r>
      <w:r w:rsidR="00CF232B" w:rsidRPr="004C63D2">
        <w:rPr>
          <w:b/>
          <w:bCs/>
          <w:color w:val="000000"/>
        </w:rPr>
        <w:fldChar w:fldCharType="end"/>
      </w:r>
      <w:r w:rsidRPr="004C63D2">
        <w:rPr>
          <w:color w:val="000000"/>
        </w:rPr>
        <w:t>, designed to strengthen community-level health delivery and manage the aging populace’s rising healthcare needs. Spearheaded by the newly established </w:t>
      </w:r>
      <w:r w:rsidRPr="004C63D2">
        <w:rPr>
          <w:b/>
          <w:bCs/>
          <w:color w:val="000000"/>
        </w:rPr>
        <w:t>Primary Healthcare Commission</w:t>
      </w:r>
      <w:r w:rsidRPr="004C63D2">
        <w:rPr>
          <w:color w:val="000000"/>
        </w:rPr>
        <w:t> (mid-2024), the Blueprint calls for the rollout of </w:t>
      </w:r>
      <w:r w:rsidRPr="004C63D2">
        <w:rPr>
          <w:b/>
          <w:bCs/>
          <w:color w:val="000000"/>
        </w:rPr>
        <w:t xml:space="preserve">District Health </w:t>
      </w:r>
      <w:proofErr w:type="spellStart"/>
      <w:r w:rsidRPr="004C63D2">
        <w:rPr>
          <w:b/>
          <w:bCs/>
          <w:color w:val="000000"/>
        </w:rPr>
        <w:t>Centres</w:t>
      </w:r>
      <w:proofErr w:type="spellEnd"/>
      <w:r w:rsidRPr="004C63D2">
        <w:rPr>
          <w:b/>
          <w:bCs/>
          <w:color w:val="000000"/>
        </w:rPr>
        <w:t xml:space="preserve"> (DHCs)</w:t>
      </w:r>
      <w:r w:rsidRPr="004C63D2">
        <w:rPr>
          <w:color w:val="000000"/>
        </w:rPr>
        <w:t> and </w:t>
      </w:r>
      <w:r w:rsidRPr="004C63D2">
        <w:rPr>
          <w:b/>
          <w:bCs/>
          <w:color w:val="000000"/>
        </w:rPr>
        <w:t xml:space="preserve">Express </w:t>
      </w:r>
      <w:proofErr w:type="spellStart"/>
      <w:r w:rsidRPr="004C63D2">
        <w:rPr>
          <w:b/>
          <w:bCs/>
          <w:color w:val="000000"/>
        </w:rPr>
        <w:t>Centres</w:t>
      </w:r>
      <w:proofErr w:type="spellEnd"/>
      <w:r w:rsidRPr="004C63D2">
        <w:rPr>
          <w:b/>
          <w:bCs/>
          <w:color w:val="000000"/>
        </w:rPr>
        <w:t xml:space="preserve"> (DHCEs)</w:t>
      </w:r>
      <w:r w:rsidRPr="004C63D2">
        <w:rPr>
          <w:color w:val="000000"/>
        </w:rPr>
        <w:t xml:space="preserve"> in all 18 districts as hubs providing comprehensive, multidisciplinary services—including community rehabilitation and </w:t>
      </w:r>
      <w:r w:rsidRPr="004C63D2">
        <w:rPr>
          <w:color w:val="000000"/>
        </w:rPr>
        <w:lastRenderedPageBreak/>
        <w:t>chronic disease management.</w:t>
      </w:r>
      <w:r w:rsidRPr="004C63D2">
        <w:rPr>
          <w:color w:val="000000"/>
        </w:rPr>
        <w:br/>
      </w:r>
    </w:p>
    <w:p w14:paraId="0F1BCE75" w14:textId="45BBD69F" w:rsidR="00DB6C86" w:rsidRPr="004C63D2" w:rsidRDefault="00DB6C86" w:rsidP="00383675">
      <w:pPr>
        <w:spacing w:before="100" w:beforeAutospacing="1" w:after="100" w:afterAutospacing="1"/>
        <w:jc w:val="both"/>
        <w:rPr>
          <w:color w:val="000000"/>
        </w:rPr>
      </w:pPr>
      <w:r w:rsidRPr="004C63D2">
        <w:rPr>
          <w:color w:val="000000"/>
        </w:rPr>
        <w:t>Simultaneously, the government is transforming the </w:t>
      </w:r>
      <w:r w:rsidRPr="004C63D2">
        <w:rPr>
          <w:b/>
          <w:bCs/>
          <w:color w:val="000000"/>
        </w:rPr>
        <w:t>eHealth platform</w:t>
      </w:r>
      <w:r w:rsidRPr="004C63D2">
        <w:rPr>
          <w:color w:val="000000"/>
        </w:rPr>
        <w:t xml:space="preserve"> (built on </w:t>
      </w:r>
      <w:proofErr w:type="spellStart"/>
      <w:r w:rsidRPr="004C63D2">
        <w:rPr>
          <w:color w:val="000000"/>
        </w:rPr>
        <w:t>eHRSS</w:t>
      </w:r>
      <w:proofErr w:type="spellEnd"/>
      <w:r w:rsidRPr="004C63D2">
        <w:rPr>
          <w:color w:val="000000"/>
        </w:rPr>
        <w:t>) into an integrated backbone for service delivery via the </w:t>
      </w:r>
      <w:r w:rsidRPr="004C63D2">
        <w:rPr>
          <w:b/>
          <w:bCs/>
          <w:color w:val="000000"/>
        </w:rPr>
        <w:t>Strategic Health Service Operation Platform (SHSOP)</w:t>
      </w:r>
      <w:r w:rsidRPr="004C63D2">
        <w:rPr>
          <w:color w:val="000000"/>
        </w:rPr>
        <w:t>, consolidating care pathways, appointments, laboratory services, and chronic disease monitoring for improved primary care coordination.</w:t>
      </w:r>
    </w:p>
    <w:p w14:paraId="38CC0551" w14:textId="77777777" w:rsidR="00DB6C86" w:rsidRPr="004C63D2" w:rsidRDefault="00DB6C86" w:rsidP="00383675">
      <w:pPr>
        <w:spacing w:before="100" w:beforeAutospacing="1" w:after="100" w:afterAutospacing="1"/>
        <w:jc w:val="both"/>
        <w:outlineLvl w:val="3"/>
        <w:rPr>
          <w:b/>
          <w:bCs/>
          <w:color w:val="000000"/>
        </w:rPr>
      </w:pPr>
      <w:r w:rsidRPr="004C63D2">
        <w:rPr>
          <w:b/>
          <w:bCs/>
          <w:color w:val="000000"/>
        </w:rPr>
        <w:t>Smart Healthcare &amp; Digital Integration</w:t>
      </w:r>
    </w:p>
    <w:p w14:paraId="4019164D" w14:textId="77777777" w:rsidR="00531AFB" w:rsidRDefault="00DB6C86" w:rsidP="00383675">
      <w:pPr>
        <w:spacing w:before="100" w:beforeAutospacing="1" w:after="100" w:afterAutospacing="1"/>
        <w:jc w:val="both"/>
        <w:rPr>
          <w:color w:val="000000"/>
        </w:rPr>
      </w:pPr>
      <w:r w:rsidRPr="004C63D2">
        <w:rPr>
          <w:color w:val="000000"/>
        </w:rPr>
        <w:t>Hong Kong is actively embracing </w:t>
      </w:r>
      <w:r w:rsidRPr="004C63D2">
        <w:rPr>
          <w:b/>
          <w:bCs/>
          <w:color w:val="000000"/>
        </w:rPr>
        <w:t>smart healthcare</w:t>
      </w:r>
      <w:r w:rsidRPr="004C63D2">
        <w:rPr>
          <w:color w:val="000000"/>
        </w:rPr>
        <w:t> mechanisms across public hospitals. This includes implementing AI-assisted diagnostics, smart clinics and wards, pharmacy automation, and data-driven operational efficiencies</w:t>
      </w:r>
      <w:r w:rsidR="00562815" w:rsidRPr="004C63D2">
        <w:rPr>
          <w:color w:val="000000"/>
        </w:rPr>
        <w:t xml:space="preserve"> </w:t>
      </w:r>
      <w:r w:rsidR="00F578DB" w:rsidRPr="004C63D2">
        <w:rPr>
          <w:color w:val="000000"/>
        </w:rPr>
        <w:fldChar w:fldCharType="begin"/>
      </w:r>
      <w:r w:rsidR="00C56E27" w:rsidRPr="004C63D2">
        <w:rPr>
          <w:color w:val="000000"/>
        </w:rPr>
        <w:instrText xml:space="preserve"> ADDIN ZOTERO_ITEM CSL_CITATION {"citationID":"HeVKTWlH","properties":{"formattedCitation":"({\\i{}LCQ2: Leveraging smart healthcare to improve public healthcare services}, 2022)","plainCitation":"(LCQ2: Leveraging smart healthcare to improve public healthcare services, 2022)","noteIndex":0},"citationItems":[{"id":614,"uris":["http://zotero.org/users/16099821/items/GUBFZI33"],"itemData":{"id":614,"type":"webpage","abstract":"Following is a question by the Hon Dominic Lee and a reply by the Secretary for Food and Health, Professor Sophia Chan, in the Legislative Council today (April 6):\n\n \n\nQuestion:\n\n...","title":"LCQ2: Leveraging smart healthcare to improve public healthcare services","title-short":"LCQ2","URL":"https://www.info.gov.hk/gia/general/202204/06/P2022040600401.htm?utm_source=chatgpt.com","accessed":{"date-parts":[["2025",9,7]]},"issued":{"date-parts":[["2022"]]}}}],"schema":"https://github.com/citation-style-language/schema/raw/master/csl-citation.json"} </w:instrText>
      </w:r>
      <w:r w:rsidR="00F578DB" w:rsidRPr="004C63D2">
        <w:rPr>
          <w:color w:val="000000"/>
        </w:rPr>
        <w:fldChar w:fldCharType="separate"/>
      </w:r>
      <w:r w:rsidR="00C56E27" w:rsidRPr="004C63D2">
        <w:rPr>
          <w:rFonts w:eastAsiaTheme="minorEastAsia"/>
          <w:color w:val="000000"/>
          <w14:ligatures w14:val="standardContextual"/>
        </w:rPr>
        <w:t>(</w:t>
      </w:r>
      <w:r w:rsidR="00C56E27" w:rsidRPr="004C63D2">
        <w:rPr>
          <w:rFonts w:eastAsiaTheme="minorEastAsia"/>
          <w:i/>
          <w:iCs/>
          <w:color w:val="000000"/>
          <w14:ligatures w14:val="standardContextual"/>
        </w:rPr>
        <w:t>LCQ2: Leveraging smart healthcare to improve public healthcare services</w:t>
      </w:r>
      <w:r w:rsidR="00C56E27" w:rsidRPr="004C63D2">
        <w:rPr>
          <w:rFonts w:eastAsiaTheme="minorEastAsia"/>
          <w:color w:val="000000"/>
          <w14:ligatures w14:val="standardContextual"/>
        </w:rPr>
        <w:t>, 2022)</w:t>
      </w:r>
      <w:r w:rsidR="00F578DB" w:rsidRPr="004C63D2">
        <w:rPr>
          <w:color w:val="000000"/>
        </w:rPr>
        <w:fldChar w:fldCharType="end"/>
      </w:r>
      <w:r w:rsidRPr="004C63D2">
        <w:rPr>
          <w:color w:val="000000"/>
        </w:rPr>
        <w:t>.</w:t>
      </w:r>
      <w:r w:rsidRPr="004C63D2">
        <w:rPr>
          <w:color w:val="000000"/>
        </w:rPr>
        <w:br/>
      </w:r>
    </w:p>
    <w:p w14:paraId="05F4D1B7" w14:textId="53ECD7A1" w:rsidR="00DB6C86" w:rsidRPr="004C63D2" w:rsidRDefault="00DB6C86" w:rsidP="00383675">
      <w:pPr>
        <w:spacing w:before="100" w:beforeAutospacing="1" w:after="100" w:afterAutospacing="1"/>
        <w:jc w:val="both"/>
        <w:rPr>
          <w:color w:val="000000"/>
        </w:rPr>
      </w:pPr>
      <w:r w:rsidRPr="004C63D2">
        <w:rPr>
          <w:color w:val="000000"/>
        </w:rPr>
        <w:t>Key mobile platforms such as </w:t>
      </w:r>
      <w:r w:rsidRPr="004C63D2">
        <w:rPr>
          <w:b/>
          <w:bCs/>
          <w:color w:val="000000"/>
        </w:rPr>
        <w:t>HA Go</w:t>
      </w:r>
      <w:r w:rsidRPr="004C63D2">
        <w:rPr>
          <w:color w:val="000000"/>
        </w:rPr>
        <w:t> and the </w:t>
      </w:r>
      <w:r w:rsidRPr="004C63D2">
        <w:rPr>
          <w:b/>
          <w:bCs/>
          <w:color w:val="000000"/>
        </w:rPr>
        <w:t>eHealth App</w:t>
      </w:r>
      <w:r w:rsidRPr="004C63D2">
        <w:rPr>
          <w:color w:val="000000"/>
        </w:rPr>
        <w:t> facilitate appointment scheduling, medication tracking, and even telerehabilitation exercises</w:t>
      </w:r>
      <w:r w:rsidR="00250E42" w:rsidRPr="004C63D2">
        <w:rPr>
          <w:color w:val="000000"/>
        </w:rPr>
        <w:t xml:space="preserve">.  </w:t>
      </w:r>
      <w:r w:rsidRPr="004C63D2">
        <w:rPr>
          <w:color w:val="000000"/>
        </w:rPr>
        <w:t>As part of digital equity efforts, the government is also rolling out various offline and community-based channels</w:t>
      </w:r>
      <w:r w:rsidR="00B956DD" w:rsidRPr="004C63D2">
        <w:rPr>
          <w:color w:val="000000"/>
        </w:rPr>
        <w:t>, for example,</w:t>
      </w:r>
      <w:r w:rsidRPr="004C63D2">
        <w:rPr>
          <w:color w:val="000000"/>
        </w:rPr>
        <w:t xml:space="preserve"> mobile registration support, partnerships with elderly centers, and user advisory groups</w:t>
      </w:r>
      <w:r w:rsidR="00B956DD" w:rsidRPr="004C63D2">
        <w:rPr>
          <w:color w:val="000000"/>
        </w:rPr>
        <w:t xml:space="preserve">, </w:t>
      </w:r>
      <w:r w:rsidRPr="004C63D2">
        <w:rPr>
          <w:color w:val="000000"/>
        </w:rPr>
        <w:t>to assist older adults in accessing and using these technologies effectively</w:t>
      </w:r>
      <w:r w:rsidR="00250E42" w:rsidRPr="004C63D2">
        <w:rPr>
          <w:color w:val="000000"/>
        </w:rPr>
        <w:t xml:space="preserve"> </w:t>
      </w:r>
      <w:r w:rsidR="0089598C" w:rsidRPr="004C63D2">
        <w:rPr>
          <w:color w:val="000000"/>
        </w:rPr>
        <w:fldChar w:fldCharType="begin"/>
      </w:r>
      <w:r w:rsidR="00487253" w:rsidRPr="004C63D2">
        <w:rPr>
          <w:color w:val="000000"/>
        </w:rPr>
        <w:instrText xml:space="preserve"> ADDIN ZOTERO_ITEM CSL_CITATION {"citationID":"SRaOLTSv","properties":{"formattedCitation":"(Hospital Authority Hong Kong, 2021)","plainCitation":"(Hospital Authority Hong Kong, 2021)","noteIndex":0},"citationItems":[{"id":686,"uris":["http://zotero.org/users/16099821/items/LW68S4WW"],"itemData":{"id":686,"type":"report","publisher":"Hospital Authority Hong Kong","title":"HA Strategic Plan 2022-2027","author":[{"family":"Hospital Authority Hong Kong","given":""}],"issued":{"date-parts":[["2021"]]}}}],"schema":"https://github.com/citation-style-language/schema/raw/master/csl-citation.json"} </w:instrText>
      </w:r>
      <w:r w:rsidR="0089598C" w:rsidRPr="004C63D2">
        <w:rPr>
          <w:color w:val="000000"/>
        </w:rPr>
        <w:fldChar w:fldCharType="separate"/>
      </w:r>
      <w:r w:rsidR="00487253" w:rsidRPr="004C63D2">
        <w:rPr>
          <w:noProof/>
          <w:color w:val="000000"/>
        </w:rPr>
        <w:t>(HA Strategic Plan 2022-2027, Hospital Authority Hong Kong, 2021)</w:t>
      </w:r>
      <w:r w:rsidR="0089598C" w:rsidRPr="004C63D2">
        <w:rPr>
          <w:color w:val="000000"/>
        </w:rPr>
        <w:fldChar w:fldCharType="end"/>
      </w:r>
      <w:r w:rsidR="00487253" w:rsidRPr="004C63D2">
        <w:rPr>
          <w:color w:val="000000"/>
        </w:rPr>
        <w:t>.</w:t>
      </w:r>
    </w:p>
    <w:p w14:paraId="3A7CFEFF" w14:textId="77777777" w:rsidR="00D621CB" w:rsidRPr="004C63D2" w:rsidRDefault="00D621CB" w:rsidP="00383675">
      <w:pPr>
        <w:spacing w:before="100" w:beforeAutospacing="1" w:after="100" w:afterAutospacing="1"/>
        <w:jc w:val="both"/>
        <w:outlineLvl w:val="1"/>
        <w:rPr>
          <w:b/>
          <w:bCs/>
          <w:color w:val="000000"/>
        </w:rPr>
      </w:pPr>
      <w:r w:rsidRPr="004C63D2">
        <w:rPr>
          <w:b/>
          <w:bCs/>
          <w:color w:val="000000"/>
        </w:rPr>
        <w:t>1.2 Research Gap</w:t>
      </w:r>
    </w:p>
    <w:p w14:paraId="684F5846" w14:textId="7073788E" w:rsidR="00D621CB" w:rsidRPr="004C63D2" w:rsidRDefault="00D621CB" w:rsidP="00383675">
      <w:pPr>
        <w:spacing w:before="100" w:beforeAutospacing="1" w:after="100" w:afterAutospacing="1"/>
        <w:jc w:val="both"/>
        <w:rPr>
          <w:color w:val="000000"/>
        </w:rPr>
      </w:pPr>
      <w:r w:rsidRPr="004C63D2">
        <w:rPr>
          <w:color w:val="000000"/>
        </w:rPr>
        <w:t>While evidence supports telerehabilitation’s clinical effectiveness and its potential to expand access, less is known about how healthcare organizations</w:t>
      </w:r>
      <w:r w:rsidR="004A2A5D" w:rsidRPr="004C63D2">
        <w:rPr>
          <w:color w:val="000000"/>
        </w:rPr>
        <w:t xml:space="preserve"> </w:t>
      </w:r>
      <w:r w:rsidRPr="004C63D2">
        <w:rPr>
          <w:color w:val="000000"/>
        </w:rPr>
        <w:t>especially community-based providers serving the elderly</w:t>
      </w:r>
      <w:r w:rsidR="004A2A5D" w:rsidRPr="004C63D2">
        <w:rPr>
          <w:color w:val="000000"/>
        </w:rPr>
        <w:t xml:space="preserve"> </w:t>
      </w:r>
      <w:r w:rsidRPr="004C63D2">
        <w:rPr>
          <w:color w:val="000000"/>
        </w:rPr>
        <w:t>navigate decisions to adopt and sustain such innovations. The </w:t>
      </w:r>
      <w:r w:rsidRPr="004C63D2">
        <w:rPr>
          <w:b/>
          <w:bCs/>
          <w:color w:val="000000"/>
        </w:rPr>
        <w:t>Technology–Organization–Environment (TOE) framework</w:t>
      </w:r>
      <w:r w:rsidRPr="004C63D2">
        <w:rPr>
          <w:color w:val="000000"/>
        </w:rPr>
        <w:t>, combined with </w:t>
      </w:r>
      <w:r w:rsidRPr="004C63D2">
        <w:rPr>
          <w:b/>
          <w:bCs/>
          <w:color w:val="000000"/>
        </w:rPr>
        <w:t>Institutional Theory</w:t>
      </w:r>
      <w:r w:rsidRPr="004C63D2">
        <w:rPr>
          <w:color w:val="000000"/>
        </w:rPr>
        <w:t> and the </w:t>
      </w:r>
      <w:r w:rsidRPr="004C63D2">
        <w:rPr>
          <w:b/>
          <w:bCs/>
          <w:color w:val="000000"/>
        </w:rPr>
        <w:t>Socio-Technical Systems perspective</w:t>
      </w:r>
      <w:r w:rsidRPr="004C63D2">
        <w:rPr>
          <w:color w:val="000000"/>
        </w:rPr>
        <w:t>, provides a useful theoretical foundation for exploring these dynamics. By investigating adoption at the organizational level, this study contributes to both theory and practice in digital health innovation.</w:t>
      </w:r>
    </w:p>
    <w:p w14:paraId="46FA54E3" w14:textId="77777777" w:rsidR="00D621CB" w:rsidRPr="004C63D2" w:rsidRDefault="00D621CB" w:rsidP="00383675">
      <w:pPr>
        <w:spacing w:before="100" w:beforeAutospacing="1" w:after="100" w:afterAutospacing="1"/>
        <w:jc w:val="both"/>
        <w:outlineLvl w:val="1"/>
        <w:rPr>
          <w:b/>
          <w:bCs/>
          <w:color w:val="000000"/>
        </w:rPr>
      </w:pPr>
      <w:r w:rsidRPr="004C63D2">
        <w:rPr>
          <w:b/>
          <w:bCs/>
          <w:color w:val="000000"/>
        </w:rPr>
        <w:t>1.3 The Hong Kong Healthcare Context</w:t>
      </w:r>
    </w:p>
    <w:p w14:paraId="0C97720B" w14:textId="37C473E6" w:rsidR="00D621CB" w:rsidRPr="004C63D2" w:rsidRDefault="00D621CB" w:rsidP="00383675">
      <w:pPr>
        <w:spacing w:before="100" w:beforeAutospacing="1" w:after="100" w:afterAutospacing="1"/>
        <w:jc w:val="both"/>
        <w:rPr>
          <w:color w:val="000000"/>
        </w:rPr>
      </w:pPr>
      <w:r w:rsidRPr="004C63D2">
        <w:rPr>
          <w:color w:val="000000"/>
        </w:rPr>
        <w:t>Hong Kong presents a distinctive case for studying organizational adoption of telerehabilitation. As one of the most rapidly aging societies in Asia, nearly </w:t>
      </w:r>
      <w:r w:rsidRPr="004C63D2">
        <w:rPr>
          <w:b/>
          <w:bCs/>
          <w:color w:val="000000"/>
        </w:rPr>
        <w:t>28% of its population is projected to be aged 65 or above by 2039</w:t>
      </w:r>
      <w:r w:rsidRPr="004C63D2">
        <w:rPr>
          <w:color w:val="000000"/>
        </w:rPr>
        <w:t> </w:t>
      </w:r>
      <w:r w:rsidR="00E901E3" w:rsidRPr="004C63D2">
        <w:rPr>
          <w:color w:val="000000"/>
        </w:rPr>
        <w:fldChar w:fldCharType="begin"/>
      </w:r>
      <w:r w:rsidR="00E901E3" w:rsidRPr="004C63D2">
        <w:rPr>
          <w:color w:val="000000"/>
        </w:rPr>
        <w:instrText xml:space="preserve"> ADDIN ZOTERO_ITEM CSL_CITATION {"citationID":"2RJqk6he","properties":{"formattedCitation":"(Office of the Government Economist  The Government of the Hong Kong Special Administrative Region, 2019)","plainCitation":"(Office of the Government Economist  The Government of the Hong Kong Special Administrative Region, 2019)","noteIndex":0},"citationItems":[{"id":46,"uris":["http://zotero.org/users/16099821/items/Q4XFIDAR"],"itemData":{"id":46,"type":"article-journal","abstract":"With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growth.","container-title":"Economic Letter","issue":"2","language":"en","note":"With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growth.","source":"Zotero","title":"Population ageing trend of Hong Kong","volume":"2019","author":[{"family":"Office of the Government Economist  The Government of the Hong Kong Special Administrative Region","given":""}],"issued":{"date-parts":[["2019",1]]}}}],"schema":"https://github.com/citation-style-language/schema/raw/master/csl-citation.json"} </w:instrText>
      </w:r>
      <w:r w:rsidR="00E901E3" w:rsidRPr="004C63D2">
        <w:rPr>
          <w:color w:val="000000"/>
        </w:rPr>
        <w:fldChar w:fldCharType="separate"/>
      </w:r>
      <w:r w:rsidR="00E901E3" w:rsidRPr="004C63D2">
        <w:rPr>
          <w:noProof/>
          <w:color w:val="000000"/>
        </w:rPr>
        <w:t>(Office of the Government Economist  The Government of the Hong Kong Special Administrative Region, 2019)</w:t>
      </w:r>
      <w:r w:rsidR="00E901E3" w:rsidRPr="004C63D2">
        <w:rPr>
          <w:color w:val="000000"/>
        </w:rPr>
        <w:fldChar w:fldCharType="end"/>
      </w:r>
      <w:r w:rsidR="0097494F" w:rsidRPr="004C63D2">
        <w:rPr>
          <w:color w:val="000000"/>
        </w:rPr>
        <w:t xml:space="preserve">. </w:t>
      </w:r>
      <w:r w:rsidRPr="004C63D2">
        <w:rPr>
          <w:color w:val="000000"/>
        </w:rPr>
        <w:t>Rehabilitation services are in high demand, yet public hospitals and community care organizations face persistent capacity pressures.</w:t>
      </w:r>
    </w:p>
    <w:p w14:paraId="28FEC0DA" w14:textId="77777777" w:rsidR="00D621CB" w:rsidRPr="004C63D2" w:rsidRDefault="00D621CB" w:rsidP="00383675">
      <w:pPr>
        <w:spacing w:before="100" w:beforeAutospacing="1" w:after="100" w:afterAutospacing="1"/>
        <w:jc w:val="both"/>
        <w:rPr>
          <w:color w:val="000000"/>
        </w:rPr>
      </w:pPr>
      <w:r w:rsidRPr="004C63D2">
        <w:rPr>
          <w:color w:val="000000"/>
        </w:rPr>
        <w:t>Several unique features shape the telerehabilitation landscape in Hong Kong:</w:t>
      </w:r>
    </w:p>
    <w:p w14:paraId="50392F28" w14:textId="77777777" w:rsidR="00D621CB" w:rsidRPr="004C63D2" w:rsidRDefault="00D621CB" w:rsidP="00383675">
      <w:pPr>
        <w:numPr>
          <w:ilvl w:val="0"/>
          <w:numId w:val="17"/>
        </w:numPr>
        <w:spacing w:before="100" w:beforeAutospacing="1" w:after="100" w:afterAutospacing="1"/>
        <w:jc w:val="both"/>
        <w:rPr>
          <w:color w:val="000000"/>
        </w:rPr>
      </w:pPr>
      <w:r w:rsidRPr="004C63D2">
        <w:rPr>
          <w:b/>
          <w:bCs/>
          <w:color w:val="000000"/>
        </w:rPr>
        <w:t>Dual-track healthcare system</w:t>
      </w:r>
      <w:r w:rsidRPr="004C63D2">
        <w:rPr>
          <w:color w:val="000000"/>
        </w:rPr>
        <w:t xml:space="preserve"> – A heavily subsidized public system serves </w:t>
      </w:r>
      <w:proofErr w:type="gramStart"/>
      <w:r w:rsidRPr="004C63D2">
        <w:rPr>
          <w:color w:val="000000"/>
        </w:rPr>
        <w:t>the majority of</w:t>
      </w:r>
      <w:proofErr w:type="gramEnd"/>
      <w:r w:rsidRPr="004C63D2">
        <w:rPr>
          <w:color w:val="000000"/>
        </w:rPr>
        <w:t xml:space="preserve"> elderly patients, while a private sector offers parallel services. Organizational adoption </w:t>
      </w:r>
      <w:r w:rsidRPr="004C63D2">
        <w:rPr>
          <w:color w:val="000000"/>
        </w:rPr>
        <w:lastRenderedPageBreak/>
        <w:t>decisions are thus influenced by different funding models, resource constraints, and policy incentives.</w:t>
      </w:r>
    </w:p>
    <w:p w14:paraId="3CD2E1B4" w14:textId="77777777" w:rsidR="00D621CB" w:rsidRPr="004C63D2" w:rsidRDefault="00D621CB" w:rsidP="00383675">
      <w:pPr>
        <w:numPr>
          <w:ilvl w:val="0"/>
          <w:numId w:val="17"/>
        </w:numPr>
        <w:spacing w:before="100" w:beforeAutospacing="1" w:after="100" w:afterAutospacing="1"/>
        <w:jc w:val="both"/>
        <w:rPr>
          <w:color w:val="000000"/>
        </w:rPr>
      </w:pPr>
      <w:r w:rsidRPr="004C63D2">
        <w:rPr>
          <w:b/>
          <w:bCs/>
          <w:color w:val="000000"/>
        </w:rPr>
        <w:t>Digital Health Push</w:t>
      </w:r>
      <w:r w:rsidRPr="004C63D2">
        <w:rPr>
          <w:color w:val="000000"/>
        </w:rPr>
        <w:t> – Recent government initiatives, such as the </w:t>
      </w:r>
      <w:r w:rsidRPr="004C63D2">
        <w:rPr>
          <w:b/>
          <w:bCs/>
          <w:color w:val="000000"/>
        </w:rPr>
        <w:t>Smart Hospital Project</w:t>
      </w:r>
      <w:r w:rsidRPr="004C63D2">
        <w:rPr>
          <w:color w:val="000000"/>
        </w:rPr>
        <w:t> under the Hospital Authority and the wider </w:t>
      </w:r>
      <w:r w:rsidRPr="004C63D2">
        <w:rPr>
          <w:b/>
          <w:bCs/>
          <w:color w:val="000000"/>
        </w:rPr>
        <w:t>eHealth platform</w:t>
      </w:r>
      <w:r w:rsidRPr="004C63D2">
        <w:rPr>
          <w:color w:val="000000"/>
        </w:rPr>
        <w:t xml:space="preserve">, signal a policy drive towards digital healthcare. However, community-level adoption </w:t>
      </w:r>
      <w:proofErr w:type="gramStart"/>
      <w:r w:rsidRPr="004C63D2">
        <w:rPr>
          <w:color w:val="000000"/>
        </w:rPr>
        <w:t>lags behind</w:t>
      </w:r>
      <w:proofErr w:type="gramEnd"/>
      <w:r w:rsidRPr="004C63D2">
        <w:rPr>
          <w:color w:val="000000"/>
        </w:rPr>
        <w:t xml:space="preserve"> hospital-based pilots.</w:t>
      </w:r>
    </w:p>
    <w:p w14:paraId="01299DDF" w14:textId="77777777" w:rsidR="00D621CB" w:rsidRPr="004C63D2" w:rsidRDefault="00D621CB" w:rsidP="00383675">
      <w:pPr>
        <w:numPr>
          <w:ilvl w:val="0"/>
          <w:numId w:val="17"/>
        </w:numPr>
        <w:spacing w:before="100" w:beforeAutospacing="1" w:after="100" w:afterAutospacing="1"/>
        <w:jc w:val="both"/>
        <w:rPr>
          <w:color w:val="000000"/>
        </w:rPr>
      </w:pPr>
      <w:r w:rsidRPr="004C63D2">
        <w:rPr>
          <w:b/>
          <w:bCs/>
          <w:color w:val="000000"/>
        </w:rPr>
        <w:t>Workforce Challenges</w:t>
      </w:r>
      <w:r w:rsidRPr="004C63D2">
        <w:rPr>
          <w:color w:val="000000"/>
        </w:rPr>
        <w:t> – Shortages of physiotherapists and occupational therapists in public services increase the urgency of exploring technology-enabled alternatives, yet also raise concerns about workload, training, and professional acceptance.</w:t>
      </w:r>
    </w:p>
    <w:p w14:paraId="349A2192" w14:textId="77777777" w:rsidR="00D621CB" w:rsidRPr="004C63D2" w:rsidRDefault="00D621CB" w:rsidP="00383675">
      <w:pPr>
        <w:numPr>
          <w:ilvl w:val="0"/>
          <w:numId w:val="17"/>
        </w:numPr>
        <w:spacing w:before="100" w:beforeAutospacing="1" w:after="100" w:afterAutospacing="1"/>
        <w:jc w:val="both"/>
        <w:rPr>
          <w:color w:val="000000"/>
        </w:rPr>
      </w:pPr>
      <w:r w:rsidRPr="004C63D2">
        <w:rPr>
          <w:b/>
          <w:bCs/>
          <w:color w:val="000000"/>
        </w:rPr>
        <w:t>Cultural Factors</w:t>
      </w:r>
      <w:r w:rsidRPr="004C63D2">
        <w:rPr>
          <w:color w:val="000000"/>
        </w:rPr>
        <w:t> – Family involvement plays a crucial role in elderly care in Hong Kong. This dynamic may either support telerehabilitation uptake (through caregiver assistance with technology) or complicate it (due to generational digital literacy gaps).</w:t>
      </w:r>
    </w:p>
    <w:p w14:paraId="047A778A" w14:textId="41734D43" w:rsidR="0009767C" w:rsidRPr="004C63D2" w:rsidRDefault="00D621CB" w:rsidP="00383675">
      <w:pPr>
        <w:spacing w:before="100" w:beforeAutospacing="1" w:after="100" w:afterAutospacing="1"/>
        <w:jc w:val="both"/>
        <w:rPr>
          <w:color w:val="000000"/>
        </w:rPr>
      </w:pPr>
      <w:r w:rsidRPr="004C63D2">
        <w:rPr>
          <w:color w:val="000000"/>
        </w:rPr>
        <w:t>These contextual elements make Hong Kong a highly relevant setting to study organizational adoption of telerehabilitation. Lessons drawn here could inform policy and practice not only locally but also in other rapidly aging societies facing similar pressures.</w:t>
      </w:r>
    </w:p>
    <w:p w14:paraId="6855386C" w14:textId="5E9E9301" w:rsidR="00DC47B3" w:rsidRPr="004C63D2" w:rsidRDefault="00DC47B3" w:rsidP="00383675">
      <w:pPr>
        <w:spacing w:before="100" w:beforeAutospacing="1" w:after="100" w:afterAutospacing="1"/>
        <w:jc w:val="both"/>
        <w:outlineLvl w:val="2"/>
        <w:rPr>
          <w:b/>
          <w:bCs/>
          <w:color w:val="000000"/>
        </w:rPr>
      </w:pPr>
      <w:r w:rsidRPr="004C63D2">
        <w:rPr>
          <w:b/>
          <w:bCs/>
          <w:color w:val="000000"/>
        </w:rPr>
        <w:t>2. Literature Review</w:t>
      </w:r>
    </w:p>
    <w:p w14:paraId="460FC44C" w14:textId="7600EB1A" w:rsidR="002A4F41" w:rsidRPr="004C63D2" w:rsidRDefault="00DC47B3" w:rsidP="00383675">
      <w:pPr>
        <w:spacing w:before="100" w:beforeAutospacing="1" w:after="100" w:afterAutospacing="1"/>
        <w:jc w:val="both"/>
        <w:rPr>
          <w:b/>
          <w:bCs/>
          <w:color w:val="000000"/>
        </w:rPr>
      </w:pPr>
      <w:r w:rsidRPr="004C63D2">
        <w:rPr>
          <w:b/>
          <w:bCs/>
          <w:color w:val="000000"/>
        </w:rPr>
        <w:t>2.1</w:t>
      </w:r>
      <w:r w:rsidR="008772A9" w:rsidRPr="004C63D2">
        <w:rPr>
          <w:b/>
          <w:bCs/>
          <w:color w:val="000000"/>
        </w:rPr>
        <w:t>.1</w:t>
      </w:r>
      <w:r w:rsidRPr="004C63D2">
        <w:rPr>
          <w:b/>
          <w:bCs/>
          <w:color w:val="000000"/>
        </w:rPr>
        <w:t xml:space="preserve"> Telerehabilitation in Elderly Care</w:t>
      </w:r>
    </w:p>
    <w:p w14:paraId="7A91D1E7" w14:textId="77777777" w:rsidR="00207C60" w:rsidRPr="004C63D2" w:rsidRDefault="00207C60" w:rsidP="00383675">
      <w:pPr>
        <w:spacing w:before="100" w:beforeAutospacing="1" w:after="100" w:afterAutospacing="1"/>
        <w:jc w:val="both"/>
        <w:outlineLvl w:val="1"/>
        <w:rPr>
          <w:b/>
          <w:bCs/>
          <w:color w:val="000000"/>
        </w:rPr>
      </w:pPr>
      <w:bookmarkStart w:id="0" w:name="OLE_LINK4"/>
      <w:r w:rsidRPr="004C63D2">
        <w:rPr>
          <w:b/>
          <w:bCs/>
          <w:color w:val="000000"/>
        </w:rPr>
        <w:t>Benefits of Telerehabilitation in Elderly Community Settings</w:t>
      </w:r>
    </w:p>
    <w:p w14:paraId="06E66EE4" w14:textId="3F1973BD" w:rsidR="00AB6110" w:rsidRPr="004C63D2" w:rsidRDefault="00AB6110" w:rsidP="00383675">
      <w:pPr>
        <w:spacing w:before="100" w:beforeAutospacing="1" w:after="100" w:afterAutospacing="1"/>
        <w:jc w:val="both"/>
        <w:rPr>
          <w:color w:val="000000"/>
        </w:rPr>
      </w:pPr>
      <w:r w:rsidRPr="004C63D2">
        <w:rPr>
          <w:color w:val="000000"/>
        </w:rPr>
        <w:t>Telerehabilitation offers substantial benefits for elderly individuals residing in community settings, as documented by recent academic literature. By bridging geographic and mobility limitations, telerehabilitation delivers therapy directly to older adults’ homes, which greatly enhances accessibility and reduces barriers to care. This modality is especially valuable for seniors who face challenges due to rural living or limited transportation options, ensuring continuity and convenience in rehabilitation services</w:t>
      </w:r>
      <w:r w:rsidR="00CF461F" w:rsidRPr="004C63D2">
        <w:rPr>
          <w:color w:val="000000"/>
        </w:rPr>
        <w:t xml:space="preserve"> </w:t>
      </w:r>
      <w:r w:rsidR="00CF461F" w:rsidRPr="004C63D2">
        <w:rPr>
          <w:color w:val="000000"/>
        </w:rPr>
        <w:fldChar w:fldCharType="begin"/>
      </w:r>
      <w:r w:rsidR="00885630" w:rsidRPr="004C63D2">
        <w:rPr>
          <w:color w:val="000000"/>
        </w:rPr>
        <w:instrText xml:space="preserve"> ADDIN ZOTERO_ITEM CSL_CITATION {"citationID":"hNXTfmPK","properties":{"formattedCitation":"(Li, 2024)","plainCitation":"(Li, 2024)","noteIndex":0},"citationItems":[{"id":688,"uris":["http://zotero.org/users/16099821/items/HSDW4GX2"],"itemData":{"id":688,"type":"article-journal","abstract":"Telerehabilitation is a transformative approach to physical therapy, revolutionizing the accessibility of healthcare in rural communities through the strategic use of Telecommunications technology. This novel approach has the potential to significantly enhance the efficacy of healthcare delivery, particularly considering the critical challenges posed by geographical isolation and resource scarcity. This paper explores the multifaceted benefits of Telerehabilitation, including increased access to care and reduced costs, alongside the challenges of technological barriers and privacy considerations. It provides a comprehensive overview of Telerehabilitation’s impact on rural healthcare, emphasizing its capacity to optimize patient outcomes and proposing strategies for effective implementation. The findings of this study suggest that the use of technology to deliver telecare is a key means of delivering equitable healthcare to underserved populations, a promising way to improve access to rural physiotherapy services address the challenge of telehealth resources, and promote the long-term sustainability of rural Telerehabilitation practices.","container-title":"Journal of Novel Physiotherapy and Rehabilitation","DOI":"10.29328/journal.jnpr.1001058","ISSN":"25736264","issue":"1","journalAbbreviation":"J Nov Physiother Rehabil","page":"014-016","source":"DOI.org (Crossref)","title":"The Impact of Telerehabilitation on Physical Therapy Services in Rural Communities","volume":"8","author":[{"family":"Li","given":"Ma"}],"issued":{"date-parts":[["2024",5,3]]}}}],"schema":"https://github.com/citation-style-language/schema/raw/master/csl-citation.json"} </w:instrText>
      </w:r>
      <w:r w:rsidR="00CF461F" w:rsidRPr="004C63D2">
        <w:rPr>
          <w:color w:val="000000"/>
        </w:rPr>
        <w:fldChar w:fldCharType="separate"/>
      </w:r>
      <w:r w:rsidR="00D12A04" w:rsidRPr="004C63D2">
        <w:rPr>
          <w:noProof/>
          <w:color w:val="000000"/>
        </w:rPr>
        <w:t>(Census and Statistics Department, 2023)</w:t>
      </w:r>
      <w:r w:rsidR="00CF461F" w:rsidRPr="004C63D2">
        <w:rPr>
          <w:color w:val="000000"/>
        </w:rPr>
        <w:fldChar w:fldCharType="end"/>
      </w:r>
      <w:r w:rsidRPr="004C63D2">
        <w:rPr>
          <w:color w:val="000000"/>
        </w:rPr>
        <w:t>. Studies have highlighted the significant resource efficiency of telerehabilitation, as it reduces travel time and costs for both patients and healthcare providers, and supports scalable, sustainable models of service delivery</w:t>
      </w:r>
      <w:r w:rsidR="000371EE" w:rsidRPr="004C63D2">
        <w:rPr>
          <w:color w:val="000000"/>
        </w:rPr>
        <w:t xml:space="preserve"> </w:t>
      </w:r>
      <w:r w:rsidR="000371EE" w:rsidRPr="004C63D2">
        <w:rPr>
          <w:color w:val="000000"/>
        </w:rPr>
        <w:fldChar w:fldCharType="begin"/>
      </w:r>
      <w:r w:rsidR="00532373" w:rsidRPr="004C63D2">
        <w:rPr>
          <w:color w:val="000000"/>
        </w:rPr>
        <w:instrText xml:space="preserve"> ADDIN ZOTERO_ITEM CSL_CITATION {"citationID":"tY7Q4iA4","properties":{"formattedCitation":"(Munce, 2025a)","plainCitation":"(Munce, 2025a)","noteIndex":0},"citationItems":[{"id":687,"uris":["http://zotero.org/users/16099821/items/295TNBF3"],"itemData":{"id":687,"type":"article-journal","abstract":"During the COVID-19 pandemic, telerehabilitation was critical to providing ongoing care for people with impairments or disabilities, and it remains frequently used and popular after the pandemic. Telerehabilitation has been shown to be feasible and effective in a variety of conditions, including chronic heart failure and coronary artery disease, stroke, multiple sclerosis, and spinal cord injuries, with adverse events being rare. This editorial identifies important areas and future directions for the field, including implementation considerations in the postpandemic context, issues of access and equity, and emerging innovations and personalized care. The development and implementation of this knowledge will ensure that individuals with disabilities and impairments will continue to receive effective, safe, and person-driven care remotely.","container-title":"JMIR Rehabilitation and Assistive Technologies","DOI":"10.2196/76153","ISSN":"2369-2529","journalAbbreviation":"JMIR Rehabil Assist Technol","language":"en","page":"e76153","source":"DOI.org (Crossref)","title":"The Importance of Telerehabilitation and Future Directions for the Field","volume":"12","author":[{"family":"Munce","given":"Sarah"}],"issued":{"date-parts":[["2025",4,29]]}}}],"schema":"https://github.com/citation-style-language/schema/raw/master/csl-citation.json"} </w:instrText>
      </w:r>
      <w:r w:rsidR="000371EE" w:rsidRPr="004C63D2">
        <w:rPr>
          <w:color w:val="000000"/>
        </w:rPr>
        <w:fldChar w:fldCharType="separate"/>
      </w:r>
      <w:r w:rsidR="00532373" w:rsidRPr="004C63D2">
        <w:rPr>
          <w:noProof/>
          <w:color w:val="000000"/>
        </w:rPr>
        <w:t>(Munce, 2025a)</w:t>
      </w:r>
      <w:r w:rsidR="000371EE" w:rsidRPr="004C63D2">
        <w:rPr>
          <w:color w:val="000000"/>
        </w:rPr>
        <w:fldChar w:fldCharType="end"/>
      </w:r>
      <w:r w:rsidR="000371EE" w:rsidRPr="004C63D2">
        <w:rPr>
          <w:color w:val="000000"/>
        </w:rPr>
        <w:t>.</w:t>
      </w:r>
      <w:r w:rsidRPr="004C63D2">
        <w:rPr>
          <w:color w:val="000000"/>
        </w:rPr>
        <w:t xml:space="preserve"> The clinical effectiveness of telerehabilitation has been found to be comparable to traditional face-to-face rehabilitation in various contexts, with research demonstrating that post-discharge engagement through remote therapy sustains patient recovery and momentum</w:t>
      </w:r>
      <w:r w:rsidR="0022242E" w:rsidRPr="004C63D2">
        <w:rPr>
          <w:color w:val="000000"/>
        </w:rPr>
        <w:t xml:space="preserve"> </w:t>
      </w:r>
      <w:r w:rsidR="00CC23E1" w:rsidRPr="004C63D2">
        <w:rPr>
          <w:color w:val="000000"/>
        </w:rPr>
        <w:fldChar w:fldCharType="begin"/>
      </w:r>
      <w:r w:rsidR="00CC23E1" w:rsidRPr="004C63D2">
        <w:rPr>
          <w:color w:val="000000"/>
        </w:rPr>
        <w:instrText xml:space="preserve"> ADDIN ZOTERO_ITEM CSL_CITATION {"citationID":"ci7MAt8N","properties":{"formattedCitation":"(Gamble {\\i{}et al.}, 2024)","plainCitation":"(Gamble et al., 2024)","noteIndex":0},"citationItems":[{"id":147,"uris":["http://zotero.org/users/16099821/items/VYNMUK8K"],"itemData":{"id":147,"type":"article-journal","abstract":"Objective\nTo systematically review the effectiveness of guided telerehabilitation on improving functional performance in community-dwelling older adults.\nData sources\nArticles published in PubMed, Cochrane Library and Embase (Ovid) from 01 January 2010 up to 17 October 2023.\nReview Methods\nIncluded studies had (1) a randomised controlled trial design, (2) an average population age of 65 years or older, (3) a home-based setting and (4) evaluated the effectiveness of functional performance outcome measures. The intervention was considered telerehabilitation when guided by a healthcare professional using video, audio and/or text communication technologies with a minimum frequency of once per week. The Preferred Reporting Items for Systematic Reviews and Meta-Analysis 2020 statement guideline was followed. Methodological quality was appraised using the revised Cochrane Risk of Bias tool.\nResults\nA total of 26 randomised controlled trials were included. Telerehabilitation had superior (N = 15), non-superior (N = 16) or non-inferior (N = 11) effectiveness for improving functional performance outcome measures compared to control interventions. No studies found the control intervention to be superior over telerehabilitation. Between study differences in intervention characteristics contributed to significant clinical heterogeneity. Five studies were found to present an overall ‘low’ risk of bias, 12 studies to present ‘some’ risk of bias and 9 studies to present an overall ‘high’ risk of bias.\nConclusion\nThe findings suggest that telerehabilitation could be a promising alternative to in-person rehabilitation for improving functional performance in community-dwelling older adults. Additional well-designed studies with minimised bias are needed for a better understanding of effective telerehabilitation intervention strategies.","container-title":"Clinical Rehabilitation","DOI":"10.1177/02692155231217411","ISSN":"0269-2155","issue":"4","journalAbbreviation":"Clin Rehabil","language":"EN","note":"telerehabilitation could be a promising alternative to in-person rehabilitation for improving functional performance in community-dwelling older adults. Additional well-designed studies with minimised bias are needed for a better understanding of effective telerehabilitation intervention strategies.","page":"457-477","source":"SAGE Journals","title":"Effectiveness of guided telerehabilitation on functional performance in community-dwelling older adults: A systematic review","title-short":"Effectiveness of guided telerehabilitation on functional performance in community-dwelling older adults","volume":"38","author":[{"family":"Gamble","given":"CJ"},{"family":"Haastregt","given":"JCM","non-dropping-particle":"van"},{"family":"Dam van Isselt","given":"EF","non-dropping-particle":"van"},{"family":"Zwakhalen","given":"SMG"},{"family":"Schols","given":"JMGA"}],"issued":{"date-parts":[["2024",4,1]]}}}],"schema":"https://github.com/citation-style-language/schema/raw/master/csl-citation.json"} </w:instrText>
      </w:r>
      <w:r w:rsidR="00CC23E1" w:rsidRPr="004C63D2">
        <w:rPr>
          <w:color w:val="000000"/>
        </w:rPr>
        <w:fldChar w:fldCharType="separate"/>
      </w:r>
      <w:r w:rsidR="00CC23E1" w:rsidRPr="004C63D2">
        <w:rPr>
          <w:rFonts w:eastAsiaTheme="minorEastAsia"/>
          <w:color w:val="000000"/>
          <w14:ligatures w14:val="standardContextual"/>
        </w:rPr>
        <w:t xml:space="preserve">(Gamble </w:t>
      </w:r>
      <w:r w:rsidR="00CC23E1" w:rsidRPr="004C63D2">
        <w:rPr>
          <w:rFonts w:eastAsiaTheme="minorEastAsia"/>
          <w:i/>
          <w:iCs/>
          <w:color w:val="000000"/>
          <w14:ligatures w14:val="standardContextual"/>
        </w:rPr>
        <w:t>et al.</w:t>
      </w:r>
      <w:r w:rsidR="00CC23E1" w:rsidRPr="004C63D2">
        <w:rPr>
          <w:rFonts w:eastAsiaTheme="minorEastAsia"/>
          <w:color w:val="000000"/>
          <w14:ligatures w14:val="standardContextual"/>
        </w:rPr>
        <w:t>, 2024)</w:t>
      </w:r>
      <w:r w:rsidR="00CC23E1" w:rsidRPr="004C63D2">
        <w:rPr>
          <w:color w:val="000000"/>
        </w:rPr>
        <w:fldChar w:fldCharType="end"/>
      </w:r>
      <w:r w:rsidR="00825AD4" w:rsidRPr="004C63D2">
        <w:rPr>
          <w:color w:val="000000"/>
        </w:rPr>
        <w:t xml:space="preserve"> </w:t>
      </w:r>
      <w:r w:rsidR="00825AD4" w:rsidRPr="004C63D2">
        <w:rPr>
          <w:color w:val="000000"/>
        </w:rPr>
        <w:fldChar w:fldCharType="begin"/>
      </w:r>
      <w:r w:rsidR="00696D0E" w:rsidRPr="004C63D2">
        <w:rPr>
          <w:color w:val="000000"/>
        </w:rPr>
        <w:instrText xml:space="preserve"> ADDIN ZOTERO_ITEM CSL_CITATION {"citationID":"dXLCsAhu","properties":{"formattedCitation":"(Pol {\\i{}et al.}, 2023)","plainCitation":"(Pol et al., 2023)","noteIndex":0},"citationItems":[{"id":605,"uris":["http://zotero.org/users/16099821/items/T5RQMA4N","http://zotero.org/users/16099821/items/D3QMUV76"],"itemData":{"id":605,"type":"article-journal","abstract":"Background: Owing to demographic trends and increasing health care costs, quick discharge with geriatric rehabilitation at home is advised and recommended for older adults. Telerehabilitation has been identiﬁed as a promising tool to support rehabilitation at home. However, there is insufficient knowledge about how to implement a validated home telerehabilitation system in other contexts. One of the major challenges for rehabilitation professionals is transitioning to a blended work process in which human coaching is supplemented via digital care.\nObjective: The study aimed to gain an in-depth understanding of the factors that influence the implementation of an evidence-based sensor monitoring intervention (SMI) for older adults by analyzing the perspectives of rehabilitation professionals working in 2 different health ecosystems and mapping SMI barriers and facilitators.\nMethods: We adopted a qualitative study design to conduct 2 focus groups, 1 in person in the Netherlands during winter of 2017 and 1 on the web via Zoom (Zoom Video Communications; owing to the COVID-19 pandemic) in Canada during winter of 2022, to explore rehabilitation providers’ perspectives about implementing SMI. Qualitative data obtained were analyzed using thematic analysis. Participants were a group of rehabilitation professionals in the Netherlands who have previously worked with the SMI and a group of rehabilitation professionals in the province of Manitoba (Canada) who have not previously worked with the SMI but who were introduced to the intervention through a 30-minute web-based presentation before the focus group.\nResults: The participants expressed different characteristics of the telerehabilitation intervention that contributed to making the intervention successful for at-home rehabilitation: focus on future participation goals, technology support provides the rehabilitation professionals with objective and additional insight into the daily functioning of the older adults at home, SMI can be used as a goal-setting tool, and SMI deepens their contact with older adults. The analysis showed facilitators of and barriers to the implementation of the telerehabilitation intervention. These included personal or client-related, therapist-related, and technology-related aspects.\nConclusions: Rehabilitation professionals believed that telerehabilitation could be suitable for monitoring and supporting older adults’ rehabilitation at home. To better guide the implementation of telerehabilitation in the daily practice of rehabilitation professionals, the following steps are needed: ensuring that technology is feasible for communities with limited digital health literacy and cognitive impairments, developing instruction tools and guidelines, and training and coaching of rehabilitation professionals.","container-title":"JMIR Rehabilitation and Assistive Technologies","DOI":"10.2196/44498","issue":"1","language":"EN","license":"Unless stated otherwise, all articles are open-access distributed under the terms of the Creative Commons Attribution License (http://creativecommons.org/licenses/by/2.0/), which permits unrestricted use, distribution, and reproduction in any medium, provided the original work (\"first published in the Journal of Medical Internet Research...\") is properly cited with original URL and bibliographic citation information. The complete bibliographic information, a link to the original publication on http://www.jmir.org/, as well as this copyright and license information must be included.","note":"Company: JMIR Rehabilitation and Assistive Technologies\nDistributor: JMIR Rehabilitation and Assistive Technologies\nInstitution: JMIR Rehabilitation and Assistive Technologies\nLabel: JMIR Rehabilitation and Assistive Technologies\npublisher: JMIR Publications Inc., Toronto, Canada","page":"e44498","source":"rehab.jmir.org","title":"Perspectives of Rehabilitation Professionals on Implementing a Validated Home Telerehabilitation Intervention for Older Adults in Geriatric Rehabilitation: Multisite Focus Group Study","title-short":"Perspectives of Rehabilitation Professionals on Implementing a Validated Home Telerehabilitation Intervention for Older Adults in Geriatric Rehabilitation","volume":"10","author":[{"family":"Pol","given":"Margriet"},{"family":"Qadeer","given":"Amarzish"},{"family":"Hartingsveldt","given":"Margo","dropping-particle":"van"},{"family":"Choukou","given":"Mohamed-Amine"}],"issued":{"date-parts":[["2023",7,18]]}}}],"schema":"https://github.com/citation-style-language/schema/raw/master/csl-citation.json"} </w:instrText>
      </w:r>
      <w:r w:rsidR="00825AD4" w:rsidRPr="004C63D2">
        <w:rPr>
          <w:color w:val="000000"/>
        </w:rPr>
        <w:fldChar w:fldCharType="separate"/>
      </w:r>
      <w:r w:rsidR="00F20B7E" w:rsidRPr="004C63D2">
        <w:rPr>
          <w:rFonts w:eastAsiaTheme="minorEastAsia"/>
          <w:color w:val="000000"/>
          <w14:ligatures w14:val="standardContextual"/>
        </w:rPr>
        <w:t xml:space="preserve">(Pol </w:t>
      </w:r>
      <w:r w:rsidR="00F20B7E" w:rsidRPr="004C63D2">
        <w:rPr>
          <w:rFonts w:eastAsiaTheme="minorEastAsia"/>
          <w:i/>
          <w:iCs/>
          <w:color w:val="000000"/>
          <w14:ligatures w14:val="standardContextual"/>
        </w:rPr>
        <w:t>et al.</w:t>
      </w:r>
      <w:r w:rsidR="00F20B7E" w:rsidRPr="004C63D2">
        <w:rPr>
          <w:rFonts w:eastAsiaTheme="minorEastAsia"/>
          <w:color w:val="000000"/>
          <w14:ligatures w14:val="standardContextual"/>
        </w:rPr>
        <w:t>, 2023)</w:t>
      </w:r>
      <w:r w:rsidR="00825AD4" w:rsidRPr="004C63D2">
        <w:rPr>
          <w:color w:val="000000"/>
        </w:rPr>
        <w:fldChar w:fldCharType="end"/>
      </w:r>
      <w:r w:rsidRPr="004C63D2">
        <w:rPr>
          <w:color w:val="000000"/>
        </w:rPr>
        <w:t>. Furthermore, telerehabilitation promotes inclusivity by enabling access for mobility-impaired, geographically distant, and financially constrained elderly individuals. The capacity for delivering personalized interventions within a familiar environment not only increases patient adherence but also supports individualized therapeutic progress. Collectively, the literature affirms that telerehabilitation is a transformative approach that broadens reach, maintains efficacy, and supports the diverse needs of older adults in community settings.</w:t>
      </w:r>
      <w:r w:rsidR="00842577" w:rsidRPr="004C63D2">
        <w:rPr>
          <w:color w:val="000000"/>
        </w:rPr>
        <w:t xml:space="preserve"> </w:t>
      </w:r>
      <w:r w:rsidR="00842577" w:rsidRPr="004C63D2">
        <w:rPr>
          <w:color w:val="000000"/>
        </w:rPr>
        <w:fldChar w:fldCharType="begin"/>
      </w:r>
      <w:r w:rsidR="0004536F" w:rsidRPr="004C63D2">
        <w:rPr>
          <w:color w:val="000000"/>
        </w:rPr>
        <w:instrText xml:space="preserve"> ADDIN ZOTERO_ITEM CSL_CITATION {"citationID":"wzCx9Wmv","properties":{"formattedCitation":"(Neumann {\\i{}et al.}, 2023)","plainCitation":"(Neumann et al., 2023)","noteIndex":0},"citationItems":[{"id":572,"uris":["http://zotero.org/users/16099821/items/KIFKUN6L"],"itemData":{"id":572,"type":"article-journal","abstract":"Background The COVID-19 pandemic increased the use of telehealth, which posed unique challenges for the provision of care to older adults who face numerous barriers to accessing and using technology. To improve older adults' online health-related abilities, the UCSF Geriatrics Workforce Enhancement Program (UCSF-GWEP) partnered with Little Brothers Friends of the Elderly-San Francisco (LBFE-SF) to develop a model telehealth training intervention. Methods LBFE-SF recruited older adults from their members with wi-fi and paired each one with a new device and volunteer trainer to cover seven lessons and four key tasks (emailing providers, video visits, accessing health information, and using patient portals). Older adults completed surveys to self-assess their skill level after training, and their confidence before, immediately after, and 3 months post training. A subset of trainees were also interviewed about their program goals and experiences. UCSF-GWEP conducted statistical analyses of survey data, and coded interview transcripts to identify aspects of the model supportive to learning and success. Results Of 43 participants, 31 completed training. Their median age was 75; 48% were non-white; 45% had no more than a high school education; and 63% reported yearly income below U.S. $20,000. Three months after completing the program, more than 50% of trainees reported that they needed little or no help performing all four key tasks, and confidence with video visits, online searches, and patient portals showed significant improvement. Additionally, in interviews participants reported improved health, social benefits, and explained that learning was facilitated by self-pacing, repetition, and longitudinal support from volunteer trainers. Conclusions Older adults with various barriers to learning technology showed online independence and increased confidence with some telehealth tasks after a novel training intervention. Key characteristics of the model included a tablet device, one-on-one longitudinal support from volunteers, comprehensive learning materials, and community–academic partnership.","container-title":"Journal of the American Geriatrics Society","DOI":"10.1111/jgs.18556","ISSN":"1532-5415","issue":"12","language":"en","license":"© 2023 The Authors. Journal of the American Geriatrics Society published by Wiley Periodicals LLC on behalf of The American Geriatrics Society.","note":"_eprint: https://agsjournals.onlinelibrary.wiley.com/doi/pdf/10.1111/jgs.18556","page":"3886-3895","source":"Wiley Online Library","title":"Improving older adults' telehealth through a novel community–academic partnership: Preliminary data","title-short":"Improving older adults' telehealth through a novel community–academic partnership","volume":"71","author":[{"family":"Neumann","given":"Alicia V."},{"family":"Gonzalez","given":"Andrea"},{"family":"Walter","given":"Louise C."},{"family":"Rivera","given":"Josette"}],"issued":{"date-parts":[["2023"]]}}}],"schema":"https://github.com/citation-style-language/schema/raw/master/csl-citation.json"} </w:instrText>
      </w:r>
      <w:r w:rsidR="00842577" w:rsidRPr="004C63D2">
        <w:rPr>
          <w:color w:val="000000"/>
        </w:rPr>
        <w:fldChar w:fldCharType="separate"/>
      </w:r>
      <w:r w:rsidR="0004536F" w:rsidRPr="004C63D2">
        <w:rPr>
          <w:rFonts w:eastAsiaTheme="minorEastAsia"/>
          <w:color w:val="000000"/>
          <w14:ligatures w14:val="standardContextual"/>
        </w:rPr>
        <w:t xml:space="preserve">(Neumann </w:t>
      </w:r>
      <w:r w:rsidR="0004536F" w:rsidRPr="004C63D2">
        <w:rPr>
          <w:rFonts w:eastAsiaTheme="minorEastAsia"/>
          <w:i/>
          <w:iCs/>
          <w:color w:val="000000"/>
          <w14:ligatures w14:val="standardContextual"/>
        </w:rPr>
        <w:t>et al.</w:t>
      </w:r>
      <w:r w:rsidR="0004536F" w:rsidRPr="004C63D2">
        <w:rPr>
          <w:rFonts w:eastAsiaTheme="minorEastAsia"/>
          <w:color w:val="000000"/>
          <w14:ligatures w14:val="standardContextual"/>
        </w:rPr>
        <w:t>, 2023)</w:t>
      </w:r>
      <w:r w:rsidR="00842577" w:rsidRPr="004C63D2">
        <w:rPr>
          <w:color w:val="000000"/>
        </w:rPr>
        <w:fldChar w:fldCharType="end"/>
      </w:r>
    </w:p>
    <w:p w14:paraId="48543433" w14:textId="77777777" w:rsidR="00207C60" w:rsidRPr="004C63D2" w:rsidRDefault="00207C60" w:rsidP="00383675">
      <w:pPr>
        <w:spacing w:before="100" w:beforeAutospacing="1" w:after="100" w:afterAutospacing="1"/>
        <w:jc w:val="both"/>
        <w:outlineLvl w:val="1"/>
        <w:rPr>
          <w:b/>
          <w:bCs/>
          <w:color w:val="000000"/>
        </w:rPr>
      </w:pPr>
      <w:bookmarkStart w:id="1" w:name="OLE_LINK5"/>
      <w:bookmarkEnd w:id="0"/>
      <w:r w:rsidRPr="004C63D2">
        <w:rPr>
          <w:b/>
          <w:bCs/>
          <w:color w:val="000000"/>
        </w:rPr>
        <w:t>Challenges and Barriers</w:t>
      </w:r>
    </w:p>
    <w:p w14:paraId="508D4EC1" w14:textId="4CADDC53" w:rsidR="00931A05" w:rsidRPr="004C63D2" w:rsidRDefault="00931A05" w:rsidP="00383675">
      <w:pPr>
        <w:spacing w:before="100" w:beforeAutospacing="1" w:after="100" w:afterAutospacing="1"/>
        <w:jc w:val="both"/>
        <w:rPr>
          <w:color w:val="000000"/>
        </w:rPr>
      </w:pPr>
      <w:r w:rsidRPr="004C63D2">
        <w:rPr>
          <w:color w:val="000000"/>
        </w:rPr>
        <w:t xml:space="preserve">Telerehabilitation in elderly community settings faces several significant challenges and barriers, as established by scholarly research. Digital inequities pose a fundamental obstacle, with </w:t>
      </w:r>
      <w:r w:rsidRPr="004C63D2">
        <w:rPr>
          <w:color w:val="000000"/>
        </w:rPr>
        <w:lastRenderedPageBreak/>
        <w:t>disparities in socioeconomic status, geographic location, and digital literacy resulting in uneven access and uptake of telerehabilitation services</w:t>
      </w:r>
      <w:r w:rsidR="000D256B" w:rsidRPr="004C63D2">
        <w:rPr>
          <w:color w:val="000000"/>
        </w:rPr>
        <w:t xml:space="preserve"> </w:t>
      </w:r>
      <w:r w:rsidR="000D256B" w:rsidRPr="004C63D2">
        <w:rPr>
          <w:color w:val="000000"/>
        </w:rPr>
        <w:fldChar w:fldCharType="begin"/>
      </w:r>
      <w:r w:rsidR="00275FD1" w:rsidRPr="004C63D2">
        <w:rPr>
          <w:color w:val="000000"/>
        </w:rPr>
        <w:instrText xml:space="preserve"> ADDIN ZOTERO_ITEM CSL_CITATION {"citationID":"rVi59iEt","properties":{"formattedCitation":"(Ragnedda and Muschert, 2013)","plainCitation":"(Ragnedda and Muschert, 2013)","noteIndex":0},"citationItems":[{"id":693,"uris":["http://zotero.org/users/16099821/items/BV2JZ5HN","http://zotero.org/users/16099821/items/4REEP5BM"],"itemData":{"id":693,"type":"book","abstract":"section 1. Theories of the digital divide -- section 2. Highly developed nations and regions -- section 3. Rapidly developing large nations - the BRIC nations -- section 4. Eastern Europe -- section 5. The Middle East region -- section 6. Under-studied countries and regions","collection-number":"73","collection-title":"Routledge advances in sociology","event-place":"London New York","ISBN":"978-1-135-08835-4","language":"eng","note":"DOI: 10.4324/9780203069769","number-of-pages":"1","publisher":"Routledge, Taylor &amp; Francis Group","publisher-place":"London New York","source":"K10plus ISBN","title":"The digital divide: the internet and social inequality in international perspective","title-short":"The digital divide","editor":[{"family":"Ragnedda","given":"Massimo"},{"family":"Muschert","given":"Glenn W."}],"issued":{"date-parts":[["2013"]]}}}],"schema":"https://github.com/citation-style-language/schema/raw/master/csl-citation.json"} </w:instrText>
      </w:r>
      <w:r w:rsidR="000D256B" w:rsidRPr="004C63D2">
        <w:rPr>
          <w:color w:val="000000"/>
        </w:rPr>
        <w:fldChar w:fldCharType="separate"/>
      </w:r>
      <w:r w:rsidR="009E5E02" w:rsidRPr="004C63D2">
        <w:rPr>
          <w:noProof/>
          <w:color w:val="000000"/>
        </w:rPr>
        <w:t>(Ragnedda and Muschert, 2013)</w:t>
      </w:r>
      <w:r w:rsidR="000D256B" w:rsidRPr="004C63D2">
        <w:rPr>
          <w:color w:val="000000"/>
        </w:rPr>
        <w:fldChar w:fldCharType="end"/>
      </w:r>
      <w:r w:rsidR="00134B2B" w:rsidRPr="004C63D2">
        <w:rPr>
          <w:color w:val="000000"/>
        </w:rPr>
        <w:t xml:space="preserve"> </w:t>
      </w:r>
      <w:r w:rsidR="00EB7A37" w:rsidRPr="004C63D2">
        <w:rPr>
          <w:color w:val="000000"/>
        </w:rPr>
        <w:fldChar w:fldCharType="begin"/>
      </w:r>
      <w:r w:rsidR="00696D0E" w:rsidRPr="004C63D2">
        <w:rPr>
          <w:color w:val="000000"/>
        </w:rPr>
        <w:instrText xml:space="preserve"> ADDIN ZOTERO_ITEM CSL_CITATION {"citationID":"K4OVzJEf","properties":{"formattedCitation":"(Veras {\\i{}et al.}, 2025)","plainCitation":"(Veras et al., 2025)","noteIndex":0},"citationItems":[{"id":563,"uris":["http://zotero.org/users/16099821/items/XB3NWUB3"],"itemData":{"id":563,"type":"article-journal","abstract":"Background\nThe integration of technology in rehabilitation is transforming health care delivery for older adults, especially through telerehabilitation, which addresses barriers to in-person care.\n\nObjective\nThis rapid review explores the ethical and equity concerns associated with telerehabilitation for older adults, focusing on challenges such as internet access, technology adoption, and digital literacy.\n\nMethods\nConducted according to Cochrane Rapid Review guidelines, this review used the Metaverse Equitable Rehabilitation Therapy framework, focusing on equity and ethics. Studies included telerehabilitation services for adults aged 55 years and older, published between 2010 and 2023. Screening was conducted independently by 2 researchers using Rayyan (Qatar Computing Research Institute, Hamad Bin Khalifa University), with full-text review by additional team members. Searches were performed in Medline and CINAHL\n\nResults\nFrom 323 papers retrieved, 49 studies met the inclusion criteria. The included studies were published between 2013 and 2023. Disparities in socioeconomic status, geographic location, and racial and ethnic backgrounds were found to impact telerehabilitation use. Additionally, ethical concerns around privacy, security, and autonomy were often inadequately addressed.\n\nConclusions\nThis review emphasizes the need for culturally appropriate, accessible, and inclusive telerehabilitation services that integrate ethical and equity considerations into their design and delivery.","container-title":"JMIR Aging","DOI":"10.2196/69660","ISSN":"2561-7605","journalAbbreviation":"JMIR Aging","note":"PMID: 40802966\nPMCID: PMC12349735","page":"e69660","source":"PubMed Central","title":"Ethics and Equity Challenges in Telerehabilitation for Older Adults: Rapid Review","title-short":"Ethics and Equity Challenges in Telerehabilitation for Older Adults","volume":"8","author":[{"family":"Veras","given":"Mirella"},{"family":"Auger","given":"Louis-Pierre"},{"family":"Sigouin","given":"Jennifer"},{"family":"Gheidari","given":"Nahid"},{"family":"Nelson","given":"Michelle LA"},{"family":"Miller","given":"William C"},{"family":"Hudon","given":"Anne"},{"family":"Kairy","given":"Dahlia"}],"issued":{"date-parts":[["2025",8,13]]}}}],"schema":"https://github.com/citation-style-language/schema/raw/master/csl-citation.json"} </w:instrText>
      </w:r>
      <w:r w:rsidR="00EB7A37" w:rsidRPr="004C63D2">
        <w:rPr>
          <w:color w:val="000000"/>
        </w:rPr>
        <w:fldChar w:fldCharType="separate"/>
      </w:r>
      <w:r w:rsidR="00696D0E" w:rsidRPr="004C63D2">
        <w:rPr>
          <w:rFonts w:eastAsiaTheme="minorEastAsia"/>
          <w:color w:val="000000"/>
          <w14:ligatures w14:val="standardContextual"/>
        </w:rPr>
        <w:t xml:space="preserve">(Veras </w:t>
      </w:r>
      <w:r w:rsidR="00696D0E" w:rsidRPr="004C63D2">
        <w:rPr>
          <w:rFonts w:eastAsiaTheme="minorEastAsia"/>
          <w:i/>
          <w:iCs/>
          <w:color w:val="000000"/>
          <w14:ligatures w14:val="standardContextual"/>
        </w:rPr>
        <w:t>et al.</w:t>
      </w:r>
      <w:r w:rsidR="00696D0E" w:rsidRPr="004C63D2">
        <w:rPr>
          <w:rFonts w:eastAsiaTheme="minorEastAsia"/>
          <w:color w:val="000000"/>
          <w14:ligatures w14:val="standardContextual"/>
        </w:rPr>
        <w:t>, 2025)</w:t>
      </w:r>
      <w:r w:rsidR="00EB7A37" w:rsidRPr="004C63D2">
        <w:rPr>
          <w:color w:val="000000"/>
        </w:rPr>
        <w:fldChar w:fldCharType="end"/>
      </w:r>
      <w:r w:rsidRPr="004C63D2">
        <w:rPr>
          <w:color w:val="000000"/>
        </w:rPr>
        <w:t>. Rural populations and individuals with lower income are particularly affected, amplifying the digital divide and undermining the potential for widespread benefit</w:t>
      </w:r>
      <w:r w:rsidR="002A597C" w:rsidRPr="004C63D2">
        <w:rPr>
          <w:color w:val="000000"/>
        </w:rPr>
        <w:t xml:space="preserve"> </w:t>
      </w:r>
      <w:r w:rsidR="002A597C" w:rsidRPr="004C63D2">
        <w:rPr>
          <w:color w:val="000000"/>
        </w:rPr>
        <w:fldChar w:fldCharType="begin"/>
      </w:r>
      <w:r w:rsidR="006F5E88" w:rsidRPr="004C63D2">
        <w:rPr>
          <w:color w:val="000000"/>
        </w:rPr>
        <w:instrText xml:space="preserve"> ADDIN ZOTERO_ITEM CSL_CITATION {"citationID":"vvXCah7b","properties":{"formattedCitation":"(Jones, Lee and Gomes, 2024)","plainCitation":"(Jones, Lee and Gomes, 2024)","noteIndex":0},"citationItems":[{"id":691,"uris":["http://zotero.org/users/16099821/items/NRMKPZ2S"],"itemData":{"id":691,"type":"article-journal","abstract":"Background:\n              Vision rehabilitation services are increasingly being delivered remotely (i.e., telerehabilitation); yet, limited research has explored practitioners’ attitudes towards this approach or considered the wider implications of re-designing services. This qualitative study investigates perspectives on delivering telerehabilitation among sight loss support organisations.\n            \n            \n              Methods:\n              Twelve participants from 9 sight loss charities in the United Kingdom took part in a semi-structured interview. Participants were professionals from large national rehabilitation service providers ( n = 5), regional charities ( n = 3), or local community organisations ( n = 4). Qualitative data were analysed using thematic analysis.\n            \n            \n              Results:\n              Four themes were identified (1) Delivery of telerehabilitation; (2) Opportunities associated with telerehabilitation; (3) challenges associated with telerehabilitation; and (4) wider challenges in the vision rehabilitation sector. Greater utilisation of telerehabilitation was viewed positively; however, questions arose regarding cost-effectiveness and the appropriateness of this method of service delivery. Factors such as workforce decline, access to training, and understanding of vision rehabilitation were identified as wider problems affecting the future landscape of vision rehabilitation.\n            \n            \n              Conclusion:\n              Digital innovation has facilitated local and national organisations to provide largely successful and accessible telerehabilitation services. Wider challenges call for investment in strategies and policies to ensure people with visual impairment can continue to benefit from vision rehabilitation services.","container-title":"British Journal of Visual Impairment","DOI":"10.1177/02646196231188634","ISSN":"0264-6196, 1744-5809","issue":"3","journalAbbreviation":"British Journal of Visual Impairment","language":"en","page":"816-831","source":"DOI.org (Crossref)","title":"Remote rehabilitation (telerehabilitation) in the sight loss sector: Reflections on challenges and opportunities from service providers in the United Kingdom","title-short":"Remote rehabilitation (telerehabilitation) in the sight loss sector","volume":"42","author":[{"family":"Jones","given":"Lee"},{"family":"Lee","given":"Matthew"},{"family":"Gomes","given":"Renata Sm"}],"issued":{"date-parts":[["2024",9]]}}}],"schema":"https://github.com/citation-style-language/schema/raw/master/csl-citation.json"} </w:instrText>
      </w:r>
      <w:r w:rsidR="002A597C" w:rsidRPr="004C63D2">
        <w:rPr>
          <w:color w:val="000000"/>
        </w:rPr>
        <w:fldChar w:fldCharType="separate"/>
      </w:r>
      <w:r w:rsidR="006F5E88" w:rsidRPr="004C63D2">
        <w:rPr>
          <w:noProof/>
          <w:color w:val="000000"/>
        </w:rPr>
        <w:t>(Jones, Lee and Gomes, 2024)</w:t>
      </w:r>
      <w:r w:rsidR="002A597C" w:rsidRPr="004C63D2">
        <w:rPr>
          <w:color w:val="000000"/>
        </w:rPr>
        <w:fldChar w:fldCharType="end"/>
      </w:r>
      <w:r w:rsidR="006F5E88" w:rsidRPr="004C63D2">
        <w:rPr>
          <w:color w:val="000000"/>
        </w:rPr>
        <w:t>.</w:t>
      </w:r>
      <w:r w:rsidRPr="004C63D2">
        <w:rPr>
          <w:color w:val="000000"/>
        </w:rPr>
        <w:t xml:space="preserve"> Technological and infrastructure constraints such as unstable internet connections, hardware limitations, and technical malfunctions frequently disrupt therapy sessions, while the integration of telerehabilitation platforms with existing systems like electronic medical records remains a complex and costly endeavor</w:t>
      </w:r>
      <w:r w:rsidR="00B821F8" w:rsidRPr="004C63D2">
        <w:rPr>
          <w:color w:val="000000"/>
        </w:rPr>
        <w:t xml:space="preserve"> </w:t>
      </w:r>
      <w:r w:rsidR="00B821F8" w:rsidRPr="004C63D2">
        <w:rPr>
          <w:color w:val="000000"/>
        </w:rPr>
        <w:fldChar w:fldCharType="begin"/>
      </w:r>
      <w:r w:rsidR="00B821F8" w:rsidRPr="004C63D2">
        <w:rPr>
          <w:color w:val="000000"/>
        </w:rPr>
        <w:instrText xml:space="preserve"> ADDIN ZOTERO_ITEM CSL_CITATION {"citationID":"RL89Q6jv","properties":{"formattedCitation":"(Ramdani, Duan and Berrou, 2020)","plainCitation":"(Ramdani, Duan and Berrou, 2020)","noteIndex":0},"citationItems":[{"id":652,"uris":["http://zotero.org/users/16099821/items/JJ9CZGDB"],"itemData":{"id":652,"type":"article-journal","abstract":"Background: Although mobile health (mHealth) has the potential to transform health care by delivering better outcomes at a much lower cost than traditional health care services, little is known about mHealth adoption by hospitals.\nObjective: This study aims to explore the determinants of mHealth adoption by hospitals using the technology-organization-environment (TOE) framework.\nMethods: We conducted an interviewer-administered survey with 87 managers in Chinese public hospitals and analyzed the data using logistic regression.\nResults: The results of our survey indicate that perceived ease of use (β=.692; P&lt;.002), system security (β=.473; P&lt;.05), top management support (β=1.466; P&lt;.002), hospital size (β=1.069; P&lt;.004), and external pressure (β=.703; P&lt;.005) are significantly related to hospitals’ adoption of mHealth. However, information technology infrastructure (β=.574; P&lt;.02), system reliability (β=−1.291; P&lt;.01), and government policy (β=2.010; P&lt;.04) are significant but negatively related to hospitals’ adoption of mHealth.\nConclusions: We found that TOE model works in the context of mHealth adoption by hospitals. In addition to technological predictors, organizational and environmental predictors are critical for explaining mHealth adoption by Chinese hospitals.","DOI":"10.2196/14795","language":"English","license":"© 2020. This work is licensed under https://creativecommons.org/licenses/by/4.0/  (the “License”).  Notwithstanding the ProQuest Terms and Conditions, you may use this content in accordance with the terms of the License.","note":"publisher: JMIR Publications\nsection: Adoption and Change Management of eHealth Systems","source":"ProQuest","title":"Exploring the Determinants of Mobile Health Adoption by Hospitals in China: Empirical Study","title-short":"Exploring the Determinants of Mobile Health Adoption by Hospitals in China","URL":"https://www.proquest.com/docview/2511970431/7293DE47DABD4BF8PQ/1?sourcetype=Scholarly%20Journals","author":[{"family":"Ramdani","given":"Boumediene"},{"family":"Duan","given":"Binheng"},{"family":"Berrou","given":"Ilhem"}],"accessed":{"date-parts":[["2025",9,8]]},"issued":{"date-parts":[["2020",7]]}}}],"schema":"https://github.com/citation-style-language/schema/raw/master/csl-citation.json"} </w:instrText>
      </w:r>
      <w:r w:rsidR="00B821F8" w:rsidRPr="004C63D2">
        <w:rPr>
          <w:color w:val="000000"/>
        </w:rPr>
        <w:fldChar w:fldCharType="separate"/>
      </w:r>
      <w:r w:rsidR="00B821F8" w:rsidRPr="004C63D2">
        <w:rPr>
          <w:noProof/>
          <w:color w:val="000000"/>
        </w:rPr>
        <w:t>(Ramdani, Duan and Berrou, 2020)</w:t>
      </w:r>
      <w:r w:rsidR="00B821F8" w:rsidRPr="004C63D2">
        <w:rPr>
          <w:color w:val="000000"/>
        </w:rPr>
        <w:fldChar w:fldCharType="end"/>
      </w:r>
      <w:r w:rsidR="0000737C" w:rsidRPr="004C63D2">
        <w:rPr>
          <w:color w:val="000000"/>
        </w:rPr>
        <w:t xml:space="preserve"> </w:t>
      </w:r>
      <w:r w:rsidR="00A24C5B" w:rsidRPr="004C63D2">
        <w:rPr>
          <w:color w:val="000000"/>
        </w:rPr>
        <w:fldChar w:fldCharType="begin"/>
      </w:r>
      <w:r w:rsidR="00A24C5B" w:rsidRPr="004C63D2">
        <w:rPr>
          <w:color w:val="000000"/>
        </w:rPr>
        <w:instrText xml:space="preserve"> ADDIN ZOTERO_ITEM CSL_CITATION {"citationID":"Y0iQkb6r","properties":{"formattedCitation":"(Ou\\uc0\\u233{}draogo {\\i{}et al.}, 2024)","plainCitation":"(Ouédraogo et al., 2024)","noteIndex":0},"citationItems":[{"id":334,"uris":["http://zotero.org/users/16099821/items/P3NBTSAB"],"itemData":{"id":334,"type":"article-journal","abstract":"Introduction: Telerehabilitation (TR) is a promising method for facilitating the delivery and access to post-stroke rehabilitation services. Objective: The aim of this study was to explore the acceptability of TR and factors influencing its adoption by individuals with stroke and caregivers. Methods: A qualitative descriptive approach was used. Six individuals with stroke and three caregivers participated in individual online interviews. An abductive thematic analysis was employed to analyze the qualitative data, using the Unified Theory of Acceptance and Use of Technology 2 (UTAUT-2) model. Results: 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The COVID-19 pandemic also motivated participants to accept TR. However, technical issues, unstable internet connections, and lack of feedback were barriers to the use of TR. Conclusion: Despite existing obstacles, TR can be used to provide rehabilitation services for individuals with stroke. Addressing these barriers is necessary to promote the widespread and effective use of TR in the context of stroke recovery.","DOI":"10.3390/healthcare12030365","language":"English","license":"© 2024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However, technical issues, unstable internet connections, and lack of feedback were barriers","page":"365","source":"ProQuest","title":"Acceptability of Telerehabilitation: Experiences and Perceptions by Individuals with Stroke and Caregivers in an Early Supported Discharge Program","title-short":"Acceptability of Telerehabilitation","author":[{"family":"Ouédraogo","given":"Fatimata 1"},{"family":"Auger 2","given":"Louis-Pierre"},{"family":"Moreau","given":"Emmanuelle 3"},{"family":"Côté","given":"Odile 3"},{"family":"Guerrera","given":"Rosalba 3"},{"family":"Rochette","given":"Annie 4"},{"family":"Kairy","given":"Dahlia 4 1 School of Rehabilitation"},{"family":"annie.rochette@umontreal.ca (A.R.)","given":""},{"family":"dahlia.kairy@umontreal.ca (D.K.)","given":""},{"family":"Centre for Interdisciplinary Research in Rehabilitation of Greater Montreal (CRIR)","given":"Montréal"},{"family":"2  Centre for Interdisciplinary Research in Rehabilitation of Greater Montreal (CRIR)","given":"Montréal","non-dropping-particle":"louis-pierre. auger@umontreal.ca"},{"family":"louis-pierre.auger@umontreal.ca","given":""},{"family":"Institute of Health Sciences Education","given":"Faculty of Medicine"},{"family":"emmanuelle.moreau@umontreal.ca (E.M.)","given":""},{"family":"odile.cote.ccsmtl@ssss.gouv.qc.ca (O.C.)","given":""},{"family":"rosalba. guerrera.ccsmtl@ssss.gouv.qc.ca (R.G.) \n4  School of Rehabilitation","given":"Faculty of Medicine"},{"family":"annie.rochette@umontreal.ca (A.R.)","given":""},{"family":"dahlia.kairy@umontreal.ca (D.K.)","given":""},{"family":"Centre for Interdisciplinary Research in Rehabilitation of Greater Montreal (CRIR)","given":"Montréal"},{"family":"louis-pierre.auger@umontreal.ca","given":""},{"family":"Institut Universitaire sur la Réadaptation en Déficience Physique de Montréal","given":"Centre Intégré Universitaire de Santé et Services Sociaux (CIUSSS) du Centre-Sud-de-l’Île-de-Montréal"},{"family":"emmanuelle.moreau@umontreal.ca (E.M.)","given":""},{"family":"odile.cote.ccsmtl@ssss.gouv.qc.ca (O.C.)","given":""},{"family":"rosalba.guerrera.ccsmtl@ssss.gouv.qc.ca (R.G.)","given":""}],"issued":{"date-parts":[["2024"]]}}}],"schema":"https://github.com/citation-style-language/schema/raw/master/csl-citation.json"} </w:instrText>
      </w:r>
      <w:r w:rsidR="00A24C5B" w:rsidRPr="004C63D2">
        <w:rPr>
          <w:color w:val="000000"/>
        </w:rPr>
        <w:fldChar w:fldCharType="separate"/>
      </w:r>
      <w:r w:rsidR="00A24C5B" w:rsidRPr="004C63D2">
        <w:rPr>
          <w:rFonts w:eastAsiaTheme="minorEastAsia"/>
          <w:color w:val="000000"/>
          <w14:ligatures w14:val="standardContextual"/>
        </w:rPr>
        <w:t xml:space="preserve">(Ouédraogo </w:t>
      </w:r>
      <w:r w:rsidR="00A24C5B" w:rsidRPr="004C63D2">
        <w:rPr>
          <w:rFonts w:eastAsiaTheme="minorEastAsia"/>
          <w:i/>
          <w:iCs/>
          <w:color w:val="000000"/>
          <w14:ligatures w14:val="standardContextual"/>
        </w:rPr>
        <w:t>et al.</w:t>
      </w:r>
      <w:r w:rsidR="00A24C5B" w:rsidRPr="004C63D2">
        <w:rPr>
          <w:rFonts w:eastAsiaTheme="minorEastAsia"/>
          <w:color w:val="000000"/>
          <w14:ligatures w14:val="standardContextual"/>
        </w:rPr>
        <w:t>, 2024)</w:t>
      </w:r>
      <w:r w:rsidR="00A24C5B" w:rsidRPr="004C63D2">
        <w:rPr>
          <w:color w:val="000000"/>
        </w:rPr>
        <w:fldChar w:fldCharType="end"/>
      </w:r>
      <w:r w:rsidR="00B821F8" w:rsidRPr="004C63D2">
        <w:rPr>
          <w:color w:val="000000"/>
        </w:rPr>
        <w:t>.</w:t>
      </w:r>
    </w:p>
    <w:p w14:paraId="581320F9" w14:textId="0B0597B8" w:rsidR="00931A05" w:rsidRPr="004C63D2" w:rsidRDefault="00931A05" w:rsidP="00383675">
      <w:pPr>
        <w:spacing w:before="100" w:beforeAutospacing="1" w:after="100" w:afterAutospacing="1"/>
        <w:jc w:val="both"/>
        <w:rPr>
          <w:color w:val="000000"/>
        </w:rPr>
      </w:pPr>
      <w:r w:rsidRPr="004C63D2">
        <w:rPr>
          <w:color w:val="000000"/>
        </w:rPr>
        <w:t>Additionally, gaps in digital literacy and user resistance present another layer of difficulty. Many older adults, as well as some clinicians, encounter steep learning curves and discomfort with using new technologies, though younger family members may help bridge these gaps by providing technical support</w:t>
      </w:r>
      <w:r w:rsidR="00696D0E" w:rsidRPr="004C63D2">
        <w:rPr>
          <w:color w:val="000000"/>
        </w:rPr>
        <w:t xml:space="preserve"> </w:t>
      </w:r>
      <w:r w:rsidR="00E36E80" w:rsidRPr="004C63D2">
        <w:rPr>
          <w:color w:val="000000"/>
        </w:rPr>
        <w:fldChar w:fldCharType="begin"/>
      </w:r>
      <w:r w:rsidR="0089349D" w:rsidRPr="004C63D2">
        <w:rPr>
          <w:color w:val="000000"/>
        </w:rPr>
        <w:instrText xml:space="preserve"> ADDIN ZOTERO_ITEM CSL_CITATION {"citationID":"AgCPDw0F","properties":{"formattedCitation":"(Yu {\\i{}et al.}, 2025)","plainCitation":"(Yu et al., 2025)","noteIndex":0},"citationItems":[{"id":616,"uris":["http://zotero.org/users/16099821/items/K4VHYX5P"],"itemData":{"id":616,"type":"article-journal","abstract":"Background: Artificial intelligence–driven clinical decision support systems (AI-CDSSs) are pivotal tools for doctors to improve diagnostic and treatment processes, as well as improve the efficiency and quality of health care services. However, not all doctors trust artificial intelligence (AI) technology, and many remain skeptical and unwilling to adopt these systems. Objective: This study aimed to explore in depth the factors influencing doctors’ willingness to adopt AI-CDSSs and assess the causal relationships among these factors to gain a better understanding for promoting the clinical application and widespread implementation of these systems. Methods: Based on the unified theory of acceptance and use of technology (UTAUT) and the technology-organization-environment (TOE) framework, we have proposed and designed a framework for doctors’ willingness to adopt AI-CDSSs. We conducted a nationwide questionnaire survey in China and performed fuzzy set qualitative comparative analysis to explore the willingness of doctors to adopt AI-CDSSs in different types of medical institutions and assess the factors influencing their willingness. Results: The survey was administered to doctors working in tertiary hospitals and primary/secondary hospitals across China. We received 450 valid responses out of 578 questionnaires distributed, indicating a robust response rate of 77.9%. Our analysis of the influencing factors and adoption pathways revealed that doctors in tertiary hospitals exhibited 6 distinct pathways for AI-CDSS adoption, which were centered on technology-driven pathways, individual-driven pathways, and technology-individual dual-driven pathways. Doctors in primary/secondary hospitals demonstrated 3 adoption pathways, which were centered on technology-individual and organization-individual dual-driven pathways. There were commonalities in the factors influencing adoption across different medical institutions, such as the positive perception of AI technology’s utility and individual readiness to try new technologies. There were also variations in the influence of facilitating conditions among doctors at different medical institutions, especially primary/secondary hospitals. Conclusions: From the perspective of the 6 pathways for doctors at tertiary hospitals and the 3 pathways for doctors at primary/secondary hospitals, performance expectancy and personal innovativeness were 2 indispensable and core conditions in the pathways to achieving favorable willingness to adopt AI-CDSSs.","container-title":"Journal of Medical Internet Research","DOI":"10.2196/62768","issue":"1","language":"EN","note":"Company: Journal of Medical Internet Research\nDistributor: Journal of Medical Internet Research\nInstitution: Journal of Medical Internet Research\nLabel: Journal of Medical Internet Research\npublisher: JMIR Publications Inc., Toronto, Canada","page":"e62768","source":"www.jmir.org","title":"The Willingness of Doctors to Adopt Artificial Intelligence–Driven Clinical Decision Support Systems at Different Hospitals in China: Fuzzy Set Qualitative Comparative Analysis of Survey Data","title-short":"The Willingness of Doctors to Adopt Artificial Intelligence–Driven Clinical Decision Support Systems at Different Hospitals in China","volume":"27","author":[{"family":"Yu","given":"Zhongguang"},{"family":"Hu","given":"Ning"},{"family":"Zhao","given":"Qiuyi"},{"family":"Hu","given":"Xiang"},{"family":"Jia","given":"Cunbo"},{"family":"Zhang","given":"Chunyu"},{"family":"Liu","given":"Bing"},{"family":"Li","given":"Yanping"}],"issued":{"date-parts":[["2025",1,7]]}}}],"schema":"https://github.com/citation-style-language/schema/raw/master/csl-citation.json"} </w:instrText>
      </w:r>
      <w:r w:rsidR="00E36E80" w:rsidRPr="004C63D2">
        <w:rPr>
          <w:color w:val="000000"/>
        </w:rPr>
        <w:fldChar w:fldCharType="separate"/>
      </w:r>
      <w:r w:rsidR="0089349D" w:rsidRPr="004C63D2">
        <w:rPr>
          <w:rFonts w:eastAsiaTheme="minorEastAsia"/>
          <w:color w:val="000000"/>
          <w14:ligatures w14:val="standardContextual"/>
        </w:rPr>
        <w:t xml:space="preserve">(Yu </w:t>
      </w:r>
      <w:r w:rsidR="0089349D" w:rsidRPr="004C63D2">
        <w:rPr>
          <w:rFonts w:eastAsiaTheme="minorEastAsia"/>
          <w:i/>
          <w:iCs/>
          <w:color w:val="000000"/>
          <w14:ligatures w14:val="standardContextual"/>
        </w:rPr>
        <w:t>et al.</w:t>
      </w:r>
      <w:r w:rsidR="0089349D" w:rsidRPr="004C63D2">
        <w:rPr>
          <w:rFonts w:eastAsiaTheme="minorEastAsia"/>
          <w:color w:val="000000"/>
          <w14:ligatures w14:val="standardContextual"/>
        </w:rPr>
        <w:t>, 2025)</w:t>
      </w:r>
      <w:r w:rsidR="00E36E80" w:rsidRPr="004C63D2">
        <w:rPr>
          <w:color w:val="000000"/>
        </w:rPr>
        <w:fldChar w:fldCharType="end"/>
      </w:r>
      <w:r w:rsidR="00894023" w:rsidRPr="004C63D2">
        <w:rPr>
          <w:color w:val="000000"/>
        </w:rPr>
        <w:t xml:space="preserve"> </w:t>
      </w:r>
      <w:r w:rsidR="009767FB" w:rsidRPr="004C63D2">
        <w:rPr>
          <w:color w:val="000000"/>
        </w:rPr>
        <w:t xml:space="preserve"> </w:t>
      </w:r>
      <w:r w:rsidR="008728F0" w:rsidRPr="004C63D2">
        <w:rPr>
          <w:color w:val="000000"/>
        </w:rPr>
        <w:fldChar w:fldCharType="begin"/>
      </w:r>
      <w:r w:rsidR="00050A95" w:rsidRPr="004C63D2">
        <w:rPr>
          <w:color w:val="000000"/>
        </w:rPr>
        <w:instrText xml:space="preserve"> ADDIN ZOTERO_ITEM CSL_CITATION {"citationID":"Dta8zu2Y","properties":{"formattedCitation":"(Chen {\\i{}et al.}, 2024)","plainCitation":"(Chen et al., 2024)","noteIndex":0},"citationItems":[{"id":120,"uris":["http://zotero.org/users/16099821/items/VRW6MIUJ"],"itemData":{"id":120,"type":"article-journal","abstract":"The unprecedented rapid growth of digital health has brought new opportunities to the health field. However, elderly patients with chronic diseases, as an important potential beneficiary group, are affected by the digital divide, leading to unsatisfactory usage of digital health technologies (DHTs). Our study focused on the factors influencing the adoption of DHTs among this vulnerable group. To extend the UTAUT theory, technology anxiety and several demographic predictors were included to address the age characteristics of the respondents. An on-site survey was conducted in general, district, and community hospitals in Shanghai (n = 309). Facilitating conditions negatively influenced technology anxiety. Technology anxiety hindered behavioural intention. Social influence had a significant but negative impact on behavioural intention. Education, whether older adults have had experience with DHTs and previous smartphone usage experiences were significantly associated with technology anxiety. The findings provide valuable information for multiple stakeholders, including family members of elderly users, product designers, and policymakers. Ameliorating facilitating conditions, improving devices’ usage experience, encouraging attempts and focusing on groups with lower educational levels can help to reduce technology anxiety and promote DHT acceptance and use in older age groups.","container-title":"Healthcare","DOI":"10.3390/healthcare12141421","ISSN":"2227-9032","issue":"14","language":"en","license":"http://creativecommons.org/licenses/by/3.0/","note":"To extend the UTAUT theory, technology anxiety and several demographic predictors were included to address the age characteristics of the respondents.   Social influence had a significant but negative impact on behavioural intention. Education, whether older adults have had experience with DHTs and previous smartphone usage experiences were significantly associated with technology anxiety","page":"1421","source":"www.mdpi.com","title":"Understanding the Role of Technology Anxiety in the Adoption of Digital Health Technologies (DHTs) by Older Adults with Chronic Diseases in Shanghai: An Extension of the Unified Theory of Acceptance and Use of Technology (UTAUT) Model","title-short":"Understanding the Role of Technology Anxiety in the Adoption of Digital Health Technologies (DHTs) by Older Adults with Chronic Diseases in Shanghai","volume":"12","author":[{"family":"Chen","given":"Yunhao"},{"family":"Yuan","given":"Jiajun"},{"family":"Shi","given":"Lili"},{"family":"Zhou","given":"Jiayun"},{"family":"Wang","given":"Hansong"},{"family":"Li","given":"Chengjin"},{"family":"Dong","given":"Enhong"},{"family":"Zhao","given":"Liebin"}],"issued":{"date-parts":[["2024",1]]}}}],"schema":"https://github.com/citation-style-language/schema/raw/master/csl-citation.json"} </w:instrText>
      </w:r>
      <w:r w:rsidR="008728F0" w:rsidRPr="004C63D2">
        <w:rPr>
          <w:color w:val="000000"/>
        </w:rPr>
        <w:fldChar w:fldCharType="separate"/>
      </w:r>
      <w:r w:rsidR="00050A95" w:rsidRPr="004C63D2">
        <w:rPr>
          <w:rFonts w:eastAsiaTheme="minorEastAsia"/>
          <w:color w:val="000000"/>
          <w14:ligatures w14:val="standardContextual"/>
        </w:rPr>
        <w:t xml:space="preserve">(Chen </w:t>
      </w:r>
      <w:r w:rsidR="00050A95" w:rsidRPr="004C63D2">
        <w:rPr>
          <w:rFonts w:eastAsiaTheme="minorEastAsia"/>
          <w:i/>
          <w:iCs/>
          <w:color w:val="000000"/>
          <w14:ligatures w14:val="standardContextual"/>
        </w:rPr>
        <w:t>et al.</w:t>
      </w:r>
      <w:r w:rsidR="00050A95" w:rsidRPr="004C63D2">
        <w:rPr>
          <w:rFonts w:eastAsiaTheme="minorEastAsia"/>
          <w:color w:val="000000"/>
          <w14:ligatures w14:val="standardContextual"/>
        </w:rPr>
        <w:t>, 2024)</w:t>
      </w:r>
      <w:r w:rsidR="008728F0" w:rsidRPr="004C63D2">
        <w:rPr>
          <w:color w:val="000000"/>
        </w:rPr>
        <w:fldChar w:fldCharType="end"/>
      </w:r>
      <w:r w:rsidR="0014192C" w:rsidRPr="004C63D2">
        <w:rPr>
          <w:color w:val="000000"/>
        </w:rPr>
        <w:t xml:space="preserve"> </w:t>
      </w:r>
      <w:r w:rsidR="0014192C" w:rsidRPr="004C63D2">
        <w:rPr>
          <w:color w:val="000000"/>
        </w:rPr>
        <w:fldChar w:fldCharType="begin"/>
      </w:r>
      <w:r w:rsidR="0014192C" w:rsidRPr="004C63D2">
        <w:rPr>
          <w:color w:val="000000"/>
        </w:rPr>
        <w:instrText xml:space="preserve"> ADDIN ZOTERO_ITEM CSL_CITATION {"citationID":"qHF0L6MC","properties":{"formattedCitation":"(Ma, Chan and Teh, 2020)","plainCitation":"(Ma, Chan and Teh, 2020)","noteIndex":0},"citationItems":[{"id":97,"uris":["http://zotero.org/users/16099821/items/ERZAF3ML"],"itemData":{"id":97,"type":"article-journal","abstract":"The proliferation of technology oﬀers potential solutions for enhancing the well-being of older adults. However, older adults often have low digital literacy and are disengaged from the digital world. With age-appropriate training, older adults are expected to acquire a wide range of technological skills and bridge the digital divide. Through the lens of social cognitive theory, this study aims to investigate the eﬀectiveness of observational training through behavior modeling in enhancing technology acceptance in older adults. The moderating eﬀects of model identity on training outcomes from a generational perspective are examined. An empirical training experiment was completed with 59 community-dwelling older adults. Training outcomes were measured using cognitive knowledge, aﬀective variables, and meta-cognition. The results ascertain the eﬀectiveness of observational training in improving their technological knowledge, self-eﬃcacy, outcome expectations, and sense of social connectedness when using technologies. From a generational perspective, the older adult behavior model is more eﬀective than the young or child behavior models in increasing self-eﬃcacy and willingness to use technology. The model identity further enhances the positive outcomes of training. The results of this study contribute to designing educational interventions to bridge the digital divide.","container-title":"Sustainability","DOI":"10.3390/su12114555","ISSN":"2071-1050","issue":"11","journalAbbreviation":"Sustainability","language":"en","license":"https://creativecommons.org/licenses/by/4.0/","note":"older adults often have low digital literacy and are disengaged from the digital world. With age-appropriate training, older adults are expected to acquire a wide range of technological skills and bridge the digital divide. The results ascertain the eﬀectiveness of observational training in improving their technological knowledge, self-eﬃcacy, outcome expectations, and sense of social connectedness when using technologies.","page":"4555","source":"DOI.org (Crossref)","title":"Bridging the Digital Divide for Older Adults via Observational Training: Effects of Model Identity from a Generational Perspective","title-short":"Bridging the Digital Divide for Older Adults via Observational Training","volume":"12","author":[{"family":"Ma","given":"Qi"},{"family":"Chan","given":"Alan H. S."},{"family":"Teh","given":"Pei-Lee"}],"issued":{"date-parts":[["2020",6,3]]}}}],"schema":"https://github.com/citation-style-language/schema/raw/master/csl-citation.json"} </w:instrText>
      </w:r>
      <w:r w:rsidR="0014192C" w:rsidRPr="004C63D2">
        <w:rPr>
          <w:color w:val="000000"/>
        </w:rPr>
        <w:fldChar w:fldCharType="separate"/>
      </w:r>
      <w:r w:rsidR="0014192C" w:rsidRPr="004C63D2">
        <w:rPr>
          <w:noProof/>
          <w:color w:val="000000"/>
        </w:rPr>
        <w:t>(Ma, Chan and Teh, 2020)</w:t>
      </w:r>
      <w:r w:rsidR="0014192C" w:rsidRPr="004C63D2">
        <w:rPr>
          <w:color w:val="000000"/>
        </w:rPr>
        <w:fldChar w:fldCharType="end"/>
      </w:r>
      <w:r w:rsidR="00050A95" w:rsidRPr="004C63D2">
        <w:rPr>
          <w:color w:val="000000"/>
        </w:rPr>
        <w:t>.</w:t>
      </w:r>
      <w:r w:rsidRPr="004C63D2">
        <w:rPr>
          <w:color w:val="000000"/>
        </w:rPr>
        <w:t xml:space="preserve"> Clinical limitations persist, as certain rehabilitative procedures</w:t>
      </w:r>
      <w:r w:rsidR="00EA26D9" w:rsidRPr="004C63D2">
        <w:rPr>
          <w:color w:val="000000"/>
        </w:rPr>
        <w:t xml:space="preserve"> </w:t>
      </w:r>
      <w:r w:rsidRPr="004C63D2">
        <w:rPr>
          <w:color w:val="000000"/>
        </w:rPr>
        <w:t>especially those requiring hands-on, sensory-dependent, or high-risk interventions</w:t>
      </w:r>
      <w:r w:rsidR="00EA26D9" w:rsidRPr="004C63D2">
        <w:rPr>
          <w:color w:val="000000"/>
        </w:rPr>
        <w:t xml:space="preserve"> </w:t>
      </w:r>
      <w:r w:rsidRPr="004C63D2">
        <w:rPr>
          <w:color w:val="000000"/>
        </w:rPr>
        <w:t xml:space="preserve">cannot be safely or effectively delivered remotely </w:t>
      </w:r>
      <w:r w:rsidR="008B2DCC" w:rsidRPr="004C63D2">
        <w:rPr>
          <w:color w:val="000000"/>
        </w:rPr>
        <w:fldChar w:fldCharType="begin"/>
      </w:r>
      <w:r w:rsidR="00707BB3" w:rsidRPr="004C63D2">
        <w:rPr>
          <w:color w:val="000000"/>
        </w:rPr>
        <w:instrText xml:space="preserve"> ADDIN ZOTERO_ITEM CSL_CITATION {"citationID":"dlmmKNg7","properties":{"formattedCitation":"(Arntz {\\i{}et al.}, 2023)","plainCitation":"(Arntz et al., 2023)","noteIndex":0},"citationItems":[{"id":56,"uris":["http://zotero.org/users/16099821/items/NT8C5E77"],"itemData":{"id":56,"type":"article-journal","abstract":"Background\nDue to growing pressure on the health care system, a shift in rehabilitation to home settings is essential. However, efficient support for home-based rehabilitation is lacking. The COVID-19 pandemic has further exacerbated these challenges and has affected individuals and health care professionals during rehabilitation. Digital rehabilitation (DR) could support home-based rehabilitation. To develop and implement DR solutions that meet clients’ needs and ease the growing pressure on the health care system, it is necessary to provide an overview of existing, relevant, and future solutions shaping the constantly evolving market of technologies for home-based DR.\n\nObjective\nIn this scoping review, we aimed to identify digital technologies for home-based DR, predict new or emerging DR trends, and report on the influences of the COVID-19 pandemic on DR.\n\nMethods\nThe scoping review followed the framework of Arksey and O’Malley, with improvements made by Levac et al. A literature search was performed in PubMed, Embase, CINAHL, PsycINFO, and the Cochrane Library. The search spanned January 2015 to January 2022. A bibliometric analysis was performed to provide an overview of the included references, and a co-occurrence analysis identified the technologies for home-based DR. A full-text analysis of all included reviews filtered the trends for home-based DR. A gray literature search supplemented the results of the review analysis and revealed the influences of the COVID-19 pandemic on the development of DR.\n\nResults\nA total of 2437 records were included in the bibliometric analysis and 95 in the full-text analysis, and 40 records were included as a result of the gray literature search. Sensors, robotic devices, gamification, virtual and augmented reality, and digital and mobile apps are already used in home-based DR; however, artificial intelligence and machine learning, exoskeletons, and digital and mobile apps represent new and emerging trends. Advantages and disadvantages were displayed for all technologies. The COVID-19 pandemic has led to an increased use of digital technologies as remote approaches but has not led to the development of new technologies.\n\nConclusions\nMultiple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 The results show the need for feasible and effective approaches to implement DR that meet clients’ needs and adhere to framework conditions, regardless of exceptional situations such as the COVID-19 pandemic.","container-title":"JMIR Rehabilitation and Assistive Technologies","DOI":"10.2196/43615","ISSN":"2369-2529","journalAbbreviation":"JMIR Rehabil Assist Technol","note":"Multiple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particular","page":"e43615","source":"PubMed Central","title":"Technologies in Home-Based Digital Rehabilitation: Scoping Review","title-short":"Technologies in Home-Based Digital Rehabilitation","volume":"10","author":[{"family":"Arntz","given":"Angela"},{"family":"Weber","given":"Franziska"},{"family":"Handgraaf","given":"Marietta"},{"family":"Lällä","given":"Kaisa"},{"family":"Korniloff","given":"Katariina"},{"family":"Murtonen","given":"Kari-Pekka"},{"family":"Chichaeva","given":"Julija"},{"family":"Kidritsch","given":"Anita"},{"family":"Heller","given":"Mario"},{"family":"Sakellari","given":"Evanthia"},{"family":"Athanasopoulou","given":"Christina"},{"family":"Lagiou","given":"Areti"},{"family":"Tzonichaki","given":"Ioanna"},{"family":"Salinas-Bueno","given":"Iosune"},{"family":"Martínez-Bueso","given":"Pau"},{"family":"Velasco-Roldán","given":"Olga"},{"family":"Schulz","given":"Ralf-Joachim"},{"family":"Grüneberg","given":"Christian"}],"issued":{"date-parts":[["2023",7,27]]}}}],"schema":"https://github.com/citation-style-language/schema/raw/master/csl-citation.json"} </w:instrText>
      </w:r>
      <w:r w:rsidR="008B2DCC" w:rsidRPr="004C63D2">
        <w:rPr>
          <w:color w:val="000000"/>
        </w:rPr>
        <w:fldChar w:fldCharType="separate"/>
      </w:r>
      <w:r w:rsidR="00707BB3" w:rsidRPr="004C63D2">
        <w:rPr>
          <w:rFonts w:eastAsiaTheme="minorEastAsia"/>
          <w:color w:val="000000"/>
          <w14:ligatures w14:val="standardContextual"/>
        </w:rPr>
        <w:t xml:space="preserve">(Arntz </w:t>
      </w:r>
      <w:r w:rsidR="00707BB3" w:rsidRPr="004C63D2">
        <w:rPr>
          <w:rFonts w:eastAsiaTheme="minorEastAsia"/>
          <w:i/>
          <w:iCs/>
          <w:color w:val="000000"/>
          <w14:ligatures w14:val="standardContextual"/>
        </w:rPr>
        <w:t>et al.</w:t>
      </w:r>
      <w:r w:rsidR="00707BB3" w:rsidRPr="004C63D2">
        <w:rPr>
          <w:rFonts w:eastAsiaTheme="minorEastAsia"/>
          <w:color w:val="000000"/>
          <w14:ligatures w14:val="standardContextual"/>
        </w:rPr>
        <w:t>, 2023)</w:t>
      </w:r>
      <w:r w:rsidR="008B2DCC" w:rsidRPr="004C63D2">
        <w:rPr>
          <w:color w:val="000000"/>
        </w:rPr>
        <w:fldChar w:fldCharType="end"/>
      </w:r>
      <w:r w:rsidR="00707BB3" w:rsidRPr="004C63D2">
        <w:rPr>
          <w:color w:val="000000"/>
        </w:rPr>
        <w:t xml:space="preserve">. </w:t>
      </w:r>
      <w:r w:rsidRPr="004C63D2">
        <w:rPr>
          <w:color w:val="000000"/>
        </w:rPr>
        <w:t>The virtual format may also weaken interpersonal connections and rapport between patients and clinicians, diminishing therapeutic effectiveness</w:t>
      </w:r>
      <w:r w:rsidR="00E60C5B" w:rsidRPr="004C63D2">
        <w:rPr>
          <w:color w:val="000000"/>
        </w:rPr>
        <w:t xml:space="preserve"> </w:t>
      </w:r>
      <w:r w:rsidR="00E60C5B" w:rsidRPr="004C63D2">
        <w:rPr>
          <w:color w:val="000000"/>
        </w:rPr>
        <w:fldChar w:fldCharType="begin"/>
      </w:r>
      <w:r w:rsidR="006F47C2" w:rsidRPr="004C63D2">
        <w:rPr>
          <w:color w:val="000000"/>
        </w:rPr>
        <w:instrText xml:space="preserve"> ADDIN ZOTERO_ITEM CSL_CITATION {"citationID":"FIu4F6OL","properties":{"formattedCitation":"(Lau {\\i{}et al.}, 2017)","plainCitation":"(Lau et al., 2017)","noteIndex":0},"citationItems":[{"id":144,"uris":["http://zotero.org/users/16099821/items/GCKR9222"],"itemData":{"id":144,"type":"article-journal","abstract":"Background\nTranslating research into practice, especially the implementation of digital health technologies in routine care, is increasingly important. Yet, there are few studies examining the challenges of implementing patient-facing digital technologies in health care settings.\n\nObjective\nThe aim of this study was to report challenges experienced when implementing mobile apps for patients to support their postsurgical rehabilitation in an orthopedic setting.\n\nMethods\nA mobile app was tailored to the needs of patients undergoing rotator cuff repair. A 30-min usability session and a 12-week feasibility study were conducted with patients to evaluate the app in routine care. Implementation records (observation reports, issues log, and email correspondence) explored factors that hindered or facilitated patient acceptance. Interviews with clinicians explored factors that influenced app integration in routine care.\n\nResults\nParticipant completion was low (47%, 9/19). Factors that affected patient acceptance included digital literacy, health status, information technology (IT) infrastructure at home, privacy concerns, time limitations, the role of a caregiver, inconsistencies in instruction received from clinicians and the app, and app advice not reflective of patient progress over time. Factors that negatively influenced app integration in routine care included competing demands among clinicians, IT infrastructure in health care settings, identifying the right time to introduce the app to patients, user interface complexity for older patients, lack of coordination among multidisciplinary clinicians, and technical issues with app installation.\n\nConclusions\nThree insights were identified for mobile app implementation in routine care: (1) apps for patients need to reflect their journey over time and in particular, postoperative apps ought to be introduced as part of preoperative care with opportunities for patients to learn and adopt the app during their postoperative journey; (2) strategies to address digital literacy issues among patients and clinicians are essential; and (3) impact of the app on patient outcomes and clinician workflow needs to be communicated, monitored, and reviewed. Lastly, digital health interventions should supplement but not replace patient interaction with clinicians.","container-title":"JMIR Human Factors","DOI":"10.2196/humanfactors.8096","ISSN":"2292-9495","issue":"4","journalAbbreviation":"JMIR Hum Factors","note":"The study explores the challenges In Implementing patient facing to technologies in healthcare setting in post-surgical orthopedic rehabilitation. It is found that successful implementation of Mobile Application is affected by factors such as Digital literacy, Health status IT for chair, privacy, etc. When implementing the app it is important to incorporate the app as an integral part of the pre/post-operative care, not only patients but also clinicians digital literacy are critical the outcomes needs to be properly communicated between the patient and caregivers. Finally it is generally suggested that digital or telemedicine measures cannot only supplementary to clinicians and cannot replace the human clinician-patient interactions.","page":"e31","source":"PubMed Central","title":"Challenges During Implementation of a Patient-Facing Mobile App for Surgical Rehabilitation: Feasibility Study","title-short":"Challenges During Implementation of a Patient-Facing Mobile App for Surgical Rehabilitation","volume":"4","author":[{"family":"Lau","given":"Annie YS"},{"family":"Piper","given":"Kalman"},{"family":"Bokor","given":"Desmond"},{"family":"Martin","given":"Paige"},{"family":"Lau","given":"Victor SL"},{"family":"Coiera","given":"Enrico"}],"issued":{"date-parts":[["2017",12,7]]}}}],"schema":"https://github.com/citation-style-language/schema/raw/master/csl-citation.json"} </w:instrText>
      </w:r>
      <w:r w:rsidR="00E60C5B" w:rsidRPr="004C63D2">
        <w:rPr>
          <w:color w:val="000000"/>
        </w:rPr>
        <w:fldChar w:fldCharType="separate"/>
      </w:r>
      <w:r w:rsidR="006F47C2" w:rsidRPr="004C63D2">
        <w:rPr>
          <w:rFonts w:eastAsiaTheme="minorEastAsia"/>
          <w:color w:val="000000"/>
          <w14:ligatures w14:val="standardContextual"/>
        </w:rPr>
        <w:t xml:space="preserve">(Lau </w:t>
      </w:r>
      <w:r w:rsidR="006F47C2" w:rsidRPr="004C63D2">
        <w:rPr>
          <w:rFonts w:eastAsiaTheme="minorEastAsia"/>
          <w:i/>
          <w:iCs/>
          <w:color w:val="000000"/>
          <w14:ligatures w14:val="standardContextual"/>
        </w:rPr>
        <w:t>et al.</w:t>
      </w:r>
      <w:r w:rsidR="006F47C2" w:rsidRPr="004C63D2">
        <w:rPr>
          <w:rFonts w:eastAsiaTheme="minorEastAsia"/>
          <w:color w:val="000000"/>
          <w14:ligatures w14:val="standardContextual"/>
        </w:rPr>
        <w:t>, 2017)</w:t>
      </w:r>
      <w:r w:rsidR="00E60C5B" w:rsidRPr="004C63D2">
        <w:rPr>
          <w:color w:val="000000"/>
        </w:rPr>
        <w:fldChar w:fldCharType="end"/>
      </w:r>
      <w:r w:rsidRPr="004C63D2">
        <w:rPr>
          <w:color w:val="000000"/>
        </w:rPr>
        <w:t>.</w:t>
      </w:r>
    </w:p>
    <w:p w14:paraId="1A35CAFB" w14:textId="57A6BED3" w:rsidR="00931A05" w:rsidRPr="004C63D2" w:rsidRDefault="00931A05" w:rsidP="00383675">
      <w:pPr>
        <w:spacing w:before="100" w:beforeAutospacing="1" w:after="100" w:afterAutospacing="1"/>
        <w:jc w:val="both"/>
        <w:rPr>
          <w:color w:val="000000"/>
        </w:rPr>
      </w:pPr>
      <w:r w:rsidRPr="004C63D2">
        <w:rPr>
          <w:color w:val="000000"/>
        </w:rPr>
        <w:t>Ethical and legal issues further complicate adoption, with concerns regarding data privacy, security, informed consent, and patient autonomy often insufficiently addresse</w:t>
      </w:r>
      <w:r w:rsidR="004F74C6" w:rsidRPr="004C63D2">
        <w:rPr>
          <w:color w:val="000000"/>
        </w:rPr>
        <w:t xml:space="preserve">d </w:t>
      </w:r>
      <w:r w:rsidR="004F74C6" w:rsidRPr="004C63D2">
        <w:rPr>
          <w:color w:val="000000"/>
        </w:rPr>
        <w:fldChar w:fldCharType="begin"/>
      </w:r>
      <w:r w:rsidR="004F74C6" w:rsidRPr="004C63D2">
        <w:rPr>
          <w:color w:val="000000"/>
        </w:rPr>
        <w:instrText xml:space="preserve"> ADDIN ZOTERO_ITEM CSL_CITATION {"citationID":"6hMss8vX","properties":{"formattedCitation":"(Alruwaili {\\i{}et al.}, 2023)","plainCitation":"(Alruwaili et al., 2023)","noteIndex":0},"citationItems":[{"id":413,"uris":["http://zotero.org/users/16099821/items/JU5AXRBW"],"itemData":{"id":413,"type":"article-journal","abstract":"Background: Global population aging poses challenges for healthcare. Digital health technologies may benefit older adults through enhanced access, monitoring, and self-care. This systematic review evaluates the intersection of digital health interventions and healthy aging, focusing on adoption, efficacy, and user experience. Methods: PubMed, Embase, and Cochrane Library were systematically searched for studies on digital health technologies for adults aged 50+ years. Randomized controlled trials, observational studies, surveys, and qualitative studies were included. Outcomes were adoption rates, efficacy, and qualitative feedback. Study quality was assessed using standardized tools. Results: 15 studies were included. Adoption increased during COVID-19, but divisions persist. Barriers like technology challenges and distrust require addressing. Web-based programs and telerehabilitation demonstrated benefits for behaviors and balance. Users had positive attitudes but emphasized patient-centric, ethical design. Most efficacy data were preliminary; more rigorous trials are needed. Discussion: Digital health interventions show promise for supporting healthy aging, but thoughtful implementation strategies tailored to user needs and capacities are essential to realizing benefits equitably. More efficacy research and studies on real-world integration and ethics are warranted. Conclusions: Digital health has significant potential for promoting healthy aging through enhanced access, monitoring, and self-care. However, evidence-based, patient-centered solutions are imperative to maximize adoption, efficacy, and positive user experience for diverse older adult populations.","DOI":"10.3390/su152316503","language":"English","license":"© 2023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License.","note":"Digital health interventions has positive potential to promote healthy aging through better access, monitoring, and self-care. Attention must be given to offering evidence based, patient centered solutions to ensure good adoption, effectiveness, and positive experience for geriatrics.","page":"16503","source":"ProQuest","title":"Digital Health Interventions for Promoting Healthy Aging: A Systematic Review of Adoption Patterns, Efficacy, and User Experience","title-short":"Digital Health Interventions for Promoting Healthy Aging","author":[{"family":"Alruwaili","given":"Majed M. 1"},{"family":"Shaban","given":"Mostafa 2"},{"family":"Osama Mohamed Elsayed Ramadan 3  \n \n1  Nursing Administration Department","given":"College of Nursing"},{"family":"Pediatric Health Nursing Department","given":"College of Nursing"},{"family":"omramadan@ju.edu.sa","given":""}],"issued":{"date-parts":[["2023"]]}}}],"schema":"https://github.com/citation-style-language/schema/raw/master/csl-citation.json"} </w:instrText>
      </w:r>
      <w:r w:rsidR="004F74C6" w:rsidRPr="004C63D2">
        <w:rPr>
          <w:color w:val="000000"/>
        </w:rPr>
        <w:fldChar w:fldCharType="separate"/>
      </w:r>
      <w:r w:rsidR="004F74C6" w:rsidRPr="004C63D2">
        <w:rPr>
          <w:rFonts w:eastAsiaTheme="minorEastAsia"/>
          <w:color w:val="000000"/>
          <w14:ligatures w14:val="standardContextual"/>
        </w:rPr>
        <w:t>(</w:t>
      </w:r>
      <w:proofErr w:type="spellStart"/>
      <w:r w:rsidR="004F74C6" w:rsidRPr="004C63D2">
        <w:rPr>
          <w:rFonts w:eastAsiaTheme="minorEastAsia"/>
          <w:color w:val="000000"/>
          <w14:ligatures w14:val="standardContextual"/>
        </w:rPr>
        <w:t>Alruwaili</w:t>
      </w:r>
      <w:proofErr w:type="spellEnd"/>
      <w:r w:rsidR="004F74C6" w:rsidRPr="004C63D2">
        <w:rPr>
          <w:rFonts w:eastAsiaTheme="minorEastAsia"/>
          <w:color w:val="000000"/>
          <w14:ligatures w14:val="standardContextual"/>
        </w:rPr>
        <w:t xml:space="preserve"> </w:t>
      </w:r>
      <w:r w:rsidR="004F74C6" w:rsidRPr="004C63D2">
        <w:rPr>
          <w:rFonts w:eastAsiaTheme="minorEastAsia"/>
          <w:i/>
          <w:iCs/>
          <w:color w:val="000000"/>
          <w14:ligatures w14:val="standardContextual"/>
        </w:rPr>
        <w:t>et al.</w:t>
      </w:r>
      <w:r w:rsidR="004F74C6" w:rsidRPr="004C63D2">
        <w:rPr>
          <w:rFonts w:eastAsiaTheme="minorEastAsia"/>
          <w:color w:val="000000"/>
          <w14:ligatures w14:val="standardContextual"/>
        </w:rPr>
        <w:t>, 2023)</w:t>
      </w:r>
      <w:r w:rsidR="004F74C6" w:rsidRPr="004C63D2">
        <w:rPr>
          <w:color w:val="000000"/>
        </w:rPr>
        <w:fldChar w:fldCharType="end"/>
      </w:r>
      <w:r w:rsidR="004F74C6" w:rsidRPr="004C63D2">
        <w:rPr>
          <w:color w:val="000000"/>
        </w:rPr>
        <w:t xml:space="preserve">. </w:t>
      </w:r>
      <w:r w:rsidRPr="004C63D2">
        <w:rPr>
          <w:color w:val="000000"/>
        </w:rPr>
        <w:t xml:space="preserve"> Regulatory hurdles, including licensure, reimbursement structures, and liability, add additional layers of complexity, requiring coordinated efforts to develop robust frameworks for safe, equitable, and effective telerehabilitation implementation</w:t>
      </w:r>
      <w:r w:rsidR="006F47C2" w:rsidRPr="004C63D2">
        <w:rPr>
          <w:color w:val="000000"/>
        </w:rPr>
        <w:t xml:space="preserve"> </w:t>
      </w:r>
      <w:r w:rsidR="008E5A37" w:rsidRPr="004C63D2">
        <w:rPr>
          <w:color w:val="000000"/>
        </w:rPr>
        <w:fldChar w:fldCharType="begin"/>
      </w:r>
      <w:r w:rsidR="004E2DED" w:rsidRPr="004C63D2">
        <w:rPr>
          <w:color w:val="000000"/>
        </w:rPr>
        <w:instrText xml:space="preserve"> ADDIN ZOTERO_ITEM CSL_CITATION {"citationID":"PB5c07rg","properties":{"formattedCitation":"(Alawiye, 2024)","plainCitation":"(Alawiye, 2024)","noteIndex":0},"citationItems":[{"id":85,"uris":["http://zotero.org/users/16099821/items/BW53AUQI"],"itemData":{"id":85,"type":"article-journal","abstract":"Digital technology has fundamentally transformed healthcare delivery, exerting profound influence on patient outcomes. This paper delves into the roles played by telemedicine, electronic health records (EHRs), and mobile health applications in augmenting healthcare services. The objective is to scrutinize the ways in which these digital innovations enhance healthcare delivery and patient outcomes, while also identifying the attendant challenges in their adoption. To achieve this, a rigorous literature review encompassing peer-reviewed articles, reports, and case studies that examine the impact of digital technology in healthcare settings was conducted. The findings underscore that digital technology significantly bolsters patient care by enhancing access, operational efficiency, and diagnostic accuracy. Nonetheless, persistent challenges such as safeguarding data privacy, ensuring interoperability across systems, and managing implementation costs continue to pose significant hurdles.","container-title":"E-Health Telecommunication Systems and Networks","DOI":"10.4236/etsn.2024.132002","issue":"2","language":"en","license":"http://creativecommons.org/licenses/by/4.0/","note":"number: 2\npublisher: Scientific Research Publishing","page":"13-22","source":"www.scirp.org","title":"The Impact of Digital Technology on Healthcare Delivery and Patient Outcomes","volume":"13","author":[{"family":"Alawiye","given":"Taiwo Raheemah"}],"issued":{"date-parts":[["2024",6,28]]}}}],"schema":"https://github.com/citation-style-language/schema/raw/master/csl-citation.json"} </w:instrText>
      </w:r>
      <w:r w:rsidR="008E5A37" w:rsidRPr="004C63D2">
        <w:rPr>
          <w:color w:val="000000"/>
        </w:rPr>
        <w:fldChar w:fldCharType="separate"/>
      </w:r>
      <w:r w:rsidR="004E2DED" w:rsidRPr="004C63D2">
        <w:rPr>
          <w:noProof/>
          <w:color w:val="000000"/>
        </w:rPr>
        <w:t>(Alawiye, 2024)</w:t>
      </w:r>
      <w:r w:rsidR="008E5A37" w:rsidRPr="004C63D2">
        <w:rPr>
          <w:color w:val="000000"/>
        </w:rPr>
        <w:fldChar w:fldCharType="end"/>
      </w:r>
      <w:r w:rsidRPr="004C63D2">
        <w:rPr>
          <w:color w:val="000000"/>
        </w:rPr>
        <w:t>.</w:t>
      </w:r>
    </w:p>
    <w:p w14:paraId="3497E885" w14:textId="77777777" w:rsidR="00207C60" w:rsidRPr="004C63D2" w:rsidRDefault="00207C60" w:rsidP="00383675">
      <w:pPr>
        <w:spacing w:before="100" w:beforeAutospacing="1" w:after="100" w:afterAutospacing="1"/>
        <w:jc w:val="both"/>
        <w:outlineLvl w:val="1"/>
        <w:rPr>
          <w:b/>
          <w:bCs/>
          <w:color w:val="000000"/>
        </w:rPr>
      </w:pPr>
      <w:bookmarkStart w:id="2" w:name="OLE_LINK6"/>
      <w:bookmarkEnd w:id="1"/>
      <w:r w:rsidRPr="004C63D2">
        <w:rPr>
          <w:b/>
          <w:bCs/>
          <w:color w:val="000000"/>
        </w:rPr>
        <w:t>Current Adoption Trends</w:t>
      </w:r>
    </w:p>
    <w:p w14:paraId="65E548E7" w14:textId="5375CBA2" w:rsidR="001C6643" w:rsidRPr="004C63D2" w:rsidRDefault="001C6643" w:rsidP="00383675">
      <w:pPr>
        <w:spacing w:before="100" w:beforeAutospacing="1" w:after="100" w:afterAutospacing="1"/>
        <w:jc w:val="both"/>
        <w:rPr>
          <w:color w:val="000000"/>
        </w:rPr>
      </w:pPr>
      <w:r w:rsidRPr="004C63D2">
        <w:rPr>
          <w:color w:val="000000"/>
        </w:rPr>
        <w:t>Recent trends indicate that telerehabilitation adoption in elderly community settings has undergone rapid transformation, particularly in the aftermath of the COVID-19 pandemic</w:t>
      </w:r>
      <w:r w:rsidR="00BB5853" w:rsidRPr="004C63D2">
        <w:rPr>
          <w:color w:val="000000"/>
        </w:rPr>
        <w:t xml:space="preserve"> </w:t>
      </w:r>
      <w:r w:rsidR="004A27DD" w:rsidRPr="004C63D2">
        <w:rPr>
          <w:color w:val="000000"/>
        </w:rPr>
        <w:fldChar w:fldCharType="begin"/>
      </w:r>
      <w:r w:rsidR="004A27DD" w:rsidRPr="004C63D2">
        <w:rPr>
          <w:color w:val="000000"/>
        </w:rPr>
        <w:instrText xml:space="preserve"> ADDIN ZOTERO_ITEM CSL_CITATION {"citationID":"fWLEcnF8","properties":{"formattedCitation":"(Ku {\\i{}et al.}, 2021)","plainCitation":"(Ku et al., 2021)","noteIndex":0},"citationItems":[{"id":37,"uris":["http://zotero.org/users/16099821/items/FJ29Y4T7"],"itemData":{"id":37,"type":"article-journal","abstract":"Background\nA tele-rehabilitation platform was developed to improve access to ambulatory rehabilitation services in Hong Kong. The development was completed in October 2019 and rolled out for use to occupational therapists, physiotherapists, and speech therapists. During the COVID-19 pandemic, rehabilitation services were severely interrupted. Tele-rehabilitation was used extensively to meet the demand for rehabilitation service delivery.\n\nObjective\nThe aims of this study were to (1) describe the design and development process of a tele-rehabilitation service, and (2) study how the tele-rehabilitation platform was used to overcome the disruption of rehabilitation service during the COVID-19 pandemic.\n\nMethods\nTele-rehabilitation was developed utilizing 4 core determinants of Unified Theory of Acceptance and Use of Technology as guiding principles. A generic prescription platform, called the activity-based prescription system, and a mobile app, called the Rehabilitation App, were built. Five outcomes were used to examine the utilization of tele-rehabilitation both before and during the pandemic: throughput, patient demographic, patient conditions, workforce, and satisfaction from patients and staff.\n\nResults\nThere was a tremendous increase in the use of tele-rehabilitation during pandemic. The total number of patients (up until July 2020) was 9101, and the main age range was between 51 to 70 years old. Tele-rehabilitation was used for a much wider scope of patient conditions than originally planned. More than 1112 therapists, which constituted 50.6% of the total workforce (1112/2196), prescribed tele-rehabilitation to their patients. Moreover, there was a high satisfaction rate from patients, with a mean rating of 4.2 out of 5, and a high adherence rate to prescribed rehabilitation activities (107840/131995, 81.7%).\n\nConclusions\nThe findings of our study suggested that 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 however, a longer duration study is required to demonstrate the sustained use of tele-rehabilitation, especially after the pandemic.","container-title":"JMIR Rehabilitation and Assistive Technologies","DOI":"10.2196/19946","ISSN":"2369-2529","issue":"3","journalAbbreviation":"JMIR Rehabil Assist Technol","note":"tele-rehabilitation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tele-rehabilitation;","page":"e19946","source":"PubMed Central","title":"Tele-Rehabilitation to Combat Rehabilitation Service Disruption During COVID-19 in Hong Kong: Observational Study","title-short":"Tele-Rehabilitation to Combat Rehabilitation Service Disruption During COVID-19 in Hong Kong","volume":"8","author":[{"family":"Ku","given":"Benny Pang Shing"},{"family":"Tse","given":"Ada Wai Shan"},{"family":"Pang","given":"Benny Chu Hang"},{"family":"Cheung","given":"Ngai Tseung"},{"family":"Pang","given":"Joanna Yuk Wa"},{"family":"Chan","given":"Joyce Ka Yin"},{"family":"Hui","given":"Hing Loi"},{"family":"Chu","given":"Dave"},{"family":"Choi","given":"Kevin Hoi Wa"}],"issued":{"date-parts":[["2021",8,19]]}}}],"schema":"https://github.com/citation-style-language/schema/raw/master/csl-citation.json"} </w:instrText>
      </w:r>
      <w:r w:rsidR="004A27DD" w:rsidRPr="004C63D2">
        <w:rPr>
          <w:color w:val="000000"/>
        </w:rPr>
        <w:fldChar w:fldCharType="separate"/>
      </w:r>
      <w:r w:rsidR="004A27DD" w:rsidRPr="004C63D2">
        <w:rPr>
          <w:rFonts w:eastAsiaTheme="minorEastAsia"/>
          <w:color w:val="000000"/>
          <w14:ligatures w14:val="standardContextual"/>
        </w:rPr>
        <w:t xml:space="preserve">(Ku </w:t>
      </w:r>
      <w:r w:rsidR="004A27DD" w:rsidRPr="004C63D2">
        <w:rPr>
          <w:rFonts w:eastAsiaTheme="minorEastAsia"/>
          <w:i/>
          <w:iCs/>
          <w:color w:val="000000"/>
          <w14:ligatures w14:val="standardContextual"/>
        </w:rPr>
        <w:t>et al.</w:t>
      </w:r>
      <w:r w:rsidR="004A27DD" w:rsidRPr="004C63D2">
        <w:rPr>
          <w:rFonts w:eastAsiaTheme="minorEastAsia"/>
          <w:color w:val="000000"/>
          <w14:ligatures w14:val="standardContextual"/>
        </w:rPr>
        <w:t>, 2021)</w:t>
      </w:r>
      <w:r w:rsidR="004A27DD" w:rsidRPr="004C63D2">
        <w:rPr>
          <w:color w:val="000000"/>
        </w:rPr>
        <w:fldChar w:fldCharType="end"/>
      </w:r>
      <w:r w:rsidR="004A27DD" w:rsidRPr="004C63D2">
        <w:rPr>
          <w:color w:val="000000"/>
        </w:rPr>
        <w:t>.</w:t>
      </w:r>
      <w:r w:rsidRPr="004C63D2">
        <w:rPr>
          <w:color w:val="000000"/>
        </w:rPr>
        <w:t xml:space="preserve"> The need to maintain continuity of care and facilitate ongoing rehabilitation for discharged patients accelerated the implementation and normalization of remote therapy across many organizations. Increasingly, telerehabilitation is being recognized as a standard element within community-based rehabilitation services, reflecting a shift towards more integrated, patient-centric care delivery models</w:t>
      </w:r>
      <w:r w:rsidR="00011426" w:rsidRPr="004C63D2">
        <w:rPr>
          <w:color w:val="000000"/>
        </w:rPr>
        <w:t xml:space="preserve"> </w:t>
      </w:r>
      <w:r w:rsidR="004E2286" w:rsidRPr="004C63D2">
        <w:rPr>
          <w:color w:val="000000"/>
        </w:rPr>
        <w:fldChar w:fldCharType="begin"/>
      </w:r>
      <w:r w:rsidR="009D70F1" w:rsidRPr="004C63D2">
        <w:rPr>
          <w:color w:val="000000"/>
        </w:rPr>
        <w:instrText xml:space="preserve"> ADDIN ZOTERO_ITEM CSL_CITATION {"citationID":"YLl1BHKL","properties":{"formattedCitation":"(Preitschopf {\\i{}et al.}, 2025)","plainCitation":"(Preitschopf et al., 2025)","noteIndex":0},"citationItems":[{"id":622,"uris":["http://zotero.org/users/16099821/items/RM35CUDG"],"itemData":{"id":622,"type":"article-journal","abstract":"Background\nThere is a shift from inpatient to home-based geriatric rehabilitation (HBGR), and potential benefits are demonstrated. Previously, a theoretical HBGR model, version 1.0, has been developed, outlining its essential components. However, clear guidance on the practical design and organisation of HBGR in everyday practice is still lacking. Therefore, determining the optimal design for this complex intervention is essential for its successful implementation in daily practice. The objective of this study is to redesign the theoretical HBGR trajectory and assess its feasibility, acceptability, and usability from both patient and professional perspectives.\nMethods\nA redesign and feasibility study based on the MRC framework was conducted in a Dutch skilled nursing facility using the MRC framework in co-creation with eleven healthcare professionals and four patient representatives. The HBGR trajectory 1.0, comprises four building blocks (structure, process, environment, and outcomes) based on the Post-Acute-Care rehabilitation quality framework. Version 1.0 was redesigned during the development phase and subsequently pilot-tested in daily practice during the feasibility phase. Adjustments were made based on semi-structured interviews with ten patients and (interim) evaluations.\nResults\nThe HBGR trajectory 1.0 has been redesigned into version 2.0. It contains eleven elements: individualised goal setting, providing HBGR is the default unless otherwise indicated, an information letter, blended eHealth, mapping the patient’s living environment, stimulation support from informal caregivers, collaboration with community care nursing, rehabilitation coordination, central planning, therapy at home, and online multidisciplinary evaluation. Version 2.0 was enthusiastically endorsed by patients, patient representatives, and professionals, who found it feasible, acceptable, and usable in daily practice.\nConclusion\nThe HBGR trajectory 1.0 was adapted, tested, and finally redesigned into version 2.0. The study revealed that involving patients, their representatives, and healthcare professionals was critical to garnering support and facilitating implementation. Key developments align with global trends and include the successful integration of eHealth with traditional treatment methods, enhanced collaboration and knowledge sharing among community care nurses, and increased involvement of informal caregivers in rehabilitation. This redesigned HBGR trajectory is ready for evaluation and implementation in follow-up effectiveness research.","DOI":"10.1186/s12877-025-06043-z","language":"English","license":"© 2025. This work is licensed under http://creativecommons.org/licenses/by/4.0/  (the “License”).  Notwithstanding the ProQuest Terms and Conditions, you may use this content in accordance with the terms of the License.","note":"number-of-pages: 1-14\npublisher: BioMed Central\nsection: Research","page":"1-14","source":"ProQuest","title":"Home-based geriatric rehabilitation after inpatient rehabilitation: a redesign and feasibility study","title-short":"Home-based geriatric rehabilitation after inpatient rehabilitation","author":[{"family":"Preitschopf","given":"Astrid D."},{"family":"Pol","given":"Margriet"},{"family":"Buurman","given":"Bianca"},{"family":"Holstege","given":"Marije"}],"issued":{"date-parts":[["2025"]]}}}],"schema":"https://github.com/citation-style-language/schema/raw/master/csl-citation.json"} </w:instrText>
      </w:r>
      <w:r w:rsidR="004E2286" w:rsidRPr="004C63D2">
        <w:rPr>
          <w:color w:val="000000"/>
        </w:rPr>
        <w:fldChar w:fldCharType="separate"/>
      </w:r>
      <w:r w:rsidR="009D70F1" w:rsidRPr="004C63D2">
        <w:rPr>
          <w:rFonts w:eastAsiaTheme="minorEastAsia"/>
          <w:color w:val="000000"/>
          <w14:ligatures w14:val="standardContextual"/>
        </w:rPr>
        <w:t>(</w:t>
      </w:r>
      <w:proofErr w:type="spellStart"/>
      <w:r w:rsidR="009D70F1" w:rsidRPr="004C63D2">
        <w:rPr>
          <w:rFonts w:eastAsiaTheme="minorEastAsia"/>
          <w:color w:val="000000"/>
          <w14:ligatures w14:val="standardContextual"/>
        </w:rPr>
        <w:t>Preitschopf</w:t>
      </w:r>
      <w:proofErr w:type="spellEnd"/>
      <w:r w:rsidR="009D70F1" w:rsidRPr="004C63D2">
        <w:rPr>
          <w:rFonts w:eastAsiaTheme="minorEastAsia"/>
          <w:color w:val="000000"/>
          <w14:ligatures w14:val="standardContextual"/>
        </w:rPr>
        <w:t xml:space="preserve"> </w:t>
      </w:r>
      <w:r w:rsidR="009D70F1" w:rsidRPr="004C63D2">
        <w:rPr>
          <w:rFonts w:eastAsiaTheme="minorEastAsia"/>
          <w:i/>
          <w:iCs/>
          <w:color w:val="000000"/>
          <w14:ligatures w14:val="standardContextual"/>
        </w:rPr>
        <w:t>et al.</w:t>
      </w:r>
      <w:r w:rsidR="009D70F1" w:rsidRPr="004C63D2">
        <w:rPr>
          <w:rFonts w:eastAsiaTheme="minorEastAsia"/>
          <w:color w:val="000000"/>
          <w14:ligatures w14:val="standardContextual"/>
        </w:rPr>
        <w:t>, 2025)</w:t>
      </w:r>
      <w:r w:rsidR="004E2286" w:rsidRPr="004C63D2">
        <w:rPr>
          <w:color w:val="000000"/>
        </w:rPr>
        <w:fldChar w:fldCharType="end"/>
      </w:r>
    </w:p>
    <w:p w14:paraId="5A1C9C1A" w14:textId="7E9751C8" w:rsidR="00956888" w:rsidRPr="004C63D2" w:rsidRDefault="001C6643" w:rsidP="00383675">
      <w:pPr>
        <w:spacing w:before="100" w:beforeAutospacing="1" w:after="100" w:afterAutospacing="1"/>
        <w:jc w:val="both"/>
        <w:rPr>
          <w:color w:val="000000"/>
        </w:rPr>
      </w:pPr>
      <w:r w:rsidRPr="004C63D2">
        <w:rPr>
          <w:color w:val="000000"/>
        </w:rPr>
        <w:t xml:space="preserve">Research in this area has proliferated, focusing on the development of clinician-oriented toolkits and guidance documents that emphasize the importance of robust technological infrastructure and strong leadership support for successful implementation </w:t>
      </w:r>
      <w:r w:rsidR="006E2469" w:rsidRPr="004C63D2">
        <w:rPr>
          <w:color w:val="000000"/>
        </w:rPr>
        <w:fldChar w:fldCharType="begin"/>
      </w:r>
      <w:r w:rsidR="00696D0E" w:rsidRPr="004C63D2">
        <w:rPr>
          <w:color w:val="000000"/>
        </w:rPr>
        <w:instrText xml:space="preserve"> ADDIN ZOTERO_ITEM CSL_CITATION {"citationID":"MNgfMC5d","properties":{"formattedCitation":"(Munce, 2025)","plainCitation":"(Munce, 2025)","noteIndex":0},"citationItems":[{"id":687,"uris":["http://zotero.org/users/16099821/items/FSR6SJDF","http://zotero.org/users/16099821/items/295TNBF3"],"itemData":{"id":687,"type":"article-journal","abstract":"During the COVID-19 pandemic, telerehabilitation was critical to providing ongoing care for people with impairments or disabilities, and it remains frequently used and popular after the pandemic. Telerehabilitation has been shown to be feasible and effective in a variety of conditions, including chronic heart failure and coronary artery disease, stroke, multiple sclerosis, and spinal cord injuries, with adverse events being rare. This editorial identifies important areas and future directions for the field, including implementation considerations in the postpandemic context, issues of access and equity, and emerging innovations and personalized care. The development and implementation of this knowledge will ensure that individuals with disabilities and impairments will continue to receive effective, safe, and person-driven care remotely.","container-title":"JMIR Rehabilitation and Assistive Technologies","DOI":"10.2196/76153","ISSN":"2369-2529","journalAbbreviation":"JMIR Rehabil Assist Technol","language":"en","page":"e76153","source":"DOI.org (Crossref)","title":"The Importance of Telerehabilitation and Future Directions for the Field","volume":"12","author":[{"family":"Munce","given":"Sarah"}],"issued":{"date-parts":[["2025",4,29]]}}}],"schema":"https://github.com/citation-style-language/schema/raw/master/csl-citation.json"} </w:instrText>
      </w:r>
      <w:r w:rsidR="006E2469" w:rsidRPr="004C63D2">
        <w:rPr>
          <w:color w:val="000000"/>
        </w:rPr>
        <w:fldChar w:fldCharType="separate"/>
      </w:r>
      <w:r w:rsidR="00696D0E" w:rsidRPr="004C63D2">
        <w:rPr>
          <w:noProof/>
          <w:color w:val="000000"/>
        </w:rPr>
        <w:t>(Munce, 2025)</w:t>
      </w:r>
      <w:r w:rsidR="006E2469" w:rsidRPr="004C63D2">
        <w:rPr>
          <w:color w:val="000000"/>
        </w:rPr>
        <w:fldChar w:fldCharType="end"/>
      </w:r>
      <w:r w:rsidR="00532373" w:rsidRPr="004C63D2">
        <w:rPr>
          <w:color w:val="000000"/>
        </w:rPr>
        <w:t xml:space="preserve">. </w:t>
      </w:r>
      <w:r w:rsidRPr="004C63D2">
        <w:rPr>
          <w:color w:val="000000"/>
        </w:rPr>
        <w:t>Hybrid models that combine remote and in-person therapy are gaining popularity, as they leverage the relative strengths of both modalities and enable personalized, flexible care. Moreover, innovative technologies</w:t>
      </w:r>
      <w:r w:rsidR="00100E99" w:rsidRPr="004C63D2">
        <w:rPr>
          <w:color w:val="000000"/>
        </w:rPr>
        <w:t xml:space="preserve"> </w:t>
      </w:r>
      <w:r w:rsidRPr="004C63D2">
        <w:rPr>
          <w:color w:val="000000"/>
        </w:rPr>
        <w:t>including virtual reality, artificial intelligence, wearables, and the Internet of Things</w:t>
      </w:r>
      <w:r w:rsidR="00100E99" w:rsidRPr="004C63D2">
        <w:rPr>
          <w:color w:val="000000"/>
        </w:rPr>
        <w:t xml:space="preserve"> </w:t>
      </w:r>
      <w:r w:rsidRPr="004C63D2">
        <w:rPr>
          <w:color w:val="000000"/>
        </w:rPr>
        <w:t>are emerging as future directions in telerehabilitation, though their current adoption remains limited</w:t>
      </w:r>
      <w:r w:rsidR="008A3311" w:rsidRPr="004C63D2">
        <w:rPr>
          <w:color w:val="000000"/>
        </w:rPr>
        <w:t xml:space="preserve"> </w:t>
      </w:r>
      <w:r w:rsidR="00EA4C22" w:rsidRPr="004C63D2">
        <w:rPr>
          <w:color w:val="000000"/>
        </w:rPr>
        <w:fldChar w:fldCharType="begin"/>
      </w:r>
      <w:r w:rsidR="00696D0E" w:rsidRPr="004C63D2">
        <w:rPr>
          <w:color w:val="000000"/>
        </w:rPr>
        <w:instrText xml:space="preserve"> ADDIN ZOTERO_ITEM CSL_CITATION {"citationID":"l8Jpdm8K","properties":{"formattedCitation":"(Zhi and Zolotova, 2025)","plainCitation":"(Zhi and Zolotova, 2025)","noteIndex":0},"citationItems":[{"id":696,"uris":["http://zotero.org/users/16099821/items/8FW57CS8","http://zotero.org/users/16099821/items/FBWKBNDI"],"itemData":{"id":696,"type":"article-journal","abstract":"Background: The ageing population demands effective health solutions for the elderly. Wearable devices offer real-time monitoring and early alerts, but a comprehensive review of research in this field is lacking. This study uses bibliometric methods to analyse trends and advances in wearable devices for the elderly. Methods: Literature from 2014 to 2024 was retrieved from the Web of Science Core Collection using keywords related to the elderly and wearable devices. A total of 1015 English-language papers were analysed using tools including CiteSpace, VOSviewer, and R-Bibliometrix. Results: The annual growth rate of publications was 7.65%, with research increasing from 4 in 2014 to 1015 in 2024. Major contributors were the United States and China, with key authors including Bijan Najafi and Lynn Rochester. Research shifted from fall detection and activity monitoring to heart rate variability, balance, and AI integration. Key themes included “digital health”, “wearable technology”, and “cardiac health monitoring”. Conclusions: Research on wearable devices for the elderly is growing rapidly. Future studies should focus on multimodal sensor fusion, AI-enhanced analytics and personalised health interventions, and long-term, real-world validation of wearable solutions to improve elderly health management.","container-title":"Healthcare","DOI":"10.3390/healthcare13162066","ISSN":"2227-9032","issue":"16","journalAbbreviation":"Healthcare","language":"en","license":"https://creativecommons.org/licenses/by/4.0/","page":"2066","source":"DOI.org (Crossref)","title":"Wearable Devices &amp; Elderly: A Bibliometric Analysis of 2014–2024","title-short":"Wearable Devices &amp; Elderly","volume":"13","author":[{"family":"Zhi","given":"Haojun"},{"family":"Zolotova","given":"Mariia"}],"issued":{"date-parts":[["2025",8,20]]}}}],"schema":"https://github.com/citation-style-language/schema/raw/master/csl-citation.json"} </w:instrText>
      </w:r>
      <w:r w:rsidR="00EA4C22" w:rsidRPr="004C63D2">
        <w:rPr>
          <w:color w:val="000000"/>
        </w:rPr>
        <w:fldChar w:fldCharType="separate"/>
      </w:r>
      <w:r w:rsidR="0056159D" w:rsidRPr="004C63D2">
        <w:rPr>
          <w:noProof/>
          <w:color w:val="000000"/>
        </w:rPr>
        <w:t>(Zhi and Zolotova, 2025)</w:t>
      </w:r>
      <w:r w:rsidR="00EA4C22" w:rsidRPr="004C63D2">
        <w:rPr>
          <w:color w:val="000000"/>
        </w:rPr>
        <w:fldChar w:fldCharType="end"/>
      </w:r>
      <w:r w:rsidRPr="004C63D2">
        <w:rPr>
          <w:color w:val="000000"/>
        </w:rPr>
        <w:t>. This evolving landscape underscores both growing acceptance and the need for ongoing adaptation to address infrastructural, clinical, and organizational challenges</w:t>
      </w:r>
      <w:r w:rsidR="00035773" w:rsidRPr="004C63D2">
        <w:rPr>
          <w:color w:val="000000"/>
        </w:rPr>
        <w:t xml:space="preserve"> </w:t>
      </w:r>
      <w:r w:rsidR="00C267EA" w:rsidRPr="004C63D2">
        <w:rPr>
          <w:color w:val="000000"/>
        </w:rPr>
        <w:fldChar w:fldCharType="begin"/>
      </w:r>
      <w:r w:rsidR="00AC6F26" w:rsidRPr="004C63D2">
        <w:rPr>
          <w:color w:val="000000"/>
        </w:rPr>
        <w:instrText xml:space="preserve"> ADDIN ZOTERO_ITEM CSL_CITATION {"citationID":"8vsuILLR","properties":{"formattedCitation":"(Shi {\\i{}et al.}, 2025)","plainCitation":"(Shi et al., 2025)","noteIndex":0},"citationItems":[{"id":698,"uris":["http://zotero.org/users/16099821/items/9F7EULD9"],"itemData":{"id":698,"type":"article-journal","abstract":"The rapid growth of China’s aging population has made elderly care a pressing social issue. Due to an imperfect pension system, limited uptake of institutional care, and uneven regional economic development, most elderly people in China still rely on home-based care. Elderly people living at home are usually cared for by their family, partners, caregivers, or themselves. However, this often fails to meet their complex health, safety, and emotional needs. Artificial intelligence may provide promising solutions to improve home care experiences and address the multifaceted health and lifestyle challenges faced by homebound elderly people. This review explores the applications of artificial intelligence in home-based care from four main perspectives: home health care, home safety and security, smart life assistants, and psychological care and emotional support. We systematically searched PubMed, IEEE Xplore, CNKI, and Scopus databases, integrated the latest research published between 2015 and 2024, focused on peer-reviewed, practice-oriented research, and reviewed relevant technology development paths and the current status of the field. Unlike previous studies that focused on physiological monitoring, this study is the first to systematically and comprehensively evaluate the role of artificial intelligence in improving the convenience of daily life and mental health support for elderly people at home. By comprehensively reviewing and analyzing the basic principles and application background of artificial intelligence technology in this field, we summarize the current technical and ethical challenges and propose future research directions. This study aims to help readers gain a deeper understanding of the current status and emerging trends of artificial intelligence-enabled home-based elderly care, thereby providing valuable insights for continued innovation and application in this rapidly developing field.","container-title":"Electronics","DOI":"10.3390/electronics14122463","ISSN":"2079-9292","issue":"12","journalAbbreviation":"Electronics","language":"en","license":"https://creativecommons.org/licenses/by/4.0/","page":"2463","source":"DOI.org (Crossref)","title":"Application Status, Challenges, and Development Prospects of Smart Technologies in Home-Based Elder Care","volume":"14","author":[{"family":"Shi","given":"Jialin"},{"family":"Zhang","given":"Ning"},{"family":"Wu","given":"Kai"},{"family":"Wang","given":"Zongjie"}],"issued":{"date-parts":[["2025",6,17]]}}}],"schema":"https://github.com/citation-style-language/schema/raw/master/csl-citation.json"} </w:instrText>
      </w:r>
      <w:r w:rsidR="00C267EA" w:rsidRPr="004C63D2">
        <w:rPr>
          <w:color w:val="000000"/>
        </w:rPr>
        <w:fldChar w:fldCharType="separate"/>
      </w:r>
      <w:r w:rsidR="00AC6F26" w:rsidRPr="004C63D2">
        <w:rPr>
          <w:rFonts w:eastAsiaTheme="minorEastAsia"/>
          <w:color w:val="000000"/>
          <w14:ligatures w14:val="standardContextual"/>
        </w:rPr>
        <w:t xml:space="preserve">(Shi </w:t>
      </w:r>
      <w:r w:rsidR="00AC6F26" w:rsidRPr="004C63D2">
        <w:rPr>
          <w:rFonts w:eastAsiaTheme="minorEastAsia"/>
          <w:i/>
          <w:iCs/>
          <w:color w:val="000000"/>
          <w14:ligatures w14:val="standardContextual"/>
        </w:rPr>
        <w:t>et al.</w:t>
      </w:r>
      <w:r w:rsidR="00AC6F26" w:rsidRPr="004C63D2">
        <w:rPr>
          <w:rFonts w:eastAsiaTheme="minorEastAsia"/>
          <w:color w:val="000000"/>
          <w14:ligatures w14:val="standardContextual"/>
        </w:rPr>
        <w:t>, 2025)</w:t>
      </w:r>
      <w:r w:rsidR="00C267EA" w:rsidRPr="004C63D2">
        <w:rPr>
          <w:color w:val="000000"/>
        </w:rPr>
        <w:fldChar w:fldCharType="end"/>
      </w:r>
      <w:r w:rsidR="00035773" w:rsidRPr="004C63D2">
        <w:rPr>
          <w:color w:val="000000"/>
        </w:rPr>
        <w:t xml:space="preserve">. </w:t>
      </w:r>
    </w:p>
    <w:p w14:paraId="3E1DF6BA" w14:textId="77777777" w:rsidR="00035773" w:rsidRPr="004C63D2" w:rsidRDefault="00035773" w:rsidP="00383675">
      <w:pPr>
        <w:spacing w:before="100" w:beforeAutospacing="1" w:after="100" w:afterAutospacing="1"/>
        <w:jc w:val="both"/>
        <w:rPr>
          <w:color w:val="000000"/>
        </w:rPr>
      </w:pPr>
    </w:p>
    <w:bookmarkEnd w:id="2"/>
    <w:p w14:paraId="100F0F21" w14:textId="56238E14" w:rsidR="00DC47B3" w:rsidRPr="004C63D2" w:rsidRDefault="00DC47B3" w:rsidP="00383675">
      <w:pPr>
        <w:spacing w:before="100" w:beforeAutospacing="1" w:after="100" w:afterAutospacing="1"/>
        <w:jc w:val="both"/>
        <w:rPr>
          <w:color w:val="000000"/>
        </w:rPr>
      </w:pPr>
      <w:r w:rsidRPr="004C63D2">
        <w:rPr>
          <w:b/>
          <w:bCs/>
          <w:color w:val="000000"/>
        </w:rPr>
        <w:t>2.</w:t>
      </w:r>
      <w:r w:rsidR="00926100" w:rsidRPr="004C63D2">
        <w:rPr>
          <w:b/>
          <w:bCs/>
          <w:color w:val="000000"/>
        </w:rPr>
        <w:t>2</w:t>
      </w:r>
      <w:r w:rsidRPr="004C63D2">
        <w:rPr>
          <w:b/>
          <w:bCs/>
          <w:color w:val="000000"/>
        </w:rPr>
        <w:t xml:space="preserve"> Theoretical Framework</w:t>
      </w:r>
    </w:p>
    <w:p w14:paraId="4B050AE1" w14:textId="77777777" w:rsidR="00025B2B" w:rsidRPr="004C63D2" w:rsidRDefault="00025B2B" w:rsidP="00025B2B">
      <w:pPr>
        <w:spacing w:before="100" w:beforeAutospacing="1" w:after="100" w:afterAutospacing="1"/>
        <w:jc w:val="both"/>
        <w:rPr>
          <w:color w:val="000000"/>
        </w:rPr>
      </w:pPr>
      <w:r w:rsidRPr="004C63D2">
        <w:rPr>
          <w:color w:val="000000"/>
        </w:rPr>
        <w:t>This study adopts the </w:t>
      </w:r>
      <w:r w:rsidRPr="004C63D2">
        <w:rPr>
          <w:b/>
          <w:bCs/>
          <w:color w:val="000000"/>
        </w:rPr>
        <w:t>Technology–Organization–Environment (TOE) framework</w:t>
      </w:r>
      <w:r w:rsidRPr="004C63D2">
        <w:rPr>
          <w:color w:val="000000"/>
        </w:rPr>
        <w:t> (</w:t>
      </w:r>
      <w:proofErr w:type="spellStart"/>
      <w:r w:rsidRPr="004C63D2">
        <w:rPr>
          <w:color w:val="000000"/>
        </w:rPr>
        <w:t>Tornatzky</w:t>
      </w:r>
      <w:proofErr w:type="spellEnd"/>
      <w:r w:rsidRPr="004C63D2">
        <w:rPr>
          <w:color w:val="000000"/>
        </w:rPr>
        <w:t xml:space="preserve"> &amp; Fleischer, 1990) as the foundation for examining the organizational adoption of telerehabilitation in elderly community settings. The TOE framework is particularly suitable for this research as it recognizes that adoption decisions are influenced by three broad contexts: (1) </w:t>
      </w:r>
      <w:r w:rsidRPr="004C63D2">
        <w:rPr>
          <w:b/>
          <w:bCs/>
          <w:color w:val="000000"/>
        </w:rPr>
        <w:t>Technology</w:t>
      </w:r>
      <w:r w:rsidRPr="004C63D2">
        <w:rPr>
          <w:color w:val="000000"/>
        </w:rPr>
        <w:t>, including the perceived benefits, compatibility with existing systems, and complexity of implementation; (2) </w:t>
      </w:r>
      <w:r w:rsidRPr="004C63D2">
        <w:rPr>
          <w:b/>
          <w:bCs/>
          <w:color w:val="000000"/>
        </w:rPr>
        <w:t>Organization</w:t>
      </w:r>
      <w:r w:rsidRPr="004C63D2">
        <w:rPr>
          <w:color w:val="000000"/>
        </w:rPr>
        <w:t>, encompassing leadership support, financial and human resources, organizational culture, and staff readiness; and (3) </w:t>
      </w:r>
      <w:r w:rsidRPr="004C63D2">
        <w:rPr>
          <w:b/>
          <w:bCs/>
          <w:color w:val="000000"/>
        </w:rPr>
        <w:t>Environment</w:t>
      </w:r>
      <w:r w:rsidRPr="004C63D2">
        <w:rPr>
          <w:color w:val="000000"/>
        </w:rPr>
        <w:t>, reflecting the influence of external factors such as regulatory requirements, funding models, and broader institutional pressures.</w:t>
      </w:r>
    </w:p>
    <w:p w14:paraId="1B7F2FFC" w14:textId="77777777" w:rsidR="00025B2B" w:rsidRPr="004C63D2" w:rsidRDefault="00025B2B" w:rsidP="00025B2B">
      <w:pPr>
        <w:spacing w:before="100" w:beforeAutospacing="1" w:after="100" w:afterAutospacing="1"/>
        <w:jc w:val="both"/>
        <w:rPr>
          <w:color w:val="000000"/>
        </w:rPr>
      </w:pPr>
      <w:r w:rsidRPr="004C63D2">
        <w:rPr>
          <w:color w:val="000000"/>
        </w:rPr>
        <w:t>To enrich this framework, two additional theoretical lenses are incorporated. First, </w:t>
      </w:r>
      <w:r w:rsidRPr="004C63D2">
        <w:rPr>
          <w:b/>
          <w:bCs/>
          <w:color w:val="000000"/>
        </w:rPr>
        <w:t>Institutional Theory</w:t>
      </w:r>
      <w:r w:rsidRPr="004C63D2">
        <w:rPr>
          <w:color w:val="000000"/>
        </w:rPr>
        <w:t> (DiMaggio &amp; Powell, 1983) helps to explain how organizational adoption may be shaped not only by efficiency or resource considerations but also by </w:t>
      </w:r>
      <w:r w:rsidRPr="004C63D2">
        <w:rPr>
          <w:b/>
          <w:bCs/>
          <w:color w:val="000000"/>
        </w:rPr>
        <w:t>coercive pressures</w:t>
      </w:r>
      <w:r w:rsidRPr="004C63D2">
        <w:rPr>
          <w:color w:val="000000"/>
        </w:rPr>
        <w:t> (e.g., government regulations, funder mandates), </w:t>
      </w:r>
      <w:r w:rsidRPr="004C63D2">
        <w:rPr>
          <w:b/>
          <w:bCs/>
          <w:color w:val="000000"/>
        </w:rPr>
        <w:t>mimetic pressures</w:t>
      </w:r>
      <w:r w:rsidRPr="004C63D2">
        <w:rPr>
          <w:color w:val="000000"/>
        </w:rPr>
        <w:t> (e.g., imitating peer organizations), and </w:t>
      </w:r>
      <w:r w:rsidRPr="004C63D2">
        <w:rPr>
          <w:b/>
          <w:bCs/>
          <w:color w:val="000000"/>
        </w:rPr>
        <w:t>normative pressures</w:t>
      </w:r>
      <w:r w:rsidRPr="004C63D2">
        <w:rPr>
          <w:color w:val="000000"/>
        </w:rPr>
        <w:t> (e.g., professional standards, clinical guidelines). These institutional forces are particularly salient in healthcare, where external legitimacy often drives innovation adoption.</w:t>
      </w:r>
    </w:p>
    <w:p w14:paraId="79608CA4" w14:textId="77777777" w:rsidR="00025B2B" w:rsidRPr="004C63D2" w:rsidRDefault="00025B2B" w:rsidP="00025B2B">
      <w:pPr>
        <w:spacing w:before="100" w:beforeAutospacing="1" w:after="100" w:afterAutospacing="1"/>
        <w:jc w:val="both"/>
        <w:rPr>
          <w:color w:val="000000"/>
        </w:rPr>
      </w:pPr>
      <w:r w:rsidRPr="004C63D2">
        <w:rPr>
          <w:color w:val="000000"/>
        </w:rPr>
        <w:t>Second, the </w:t>
      </w:r>
      <w:r w:rsidRPr="004C63D2">
        <w:rPr>
          <w:b/>
          <w:bCs/>
          <w:color w:val="000000"/>
        </w:rPr>
        <w:t>Socio-Technical Systems perspective</w:t>
      </w:r>
      <w:r w:rsidRPr="004C63D2">
        <w:rPr>
          <w:color w:val="000000"/>
        </w:rPr>
        <w:t> emphasizes that successful adoption depends on the alignment of technology with the social system, including clinical workflows, interprofessional collaboration, and patient engagement. This perspective ensures that the analysis extends beyond the technical features of telerehabilitation to include the interplay between people, processes, and organizational structures that shape implementation outcomes.</w:t>
      </w:r>
    </w:p>
    <w:p w14:paraId="08007554" w14:textId="77777777" w:rsidR="00025B2B" w:rsidRPr="004C63D2" w:rsidRDefault="00025B2B" w:rsidP="00025B2B">
      <w:pPr>
        <w:spacing w:before="100" w:beforeAutospacing="1" w:after="100" w:afterAutospacing="1"/>
        <w:jc w:val="both"/>
        <w:rPr>
          <w:color w:val="000000"/>
        </w:rPr>
      </w:pPr>
      <w:r w:rsidRPr="004C63D2">
        <w:rPr>
          <w:color w:val="000000"/>
        </w:rPr>
        <w:t>Taken together, this integrated framework enables a comprehensive investigation of organizational behavior in telerehabilitation adoption. The TOE framework provides a structured backbone for identifying determinants of adoption, while Institutional Theory and Socio-Technical Systems Theory add depth in explaining external pressures and the internal alignment required for sustainable implementation.</w:t>
      </w:r>
    </w:p>
    <w:p w14:paraId="0FE90915" w14:textId="77777777" w:rsidR="00755850" w:rsidRPr="004C63D2" w:rsidRDefault="00755850" w:rsidP="00383675">
      <w:pPr>
        <w:jc w:val="both"/>
      </w:pPr>
    </w:p>
    <w:p w14:paraId="7B8833E7" w14:textId="7E46BD48" w:rsidR="00025B2B" w:rsidRPr="004C63D2" w:rsidRDefault="00E74314" w:rsidP="003B4A20">
      <w:pPr>
        <w:spacing w:before="100" w:beforeAutospacing="1" w:after="100" w:afterAutospacing="1"/>
        <w:jc w:val="both"/>
        <w:outlineLvl w:val="2"/>
        <w:rPr>
          <w:b/>
          <w:bCs/>
          <w:color w:val="000000"/>
        </w:rPr>
      </w:pPr>
      <w:bookmarkStart w:id="3" w:name="OLE_LINK9"/>
      <w:r w:rsidRPr="004C63D2">
        <w:rPr>
          <w:b/>
          <w:bCs/>
          <w:color w:val="000000"/>
        </w:rPr>
        <w:t xml:space="preserve">2.2.1 </w:t>
      </w:r>
      <w:r w:rsidR="00025B2B" w:rsidRPr="004C63D2">
        <w:rPr>
          <w:b/>
          <w:bCs/>
          <w:color w:val="000000"/>
        </w:rPr>
        <w:t>Technology–Organization–Environment (TOE) Framework</w:t>
      </w:r>
    </w:p>
    <w:bookmarkEnd w:id="3"/>
    <w:p w14:paraId="11EDA915" w14:textId="5F931115" w:rsidR="006629B2" w:rsidRPr="004C63D2" w:rsidRDefault="00F67832" w:rsidP="00383675">
      <w:pPr>
        <w:jc w:val="both"/>
      </w:pPr>
      <w:r w:rsidRPr="004C63D2">
        <w:t>Several Theories which governed the organizational adoption of technology are considered.</w:t>
      </w:r>
      <w:r w:rsidR="00B36E0D" w:rsidRPr="004C63D2">
        <w:t xml:space="preserve">  They include:</w:t>
      </w:r>
    </w:p>
    <w:p w14:paraId="03096F2D" w14:textId="77777777" w:rsidR="006629B2" w:rsidRPr="004C63D2" w:rsidRDefault="006629B2" w:rsidP="00383675">
      <w:pPr>
        <w:spacing w:before="100" w:beforeAutospacing="1" w:after="100" w:afterAutospacing="1"/>
        <w:jc w:val="both"/>
        <w:outlineLvl w:val="2"/>
        <w:rPr>
          <w:b/>
          <w:bCs/>
          <w:color w:val="000000"/>
        </w:rPr>
      </w:pPr>
      <w:r w:rsidRPr="004C63D2">
        <w:rPr>
          <w:b/>
          <w:bCs/>
          <w:color w:val="000000"/>
        </w:rPr>
        <w:t>Technology–Organization–Environment (TOE) Framework</w:t>
      </w:r>
    </w:p>
    <w:p w14:paraId="51178A92" w14:textId="31FD9603" w:rsidR="00DA3986" w:rsidRPr="004C63D2" w:rsidRDefault="00DA3986" w:rsidP="00383675">
      <w:pPr>
        <w:jc w:val="both"/>
        <w:rPr>
          <w:color w:val="000000"/>
        </w:rPr>
      </w:pPr>
      <w:r w:rsidRPr="004C63D2">
        <w:rPr>
          <w:color w:val="000000"/>
        </w:rPr>
        <w:t xml:space="preserve">The Technology–Organization–Environment (TOE) framework, first formulated by </w:t>
      </w:r>
      <w:proofErr w:type="spellStart"/>
      <w:r w:rsidRPr="004C63D2">
        <w:rPr>
          <w:color w:val="000000"/>
        </w:rPr>
        <w:t>Tornatzky</w:t>
      </w:r>
      <w:proofErr w:type="spellEnd"/>
      <w:r w:rsidRPr="004C63D2">
        <w:rPr>
          <w:color w:val="000000"/>
        </w:rPr>
        <w:t xml:space="preserve"> and Fleischer in 1990, offers a comprehensive and multi-dimensional perspective for understanding organizational adoption and implementation of technological innovations in </w:t>
      </w:r>
      <w:r w:rsidRPr="004C63D2">
        <w:rPr>
          <w:color w:val="000000"/>
        </w:rPr>
        <w:lastRenderedPageBreak/>
        <w:t>healthcare and related fields</w:t>
      </w:r>
      <w:r w:rsidR="00ED0BB7" w:rsidRPr="004C63D2">
        <w:rPr>
          <w:color w:val="000000"/>
        </w:rPr>
        <w:t xml:space="preserve"> </w:t>
      </w:r>
      <w:r w:rsidR="00ED0BB7" w:rsidRPr="004C63D2">
        <w:rPr>
          <w:color w:val="000000"/>
        </w:rPr>
        <w:fldChar w:fldCharType="begin"/>
      </w:r>
      <w:r w:rsidR="00073D26" w:rsidRPr="004C63D2">
        <w:rPr>
          <w:color w:val="000000"/>
        </w:rPr>
        <w:instrText xml:space="preserve"> ADDIN ZOTERO_ITEM CSL_CITATION {"citationID":"vKgnI44n","properties":{"formattedCitation":"(Ngongo {\\i{}et al.}, 2019)","plainCitation":"(Ngongo et al., 2019)","noteIndex":0},"citationItems":[{"id":700,"uris":["http://zotero.org/users/16099821/items/MJ42LEXQ"],"itemData":{"id":700,"type":"article-journal","container-title":"PLOS ONE","DOI":"10.1371/journal.pone.0225167","ISSN":"1932-6203","issue":"12","journalAbbreviation":"PLoS ONE","language":"en","page":"e0225167","source":"DOI.org (Crossref)","title":"The technological, organizational and environmental determinants of adoption of mobile health applications (m-health) by hospitals in Kenya","volume":"14","author":[{"family":"Ngongo","given":"Bahati Prince"},{"family":"Ochola","given":"Phares"},{"family":"Ndegwa","given":"Joyce"},{"family":"Katuse","given":"Paul"}],"editor":[{"family":"Legido-Quigley","given":"Helena"}],"issued":{"date-parts":[["2019",12,13]]}}}],"schema":"https://github.com/citation-style-language/schema/raw/master/csl-citation.json"} </w:instrText>
      </w:r>
      <w:r w:rsidR="00ED0BB7" w:rsidRPr="004C63D2">
        <w:rPr>
          <w:color w:val="000000"/>
        </w:rPr>
        <w:fldChar w:fldCharType="separate"/>
      </w:r>
      <w:r w:rsidR="00073D26" w:rsidRPr="004C63D2">
        <w:rPr>
          <w:rFonts w:eastAsiaTheme="minorEastAsia"/>
          <w:color w:val="000000"/>
          <w14:ligatures w14:val="standardContextual"/>
        </w:rPr>
        <w:t xml:space="preserve">(Ngongo </w:t>
      </w:r>
      <w:r w:rsidR="00073D26" w:rsidRPr="004C63D2">
        <w:rPr>
          <w:rFonts w:eastAsiaTheme="minorEastAsia"/>
          <w:i/>
          <w:iCs/>
          <w:color w:val="000000"/>
          <w14:ligatures w14:val="standardContextual"/>
        </w:rPr>
        <w:t>et al.</w:t>
      </w:r>
      <w:r w:rsidR="00073D26" w:rsidRPr="004C63D2">
        <w:rPr>
          <w:rFonts w:eastAsiaTheme="minorEastAsia"/>
          <w:color w:val="000000"/>
          <w14:ligatures w14:val="standardContextual"/>
        </w:rPr>
        <w:t>, 2019)</w:t>
      </w:r>
      <w:r w:rsidR="00ED0BB7" w:rsidRPr="004C63D2">
        <w:rPr>
          <w:color w:val="000000"/>
        </w:rPr>
        <w:fldChar w:fldCharType="end"/>
      </w:r>
      <w:r w:rsidR="00E16917" w:rsidRPr="004C63D2">
        <w:rPr>
          <w:color w:val="000000"/>
        </w:rPr>
        <w:t xml:space="preserve"> </w:t>
      </w:r>
      <w:r w:rsidR="00E16917" w:rsidRPr="004C63D2">
        <w:rPr>
          <w:color w:val="000000"/>
        </w:rPr>
        <w:fldChar w:fldCharType="begin"/>
      </w:r>
      <w:r w:rsidR="00747827" w:rsidRPr="004C63D2">
        <w:rPr>
          <w:color w:val="000000"/>
        </w:rPr>
        <w:instrText xml:space="preserve"> ADDIN ZOTERO_ITEM CSL_CITATION {"citationID":"WMngCAmg","properties":{"formattedCitation":"(Beier and Fr\\uc0\\u252{}h, 2020)","plainCitation":"(Beier and Früh, 2020)","noteIndex":0},"citationItems":[{"id":707,"uris":["http://zotero.org/users/16099821/items/WC93UK2V"],"itemData":{"id":707,"type":"article-journal","abstract":"Background\n              Social media platforms are important tools for hospitals. These platforms offer many potential benefits in various areas of application for hospitals to connect and interact with their stakeholders. However, hospitals differ immensely in their social media adoption. There are studies that provide initial findings on individual factors influencing social media adoption by hospitals, but there is no comprehensive and integrated model.\n            \n            \n              Objective\n              This study aimed to develop a comprehensive model of social media adoption by hospitals in the context of the Swiss health care system and to test the model with empirical data from Switzerland.\n            \n            \n              Methods\n              To develop our model, we applied the general technology-organization-environment framework of organizational technology adoption and adapted it to the specific context of social media adoption by hospitals in Switzerland. To test our model, we collected empirical data on all 283 hospitals in Switzerland and identified the accounts they operate on 7 different social media platforms (Facebook, Google+, Twitter, Instagram, LinkedIn, XING, and YouTube). We tested the hypotheses of our model by means of binary logistic regression (dependent variable: platform adoption) and negative binomial regression (dependent variable: number of different platforms adopted).\n            \n            \n              Results\n              Our general model on social media adoption received broad support. Overall, hospitals in Switzerland are more likely to adopt social media if they have a higher share of patients with voluntary health insurance or have a higher patient volume. In contrast, they are less likely to operate their own social media accounts if they are associated with a hospital network. However, some hypotheses of our model received only partial support for specific social media platforms; for instance, hospitals in Switzerland are more likely to adopt XING if they provide an educational program and are more likely to adopt LinkedIn if they are located in regions with higher competition intensity.\n            \n            \n              Conclusions\n              Our study provides a comprehensive model of social media adoption by hospitals in Switzerland. This model shows, in detail, the factors that influence hospitals in Switzerland in their social media adoption. In addition, it provides a basic framework that might be helpful in systematically developing and testing comprehensive models of social media adoption by hospitals in other countries.","container-title":"Journal of Medical Internet Research","DOI":"10.2196/16995","ISSN":"1438-8871","issue":"3","journalAbbreviation":"J Med Internet Res","language":"en","page":"e16995","source":"DOI.org (Crossref)","title":"Technological, Organizational, and Environmental Factors Influencing Social Media Adoption by Hospitals in Switzerland: Cross-Sectional Study","title-short":"Technological, Organizational, and Environmental Factors Influencing Social Media Adoption by Hospitals in Switzerland","volume":"22","author":[{"family":"Beier","given":"Michael"},{"family":"Früh","given":"Sebastian"}],"issued":{"date-parts":[["2020",3,9]]}}}],"schema":"https://github.com/citation-style-language/schema/raw/master/csl-citation.json"} </w:instrText>
      </w:r>
      <w:r w:rsidR="00E16917" w:rsidRPr="004C63D2">
        <w:rPr>
          <w:color w:val="000000"/>
        </w:rPr>
        <w:fldChar w:fldCharType="separate"/>
      </w:r>
      <w:r w:rsidR="00747827" w:rsidRPr="004C63D2">
        <w:rPr>
          <w:rFonts w:eastAsiaTheme="minorEastAsia"/>
          <w:color w:val="000000"/>
          <w14:ligatures w14:val="standardContextual"/>
        </w:rPr>
        <w:t xml:space="preserve">(Beier and </w:t>
      </w:r>
      <w:proofErr w:type="spellStart"/>
      <w:r w:rsidR="00747827" w:rsidRPr="004C63D2">
        <w:rPr>
          <w:rFonts w:eastAsiaTheme="minorEastAsia"/>
          <w:color w:val="000000"/>
          <w14:ligatures w14:val="standardContextual"/>
        </w:rPr>
        <w:t>Früh</w:t>
      </w:r>
      <w:proofErr w:type="spellEnd"/>
      <w:r w:rsidR="00747827" w:rsidRPr="004C63D2">
        <w:rPr>
          <w:rFonts w:eastAsiaTheme="minorEastAsia"/>
          <w:color w:val="000000"/>
          <w14:ligatures w14:val="standardContextual"/>
        </w:rPr>
        <w:t>, 2020)</w:t>
      </w:r>
      <w:r w:rsidR="00E16917" w:rsidRPr="004C63D2">
        <w:rPr>
          <w:color w:val="000000"/>
        </w:rPr>
        <w:fldChar w:fldCharType="end"/>
      </w:r>
      <w:r w:rsidRPr="004C63D2">
        <w:rPr>
          <w:color w:val="000000"/>
        </w:rPr>
        <w:t>. Rather than attributing adoption to any single driver, the TOE model posits that organizations are influenced by the interactive effects of three distinct but interdependent contexts: technological, organizational, and environmental.</w:t>
      </w:r>
    </w:p>
    <w:p w14:paraId="0F2BD71D" w14:textId="77777777" w:rsidR="00DA3986" w:rsidRPr="004C63D2" w:rsidRDefault="00DA3986" w:rsidP="00383675">
      <w:pPr>
        <w:jc w:val="both"/>
        <w:rPr>
          <w:color w:val="000000"/>
        </w:rPr>
      </w:pPr>
    </w:p>
    <w:p w14:paraId="1FE81F5F" w14:textId="483B2364" w:rsidR="00DA3986" w:rsidRPr="004C63D2" w:rsidRDefault="00DA3986" w:rsidP="00383675">
      <w:pPr>
        <w:jc w:val="both"/>
        <w:rPr>
          <w:color w:val="000000"/>
        </w:rPr>
      </w:pPr>
      <w:r w:rsidRPr="004C63D2">
        <w:rPr>
          <w:color w:val="000000"/>
        </w:rPr>
        <w:t xml:space="preserve">Within the </w:t>
      </w:r>
      <w:r w:rsidRPr="004C63D2">
        <w:rPr>
          <w:b/>
          <w:bCs/>
          <w:color w:val="000000"/>
        </w:rPr>
        <w:t>technological context</w:t>
      </w:r>
      <w:r w:rsidRPr="004C63D2">
        <w:rPr>
          <w:color w:val="000000"/>
        </w:rPr>
        <w:t>, the TOE framework examines both internal and external technologies available to the organization, spanning existing systems and emerging tools. Key constructs commonly investigated in this context include relative advantage, complexity, compatibility, trialability, observability, and technology readiness. These factors shape organizational perceptions regarding the usefulness, ease of adoption, and feasibility of technological innovations; for instance, high perceived relative advantage and compatibility increase the likelihood of adoption, whereas greater perceived complexity acts as a barrier</w:t>
      </w:r>
      <w:r w:rsidR="00073D26" w:rsidRPr="004C63D2">
        <w:rPr>
          <w:color w:val="000000"/>
        </w:rPr>
        <w:t xml:space="preserve"> </w:t>
      </w:r>
      <w:r w:rsidR="00073D26" w:rsidRPr="004C63D2">
        <w:rPr>
          <w:color w:val="000000"/>
        </w:rPr>
        <w:fldChar w:fldCharType="begin"/>
      </w:r>
      <w:r w:rsidR="00073D26" w:rsidRPr="004C63D2">
        <w:rPr>
          <w:color w:val="000000"/>
        </w:rPr>
        <w:instrText xml:space="preserve"> ADDIN ZOTERO_ITEM CSL_CITATION {"citationID":"98hBLifQ","properties":{"formattedCitation":"(Ngongo {\\i{}et al.}, 2019)","plainCitation":"(Ngongo et al., 2019)","noteIndex":0},"citationItems":[{"id":700,"uris":["http://zotero.org/users/16099821/items/MJ42LEXQ"],"itemData":{"id":700,"type":"article-journal","container-title":"PLOS ONE","DOI":"10.1371/journal.pone.0225167","ISSN":"1932-6203","issue":"12","journalAbbreviation":"PLoS ONE","language":"en","page":"e0225167","source":"DOI.org (Crossref)","title":"The technological, organizational and environmental determinants of adoption of mobile health applications (m-health) by hospitals in Kenya","volume":"14","author":[{"family":"Ngongo","given":"Bahati Prince"},{"family":"Ochola","given":"Phares"},{"family":"Ndegwa","given":"Joyce"},{"family":"Katuse","given":"Paul"}],"editor":[{"family":"Legido-Quigley","given":"Helena"}],"issued":{"date-parts":[["2019",12,13]]}}}],"schema":"https://github.com/citation-style-language/schema/raw/master/csl-citation.json"} </w:instrText>
      </w:r>
      <w:r w:rsidR="00073D26" w:rsidRPr="004C63D2">
        <w:rPr>
          <w:color w:val="000000"/>
        </w:rPr>
        <w:fldChar w:fldCharType="separate"/>
      </w:r>
      <w:r w:rsidR="00073D26" w:rsidRPr="004C63D2">
        <w:rPr>
          <w:rFonts w:eastAsiaTheme="minorEastAsia"/>
          <w:color w:val="000000"/>
          <w14:ligatures w14:val="standardContextual"/>
        </w:rPr>
        <w:t xml:space="preserve">(Ngongo </w:t>
      </w:r>
      <w:r w:rsidR="00073D26" w:rsidRPr="004C63D2">
        <w:rPr>
          <w:rFonts w:eastAsiaTheme="minorEastAsia"/>
          <w:i/>
          <w:iCs/>
          <w:color w:val="000000"/>
          <w14:ligatures w14:val="standardContextual"/>
        </w:rPr>
        <w:t>et al.</w:t>
      </w:r>
      <w:r w:rsidR="00073D26" w:rsidRPr="004C63D2">
        <w:rPr>
          <w:rFonts w:eastAsiaTheme="minorEastAsia"/>
          <w:color w:val="000000"/>
          <w14:ligatures w14:val="standardContextual"/>
        </w:rPr>
        <w:t>, 2019)</w:t>
      </w:r>
      <w:r w:rsidR="00073D26" w:rsidRPr="004C63D2">
        <w:rPr>
          <w:color w:val="000000"/>
        </w:rPr>
        <w:fldChar w:fldCharType="end"/>
      </w:r>
      <w:r w:rsidRPr="004C63D2">
        <w:rPr>
          <w:color w:val="000000"/>
        </w:rPr>
        <w:t>. Rogers’ Diffusion of Innovation theory further supports the influence of technological characteristics, noting that innovations perceived as how better they fit organizational needs, are easier to try, and offer observable advantages tend to diffuse more rapidly.</w:t>
      </w:r>
    </w:p>
    <w:p w14:paraId="27083CF4" w14:textId="77777777" w:rsidR="00DA3986" w:rsidRPr="004C63D2" w:rsidRDefault="00DA3986" w:rsidP="00383675">
      <w:pPr>
        <w:jc w:val="both"/>
        <w:rPr>
          <w:color w:val="000000"/>
        </w:rPr>
      </w:pPr>
    </w:p>
    <w:p w14:paraId="02173463" w14:textId="43D33F7F" w:rsidR="00DA3986" w:rsidRPr="004C63D2" w:rsidRDefault="00DA3986" w:rsidP="00383675">
      <w:pPr>
        <w:jc w:val="both"/>
        <w:rPr>
          <w:color w:val="000000"/>
        </w:rPr>
      </w:pPr>
      <w:r w:rsidRPr="004C63D2">
        <w:rPr>
          <w:color w:val="000000"/>
        </w:rPr>
        <w:t xml:space="preserve">The </w:t>
      </w:r>
      <w:r w:rsidRPr="004C63D2">
        <w:rPr>
          <w:b/>
          <w:bCs/>
          <w:color w:val="000000"/>
        </w:rPr>
        <w:t>organizational context</w:t>
      </w:r>
      <w:r w:rsidRPr="004C63D2">
        <w:rPr>
          <w:color w:val="000000"/>
        </w:rPr>
        <w:t xml:space="preserve"> centers on internal characteristics that condition an organization's adoption decisions. Important constructs here include firm size, top management support, organizational culture, IT infrastructure, financial and human resources, communication processes, and organizational innovativeness. Studies have demonstrated that larger organizations, those with supportive leadership, and those possessing robust IT and resource capacities are better positioned to implement new technologies successfull</w:t>
      </w:r>
      <w:r w:rsidR="00F26969" w:rsidRPr="004C63D2">
        <w:rPr>
          <w:color w:val="000000"/>
        </w:rPr>
        <w:t xml:space="preserve">y </w:t>
      </w:r>
      <w:r w:rsidR="00073D26" w:rsidRPr="004C63D2">
        <w:rPr>
          <w:color w:val="000000"/>
        </w:rPr>
        <w:fldChar w:fldCharType="begin"/>
      </w:r>
      <w:r w:rsidR="00073D26" w:rsidRPr="004C63D2">
        <w:rPr>
          <w:color w:val="000000"/>
        </w:rPr>
        <w:instrText xml:space="preserve"> ADDIN ZOTERO_ITEM CSL_CITATION {"citationID":"tvJZpXQx","properties":{"formattedCitation":"(Ngongo {\\i{}et al.}, 2019)","plainCitation":"(Ngongo et al., 2019)","noteIndex":0},"citationItems":[{"id":700,"uris":["http://zotero.org/users/16099821/items/MJ42LEXQ"],"itemData":{"id":700,"type":"article-journal","container-title":"PLOS ONE","DOI":"10.1371/journal.pone.0225167","ISSN":"1932-6203","issue":"12","journalAbbreviation":"PLoS ONE","language":"en","page":"e0225167","source":"DOI.org (Crossref)","title":"The technological, organizational and environmental determinants of adoption of mobile health applications (m-health) by hospitals in Kenya","volume":"14","author":[{"family":"Ngongo","given":"Bahati Prince"},{"family":"Ochola","given":"Phares"},{"family":"Ndegwa","given":"Joyce"},{"family":"Katuse","given":"Paul"}],"editor":[{"family":"Legido-Quigley","given":"Helena"}],"issued":{"date-parts":[["2019",12,13]]}}}],"schema":"https://github.com/citation-style-language/schema/raw/master/csl-citation.json"} </w:instrText>
      </w:r>
      <w:r w:rsidR="00073D26" w:rsidRPr="004C63D2">
        <w:rPr>
          <w:color w:val="000000"/>
        </w:rPr>
        <w:fldChar w:fldCharType="separate"/>
      </w:r>
      <w:r w:rsidR="00073D26" w:rsidRPr="004C63D2">
        <w:rPr>
          <w:rFonts w:eastAsiaTheme="minorEastAsia"/>
          <w:color w:val="000000"/>
          <w14:ligatures w14:val="standardContextual"/>
        </w:rPr>
        <w:t xml:space="preserve">(Ngongo </w:t>
      </w:r>
      <w:r w:rsidR="00073D26" w:rsidRPr="004C63D2">
        <w:rPr>
          <w:rFonts w:eastAsiaTheme="minorEastAsia"/>
          <w:i/>
          <w:iCs/>
          <w:color w:val="000000"/>
          <w14:ligatures w14:val="standardContextual"/>
        </w:rPr>
        <w:t>et al.</w:t>
      </w:r>
      <w:r w:rsidR="00073D26" w:rsidRPr="004C63D2">
        <w:rPr>
          <w:rFonts w:eastAsiaTheme="minorEastAsia"/>
          <w:color w:val="000000"/>
          <w14:ligatures w14:val="standardContextual"/>
        </w:rPr>
        <w:t>, 2019)</w:t>
      </w:r>
      <w:r w:rsidR="00073D26" w:rsidRPr="004C63D2">
        <w:rPr>
          <w:color w:val="000000"/>
        </w:rPr>
        <w:fldChar w:fldCharType="end"/>
      </w:r>
      <w:r w:rsidRPr="004C63D2">
        <w:rPr>
          <w:color w:val="000000"/>
        </w:rPr>
        <w:t>. Organizational culture—particularly openness to change—can moderate the relationship between technology integration and performance outcomes, meaning that organizations embracing continuous learning and innovation are more likely to leverage technology for improved effectiveness</w:t>
      </w:r>
      <w:r w:rsidR="00A94FE1" w:rsidRPr="004C63D2">
        <w:rPr>
          <w:color w:val="000000"/>
        </w:rPr>
        <w:fldChar w:fldCharType="begin"/>
      </w:r>
      <w:r w:rsidR="00D13E5A" w:rsidRPr="004C63D2">
        <w:rPr>
          <w:color w:val="000000"/>
        </w:rPr>
        <w:instrText xml:space="preserve"> ADDIN ZOTERO_ITEM CSL_CITATION {"citationID":"1jxxRySL","properties":{"formattedCitation":"(Jeilani and Hussein, 2025a)","plainCitation":"(Jeilani and Hussein, 2025a)","noteIndex":0},"citationItems":[{"id":704,"uris":["http://zotero.org/users/16099821/items/XSLMJ957"],"itemData":{"id":704,"type":"article-journal","abstract":"BACKGROUND: Digital health technologies (DHT) have become an integral component of modern healthcare systems, offering the potential to improve healthcare delivery and outcomes. Guided by the Technology-Organization-Environment (TOE) framework, this study examines the impact of DHT adoption on healthcare workers' performance and workload in public and private hospitals in Mogadishu, Somalia.\nMETHOD: A stratified random sampling approach was used to collect data from 286 healthcare workers in public and private hospitals. Data were analyzed using Structural Equation Modeling (SEM) to test hypotheses and assess direct and mediating relationships among variables.\nRESULTS: The analysis revealed that DHT significantly improves healthcare workers' performance and workload respectively (β = 0.452, C.R. = 10.150, p &lt; 0.001) and (β = 0.594, C.R. = 9.972, p &lt; 0.001), organizational and environmental factors are positively impacting on healthcare workers' performance (β = 0.327, C.R. = 8.709, p &lt; 0.001) and (β = 0.102, C.R. = 2.872, p = 0.004). Healthcare workers' performance significantly reduces workload (β = 0.594, C.R. = 9.972, p &lt; 0.001) and the mediating role of healthcare workers' performance between DHT and workload were also confirmed (β = 0.281, C.R. = 5.9787, p &lt; 0.001).\nCONCLUSION: The findings underscore the critical role of DHT in enhancing healthcare workers' performance and reducing workload, with the TOE framework and performance acting as significant mediators. These results provide actionable insights for healthcare administrators and policymakers to optimize DHT implementation, support workforce efficiency, and address workload challenges through strategic organizational and environmental adaptations.","container-title":"BMC health services research","DOI":"10.1186/s12913-025-12414-4","ISSN":"1472-6963","issue":"1","journalAbbreviation":"BMC Health Serv Res","language":"eng","note":"PMID: 39966874\nPMCID: PMC11837663","page":"271","source":"PubMed","title":"Impact of digital health technologies adoption on healthcare workers' performance and workload: perspective with DOI and TOE models","title-short":"Impact of digital health technologies adoption on healthcare workers' performance and workload","volume":"25","author":[{"family":"Jeilani","given":"Abdulkadir"},{"family":"Hussein","given":"Abdinur"}],"issued":{"date-parts":[["2025",2,18]]}}}],"schema":"https://github.com/citation-style-language/schema/raw/master/csl-citation.json"} </w:instrText>
      </w:r>
      <w:r w:rsidR="00A94FE1" w:rsidRPr="004C63D2">
        <w:rPr>
          <w:color w:val="000000"/>
        </w:rPr>
        <w:fldChar w:fldCharType="separate"/>
      </w:r>
      <w:r w:rsidR="00D13E5A" w:rsidRPr="004C63D2">
        <w:rPr>
          <w:noProof/>
          <w:color w:val="000000"/>
        </w:rPr>
        <w:t>(Jeilani and Hussein, 2025a)</w:t>
      </w:r>
      <w:r w:rsidR="00A94FE1" w:rsidRPr="004C63D2">
        <w:rPr>
          <w:color w:val="000000"/>
        </w:rPr>
        <w:fldChar w:fldCharType="end"/>
      </w:r>
      <w:r w:rsidRPr="004C63D2">
        <w:rPr>
          <w:color w:val="000000"/>
        </w:rPr>
        <w:t>.</w:t>
      </w:r>
    </w:p>
    <w:p w14:paraId="4F4161FA" w14:textId="77777777" w:rsidR="00DA3986" w:rsidRPr="004C63D2" w:rsidRDefault="00DA3986" w:rsidP="00383675">
      <w:pPr>
        <w:jc w:val="both"/>
        <w:rPr>
          <w:color w:val="000000"/>
        </w:rPr>
      </w:pPr>
    </w:p>
    <w:p w14:paraId="1A588D84" w14:textId="5CD2CD13" w:rsidR="00DA3986" w:rsidRPr="004C63D2" w:rsidRDefault="00DA3986" w:rsidP="00383675">
      <w:pPr>
        <w:jc w:val="both"/>
        <w:rPr>
          <w:color w:val="000000"/>
        </w:rPr>
      </w:pPr>
      <w:r w:rsidRPr="004C63D2">
        <w:rPr>
          <w:color w:val="000000"/>
        </w:rPr>
        <w:t xml:space="preserve">Finally, the </w:t>
      </w:r>
      <w:r w:rsidRPr="004C63D2">
        <w:rPr>
          <w:b/>
          <w:bCs/>
          <w:color w:val="000000"/>
        </w:rPr>
        <w:t>environmental context</w:t>
      </w:r>
      <w:r w:rsidRPr="004C63D2">
        <w:rPr>
          <w:color w:val="000000"/>
        </w:rPr>
        <w:t xml:space="preserve"> encompasses the external pressures and opportunities that surround an organization. Constructs frequently assessed in this domain include competitive pressure, customer demand, regulatory environment, government support and incentives, industry standards, partnerships, and external information systems expertise</w:t>
      </w:r>
      <w:r w:rsidR="00F26969" w:rsidRPr="004C63D2">
        <w:rPr>
          <w:color w:val="000000"/>
        </w:rPr>
        <w:t xml:space="preserve"> </w:t>
      </w:r>
      <w:r w:rsidR="00F26969" w:rsidRPr="004C63D2">
        <w:rPr>
          <w:color w:val="000000"/>
        </w:rPr>
        <w:fldChar w:fldCharType="begin"/>
      </w:r>
      <w:r w:rsidR="00F26969" w:rsidRPr="004C63D2">
        <w:rPr>
          <w:color w:val="000000"/>
        </w:rPr>
        <w:instrText xml:space="preserve"> ADDIN ZOTERO_ITEM CSL_CITATION {"citationID":"NbIwHqAV","properties":{"formattedCitation":"(N\\uc0\\u8217{}Dri and Su, 2024)","plainCitation":"(N’Dri and Su, 2024)","noteIndex":0},"citationItems":[{"id":709,"uris":["http://zotero.org/users/16099821/items/CIT6VE2M"],"itemData":{"id":709,"type":"article-journal","container-title":"Information &amp; Management","DOI":"10.1016/j.im.2024.104030","ISSN":"03787206","issue":"7","journalAbbreviation":"Information &amp; Management","language":"en","page":"104030","source":"DOI.org (Crossref)","title":"Successful configurations of technology–organization–environment factors in digital transformation: Evidence from exporting small and medium-sized enterprises in the manufacturing industry","title-short":"Successful configurations of technology–organization–environment factors in digital transformation","volume":"61","author":[{"family":"N'Dri","given":"Amoin Bernadine"},{"family":"Su","given":"Zhan"}],"issued":{"date-parts":[["2024",11]]}}}],"schema":"https://github.com/citation-style-language/schema/raw/master/csl-citation.json"} </w:instrText>
      </w:r>
      <w:r w:rsidR="00F26969" w:rsidRPr="004C63D2">
        <w:rPr>
          <w:color w:val="000000"/>
        </w:rPr>
        <w:fldChar w:fldCharType="separate"/>
      </w:r>
      <w:r w:rsidR="00F26969" w:rsidRPr="004C63D2">
        <w:rPr>
          <w:rFonts w:eastAsiaTheme="minorEastAsia"/>
          <w:color w:val="000000"/>
          <w14:ligatures w14:val="standardContextual"/>
        </w:rPr>
        <w:t>(N’Dri and Su, 2024)</w:t>
      </w:r>
      <w:r w:rsidR="00F26969" w:rsidRPr="004C63D2">
        <w:rPr>
          <w:color w:val="000000"/>
        </w:rPr>
        <w:fldChar w:fldCharType="end"/>
      </w:r>
      <w:r w:rsidR="00747827" w:rsidRPr="004C63D2">
        <w:rPr>
          <w:color w:val="000000"/>
        </w:rPr>
        <w:t xml:space="preserve"> </w:t>
      </w:r>
      <w:r w:rsidR="00747827" w:rsidRPr="004C63D2">
        <w:rPr>
          <w:color w:val="000000"/>
        </w:rPr>
        <w:fldChar w:fldCharType="begin"/>
      </w:r>
      <w:r w:rsidR="00747827" w:rsidRPr="004C63D2">
        <w:rPr>
          <w:color w:val="000000"/>
        </w:rPr>
        <w:instrText xml:space="preserve"> ADDIN ZOTERO_ITEM CSL_CITATION {"citationID":"YX13vOqv","properties":{"formattedCitation":"(Beier and Fr\\uc0\\u252{}h, 2020)","plainCitation":"(Beier and Früh, 2020)","noteIndex":0},"citationItems":[{"id":707,"uris":["http://zotero.org/users/16099821/items/WC93UK2V"],"itemData":{"id":707,"type":"article-journal","abstract":"Background\n              Social media platforms are important tools for hospitals. These platforms offer many potential benefits in various areas of application for hospitals to connect and interact with their stakeholders. However, hospitals differ immensely in their social media adoption. There are studies that provide initial findings on individual factors influencing social media adoption by hospitals, but there is no comprehensive and integrated model.\n            \n            \n              Objective\n              This study aimed to develop a comprehensive model of social media adoption by hospitals in the context of the Swiss health care system and to test the model with empirical data from Switzerland.\n            \n            \n              Methods\n              To develop our model, we applied the general technology-organization-environment framework of organizational technology adoption and adapted it to the specific context of social media adoption by hospitals in Switzerland. To test our model, we collected empirical data on all 283 hospitals in Switzerland and identified the accounts they operate on 7 different social media platforms (Facebook, Google+, Twitter, Instagram, LinkedIn, XING, and YouTube). We tested the hypotheses of our model by means of binary logistic regression (dependent variable: platform adoption) and negative binomial regression (dependent variable: number of different platforms adopted).\n            \n            \n              Results\n              Our general model on social media adoption received broad support. Overall, hospitals in Switzerland are more likely to adopt social media if they have a higher share of patients with voluntary health insurance or have a higher patient volume. In contrast, they are less likely to operate their own social media accounts if they are associated with a hospital network. However, some hypotheses of our model received only partial support for specific social media platforms; for instance, hospitals in Switzerland are more likely to adopt XING if they provide an educational program and are more likely to adopt LinkedIn if they are located in regions with higher competition intensity.\n            \n            \n              Conclusions\n              Our study provides a comprehensive model of social media adoption by hospitals in Switzerland. This model shows, in detail, the factors that influence hospitals in Switzerland in their social media adoption. In addition, it provides a basic framework that might be helpful in systematically developing and testing comprehensive models of social media adoption by hospitals in other countries.","container-title":"Journal of Medical Internet Research","DOI":"10.2196/16995","ISSN":"1438-8871","issue":"3","journalAbbreviation":"J Med Internet Res","language":"en","page":"e16995","source":"DOI.org (Crossref)","title":"Technological, Organizational, and Environmental Factors Influencing Social Media Adoption by Hospitals in Switzerland: Cross-Sectional Study","title-short":"Technological, Organizational, and Environmental Factors Influencing Social Media Adoption by Hospitals in Switzerland","volume":"22","author":[{"family":"Beier","given":"Michael"},{"family":"Früh","given":"Sebastian"}],"issued":{"date-parts":[["2020",3,9]]}}}],"schema":"https://github.com/citation-style-language/schema/raw/master/csl-citation.json"} </w:instrText>
      </w:r>
      <w:r w:rsidR="00747827" w:rsidRPr="004C63D2">
        <w:rPr>
          <w:color w:val="000000"/>
        </w:rPr>
        <w:fldChar w:fldCharType="separate"/>
      </w:r>
      <w:r w:rsidR="00747827" w:rsidRPr="004C63D2">
        <w:rPr>
          <w:rFonts w:eastAsiaTheme="minorEastAsia"/>
          <w:color w:val="000000"/>
          <w14:ligatures w14:val="standardContextual"/>
        </w:rPr>
        <w:t xml:space="preserve">(Beier and </w:t>
      </w:r>
      <w:proofErr w:type="spellStart"/>
      <w:r w:rsidR="00747827" w:rsidRPr="004C63D2">
        <w:rPr>
          <w:rFonts w:eastAsiaTheme="minorEastAsia"/>
          <w:color w:val="000000"/>
          <w14:ligatures w14:val="standardContextual"/>
        </w:rPr>
        <w:t>Früh</w:t>
      </w:r>
      <w:proofErr w:type="spellEnd"/>
      <w:r w:rsidR="00747827" w:rsidRPr="004C63D2">
        <w:rPr>
          <w:rFonts w:eastAsiaTheme="minorEastAsia"/>
          <w:color w:val="000000"/>
          <w14:ligatures w14:val="standardContextual"/>
        </w:rPr>
        <w:t>, 2020)</w:t>
      </w:r>
      <w:r w:rsidR="00747827" w:rsidRPr="004C63D2">
        <w:rPr>
          <w:color w:val="000000"/>
        </w:rPr>
        <w:fldChar w:fldCharType="end"/>
      </w:r>
      <w:r w:rsidRPr="004C63D2">
        <w:rPr>
          <w:color w:val="000000"/>
        </w:rPr>
        <w:t>. These external factors help explain how policy imperatives, broader market dynamics, and evolving stakeholder expectations influence the organizational readiness and actual adoption of new technologies. For example, positive perceptions of government incentives and strong patient demand have been shown to accelerate the uptake of innovations like digital health and telemedicine</w:t>
      </w:r>
      <w:r w:rsidR="00F614A8" w:rsidRPr="004C63D2">
        <w:rPr>
          <w:color w:val="000000"/>
        </w:rPr>
        <w:t xml:space="preserve"> </w:t>
      </w:r>
      <w:r w:rsidR="00F614A8" w:rsidRPr="004C63D2">
        <w:rPr>
          <w:color w:val="000000"/>
        </w:rPr>
        <w:fldChar w:fldCharType="begin"/>
      </w:r>
      <w:r w:rsidR="00846F59" w:rsidRPr="004C63D2">
        <w:rPr>
          <w:color w:val="000000"/>
        </w:rPr>
        <w:instrText xml:space="preserve"> ADDIN ZOTERO_ITEM CSL_CITATION {"citationID":"xZVDiDQp","properties":{"formattedCitation":"(Beier and Fr\\uc0\\u252{}h, 2020)","plainCitation":"(Beier and Früh, 2020)","noteIndex":0},"citationItems":[{"id":707,"uris":["http://zotero.org/users/16099821/items/WC93UK2V"],"itemData":{"id":707,"type":"article-journal","abstract":"Background\n              Social media platforms are important tools for hospitals. These platforms offer many potential benefits in various areas of application for hospitals to connect and interact with their stakeholders. However, hospitals differ immensely in their social media adoption. There are studies that provide initial findings on individual factors influencing social media adoption by hospitals, but there is no comprehensive and integrated model.\n            \n            \n              Objective\n              This study aimed to develop a comprehensive model of social media adoption by hospitals in the context of the Swiss health care system and to test the model with empirical data from Switzerland.\n            \n            \n              Methods\n              To develop our model, we applied the general technology-organization-environment framework of organizational technology adoption and adapted it to the specific context of social media adoption by hospitals in Switzerland. To test our model, we collected empirical data on all 283 hospitals in Switzerland and identified the accounts they operate on 7 different social media platforms (Facebook, Google+, Twitter, Instagram, LinkedIn, XING, and YouTube). We tested the hypotheses of our model by means of binary logistic regression (dependent variable: platform adoption) and negative binomial regression (dependent variable: number of different platforms adopted).\n            \n            \n              Results\n              Our general model on social media adoption received broad support. Overall, hospitals in Switzerland are more likely to adopt social media if they have a higher share of patients with voluntary health insurance or have a higher patient volume. In contrast, they are less likely to operate their own social media accounts if they are associated with a hospital network. However, some hypotheses of our model received only partial support for specific social media platforms; for instance, hospitals in Switzerland are more likely to adopt XING if they provide an educational program and are more likely to adopt LinkedIn if they are located in regions with higher competition intensity.\n            \n            \n              Conclusions\n              Our study provides a comprehensive model of social media adoption by hospitals in Switzerland. This model shows, in detail, the factors that influence hospitals in Switzerland in their social media adoption. In addition, it provides a basic framework that might be helpful in systematically developing and testing comprehensive models of social media adoption by hospitals in other countries.","container-title":"Journal of Medical Internet Research","DOI":"10.2196/16995","ISSN":"1438-8871","issue":"3","journalAbbreviation":"J Med Internet Res","language":"en","page":"e16995","source":"DOI.org (Crossref)","title":"Technological, Organizational, and Environmental Factors Influencing Social Media Adoption by Hospitals in Switzerland: Cross-Sectional Study","title-short":"Technological, Organizational, and Environmental Factors Influencing Social Media Adoption by Hospitals in Switzerland","volume":"22","author":[{"family":"Beier","given":"Michael"},{"family":"Früh","given":"Sebastian"}],"issued":{"date-parts":[["2020",3,9]]}}}],"schema":"https://github.com/citation-style-language/schema/raw/master/csl-citation.json"} </w:instrText>
      </w:r>
      <w:r w:rsidR="00F614A8" w:rsidRPr="004C63D2">
        <w:rPr>
          <w:color w:val="000000"/>
        </w:rPr>
        <w:fldChar w:fldCharType="separate"/>
      </w:r>
      <w:r w:rsidR="00846F59" w:rsidRPr="004C63D2">
        <w:rPr>
          <w:rFonts w:eastAsiaTheme="minorEastAsia"/>
          <w:color w:val="000000"/>
          <w14:ligatures w14:val="standardContextual"/>
        </w:rPr>
        <w:t xml:space="preserve">(Beier and </w:t>
      </w:r>
      <w:proofErr w:type="spellStart"/>
      <w:r w:rsidR="00846F59" w:rsidRPr="004C63D2">
        <w:rPr>
          <w:rFonts w:eastAsiaTheme="minorEastAsia"/>
          <w:color w:val="000000"/>
          <w14:ligatures w14:val="standardContextual"/>
        </w:rPr>
        <w:t>Früh</w:t>
      </w:r>
      <w:proofErr w:type="spellEnd"/>
      <w:r w:rsidR="00846F59" w:rsidRPr="004C63D2">
        <w:rPr>
          <w:rFonts w:eastAsiaTheme="minorEastAsia"/>
          <w:color w:val="000000"/>
          <w14:ligatures w14:val="standardContextual"/>
        </w:rPr>
        <w:t>, 2020)</w:t>
      </w:r>
      <w:r w:rsidR="00F614A8" w:rsidRPr="004C63D2">
        <w:rPr>
          <w:color w:val="000000"/>
        </w:rPr>
        <w:fldChar w:fldCharType="end"/>
      </w:r>
      <w:r w:rsidRPr="004C63D2">
        <w:rPr>
          <w:color w:val="000000"/>
        </w:rPr>
        <w:t>.</w:t>
      </w:r>
    </w:p>
    <w:p w14:paraId="5239B554" w14:textId="77777777" w:rsidR="00DA3986" w:rsidRPr="004C63D2" w:rsidRDefault="00DA3986" w:rsidP="00383675">
      <w:pPr>
        <w:jc w:val="both"/>
        <w:rPr>
          <w:color w:val="000000"/>
        </w:rPr>
      </w:pPr>
    </w:p>
    <w:p w14:paraId="78E8E2BC" w14:textId="156FD9DC" w:rsidR="00772C1F" w:rsidRPr="004C63D2" w:rsidRDefault="00772C1F" w:rsidP="00383675">
      <w:pPr>
        <w:jc w:val="both"/>
        <w:rPr>
          <w:color w:val="000000"/>
        </w:rPr>
      </w:pPr>
      <w:r w:rsidRPr="004C63D2">
        <w:rPr>
          <w:color w:val="000000"/>
        </w:rPr>
        <w:t>The interdependence of the three contexts within the TOE framework is crucial for understanding organizational adoption of innovation. Technological characteristics</w:t>
      </w:r>
      <w:r w:rsidR="009B5ADA" w:rsidRPr="004C63D2">
        <w:rPr>
          <w:color w:val="000000"/>
        </w:rPr>
        <w:t xml:space="preserve">, </w:t>
      </w:r>
      <w:r w:rsidRPr="004C63D2">
        <w:rPr>
          <w:color w:val="000000"/>
        </w:rPr>
        <w:t>such as functionality and compatibility</w:t>
      </w:r>
      <w:r w:rsidR="009B5ADA" w:rsidRPr="004C63D2">
        <w:rPr>
          <w:color w:val="000000"/>
        </w:rPr>
        <w:t xml:space="preserve">, </w:t>
      </w:r>
      <w:r w:rsidRPr="004C63D2">
        <w:rPr>
          <w:color w:val="000000"/>
        </w:rPr>
        <w:t>define the range of possibilities for new solutions. However, the feasibility of implementing these innovations is ultimately determined by the internal resources and readiness of the organization. Even if a technology is highly attractive and supported by organizational infrastructure and leadership, environmental pressures play a decisive role in shaping the timing and pace of adoption. Factors such as regulatory compliance, available funding, and the adoption behavior of competitors often influence whether and how quickly an organization commits to innovation.</w:t>
      </w:r>
    </w:p>
    <w:p w14:paraId="194F3053" w14:textId="77777777" w:rsidR="00772C1F" w:rsidRPr="004C63D2" w:rsidRDefault="00772C1F" w:rsidP="00383675">
      <w:pPr>
        <w:jc w:val="both"/>
        <w:rPr>
          <w:color w:val="000000"/>
        </w:rPr>
      </w:pPr>
    </w:p>
    <w:p w14:paraId="0DFD9488" w14:textId="5DF06494" w:rsidR="00772C1F" w:rsidRPr="004C63D2" w:rsidRDefault="00772C1F" w:rsidP="00383675">
      <w:pPr>
        <w:jc w:val="both"/>
        <w:rPr>
          <w:color w:val="000000"/>
        </w:rPr>
      </w:pPr>
      <w:r w:rsidRPr="004C63D2">
        <w:rPr>
          <w:color w:val="000000"/>
        </w:rPr>
        <w:t>Importantly, the TOE framework does not prescribe rigid causal pathways; rather, it emphasizes the dynamic interplay among technological, organizational, and environmental elements. Empirical studies often test specific hypotheses, such as the mediating role of top management support in moderating the impact of environmental pressure on adoption decisions. This approach highlights the joint and nuanced influences governing organizational behavior within TOE.</w:t>
      </w:r>
    </w:p>
    <w:p w14:paraId="0193F9D2" w14:textId="77777777" w:rsidR="00A54C4D" w:rsidRPr="004C63D2" w:rsidRDefault="00A54C4D" w:rsidP="00383675">
      <w:pPr>
        <w:jc w:val="both"/>
        <w:rPr>
          <w:color w:val="000000"/>
        </w:rPr>
      </w:pPr>
    </w:p>
    <w:p w14:paraId="0AEE3016" w14:textId="51EF1B4F" w:rsidR="00DA3986" w:rsidRPr="004C63D2" w:rsidRDefault="00DA3986" w:rsidP="00383675">
      <w:pPr>
        <w:jc w:val="both"/>
        <w:rPr>
          <w:color w:val="000000"/>
        </w:rPr>
      </w:pPr>
      <w:r w:rsidRPr="004C63D2">
        <w:rPr>
          <w:color w:val="000000"/>
        </w:rPr>
        <w:t>In summary, the TOE framework remains an invaluable theoretical model, guiding both empirical research and practical implementation in organizational innovation, and its robust adaptability is reflected in a broad range of healthcare and technology management studies.</w:t>
      </w:r>
    </w:p>
    <w:p w14:paraId="6EB763ED" w14:textId="77777777" w:rsidR="00DA3986" w:rsidRPr="004C63D2" w:rsidRDefault="00DA3986" w:rsidP="00383675">
      <w:pPr>
        <w:jc w:val="both"/>
        <w:rPr>
          <w:color w:val="000000"/>
        </w:rPr>
      </w:pPr>
    </w:p>
    <w:p w14:paraId="2AC4AC36" w14:textId="77777777" w:rsidR="006629B2" w:rsidRPr="004C63D2" w:rsidRDefault="006629B2" w:rsidP="00383675">
      <w:pPr>
        <w:spacing w:before="100" w:beforeAutospacing="1" w:after="100" w:afterAutospacing="1"/>
        <w:jc w:val="both"/>
        <w:outlineLvl w:val="2"/>
        <w:rPr>
          <w:b/>
          <w:bCs/>
          <w:color w:val="000000"/>
        </w:rPr>
      </w:pPr>
      <w:bookmarkStart w:id="4" w:name="OLE_LINK7"/>
      <w:r w:rsidRPr="004C63D2">
        <w:rPr>
          <w:b/>
          <w:bCs/>
          <w:color w:val="000000"/>
        </w:rPr>
        <w:t>Why TOE is Powerful in Explaining Organizational Behavior</w:t>
      </w:r>
    </w:p>
    <w:p w14:paraId="3537B8D7" w14:textId="51FF23B9" w:rsidR="00CA1025" w:rsidRPr="004C63D2" w:rsidRDefault="00CA1025" w:rsidP="00383675">
      <w:pPr>
        <w:spacing w:before="100" w:beforeAutospacing="1" w:after="100" w:afterAutospacing="1"/>
        <w:jc w:val="both"/>
        <w:rPr>
          <w:color w:val="000000"/>
        </w:rPr>
      </w:pPr>
      <w:r w:rsidRPr="004C63D2">
        <w:rPr>
          <w:color w:val="000000"/>
        </w:rPr>
        <w:t>The Technology–Organization–Environment (TOE) framework offers a powerful lens for explaining organizational behavior in technological adoption due to several distinguishing features that have been validated across diverse fields, especially healthcare</w:t>
      </w:r>
      <w:r w:rsidR="003E3EE9" w:rsidRPr="004C63D2">
        <w:rPr>
          <w:color w:val="000000"/>
        </w:rPr>
        <w:t xml:space="preserve">.  </w:t>
      </w:r>
      <w:r w:rsidRPr="004C63D2">
        <w:rPr>
          <w:color w:val="000000"/>
        </w:rPr>
        <w:t>TOE's holistic perspective integrates both internal factors</w:t>
      </w:r>
      <w:r w:rsidR="003E3EE9" w:rsidRPr="004C63D2">
        <w:rPr>
          <w:color w:val="000000"/>
        </w:rPr>
        <w:t xml:space="preserve">, </w:t>
      </w:r>
      <w:r w:rsidRPr="004C63D2">
        <w:rPr>
          <w:color w:val="000000"/>
        </w:rPr>
        <w:t>technological capabilities and organizational resources</w:t>
      </w:r>
      <w:r w:rsidR="003E3EE9" w:rsidRPr="004C63D2">
        <w:rPr>
          <w:color w:val="000000"/>
        </w:rPr>
        <w:t xml:space="preserve"> </w:t>
      </w:r>
      <w:r w:rsidRPr="004C63D2">
        <w:rPr>
          <w:color w:val="000000"/>
        </w:rPr>
        <w:t>and external environmental influences, enabling a systemic understanding of adoption processes. This comprehensive approach is particularly beneficial in health sectors where regulatory pressures and resource limitations carry as much weight as technological attributes when driving decisions about innovation</w:t>
      </w:r>
      <w:r w:rsidR="00D246C0" w:rsidRPr="004C63D2">
        <w:rPr>
          <w:color w:val="000000"/>
        </w:rPr>
        <w:fldChar w:fldCharType="begin"/>
      </w:r>
      <w:r w:rsidR="00D246C0" w:rsidRPr="004C63D2">
        <w:rPr>
          <w:color w:val="000000"/>
        </w:rPr>
        <w:instrText xml:space="preserve"> ADDIN ZOTERO_ITEM CSL_CITATION {"citationID":"o1y0cca2","properties":{"formattedCitation":"(Beier and Fr\\uc0\\u252{}h, 2020)","plainCitation":"(Beier and Früh, 2020)","noteIndex":0},"citationItems":[{"id":707,"uris":["http://zotero.org/users/16099821/items/WC93UK2V"],"itemData":{"id":707,"type":"article-journal","abstract":"Background\n              Social media platforms are important tools for hospitals. These platforms offer many potential benefits in various areas of application for hospitals to connect and interact with their stakeholders. However, hospitals differ immensely in their social media adoption. There are studies that provide initial findings on individual factors influencing social media adoption by hospitals, but there is no comprehensive and integrated model.\n            \n            \n              Objective\n              This study aimed to develop a comprehensive model of social media adoption by hospitals in the context of the Swiss health care system and to test the model with empirical data from Switzerland.\n            \n            \n              Methods\n              To develop our model, we applied the general technology-organization-environment framework of organizational technology adoption and adapted it to the specific context of social media adoption by hospitals in Switzerland. To test our model, we collected empirical data on all 283 hospitals in Switzerland and identified the accounts they operate on 7 different social media platforms (Facebook, Google+, Twitter, Instagram, LinkedIn, XING, and YouTube). We tested the hypotheses of our model by means of binary logistic regression (dependent variable: platform adoption) and negative binomial regression (dependent variable: number of different platforms adopted).\n            \n            \n              Results\n              Our general model on social media adoption received broad support. Overall, hospitals in Switzerland are more likely to adopt social media if they have a higher share of patients with voluntary health insurance or have a higher patient volume. In contrast, they are less likely to operate their own social media accounts if they are associated with a hospital network. However, some hypotheses of our model received only partial support for specific social media platforms; for instance, hospitals in Switzerland are more likely to adopt XING if they provide an educational program and are more likely to adopt LinkedIn if they are located in regions with higher competition intensity.\n            \n            \n              Conclusions\n              Our study provides a comprehensive model of social media adoption by hospitals in Switzerland. This model shows, in detail, the factors that influence hospitals in Switzerland in their social media adoption. In addition, it provides a basic framework that might be helpful in systematically developing and testing comprehensive models of social media adoption by hospitals in other countries.","container-title":"Journal of Medical Internet Research","DOI":"10.2196/16995","ISSN":"1438-8871","issue":"3","journalAbbreviation":"J Med Internet Res","language":"en","page":"e16995","source":"DOI.org (Crossref)","title":"Technological, Organizational, and Environmental Factors Influencing Social Media Adoption by Hospitals in Switzerland: Cross-Sectional Study","title-short":"Technological, Organizational, and Environmental Factors Influencing Social Media Adoption by Hospitals in Switzerland","volume":"22","author":[{"family":"Beier","given":"Michael"},{"family":"Früh","given":"Sebastian"}],"issued":{"date-parts":[["2020",3,9]]}}}],"schema":"https://github.com/citation-style-language/schema/raw/master/csl-citation.json"} </w:instrText>
      </w:r>
      <w:r w:rsidR="00D246C0" w:rsidRPr="004C63D2">
        <w:rPr>
          <w:color w:val="000000"/>
        </w:rPr>
        <w:fldChar w:fldCharType="separate"/>
      </w:r>
      <w:r w:rsidR="00D246C0" w:rsidRPr="004C63D2">
        <w:rPr>
          <w:rFonts w:eastAsiaTheme="minorEastAsia"/>
          <w:color w:val="000000"/>
          <w14:ligatures w14:val="standardContextual"/>
        </w:rPr>
        <w:t xml:space="preserve">(Beier and </w:t>
      </w:r>
      <w:proofErr w:type="spellStart"/>
      <w:r w:rsidR="00D246C0" w:rsidRPr="004C63D2">
        <w:rPr>
          <w:rFonts w:eastAsiaTheme="minorEastAsia"/>
          <w:color w:val="000000"/>
          <w14:ligatures w14:val="standardContextual"/>
        </w:rPr>
        <w:t>Früh</w:t>
      </w:r>
      <w:proofErr w:type="spellEnd"/>
      <w:r w:rsidR="00D246C0" w:rsidRPr="004C63D2">
        <w:rPr>
          <w:rFonts w:eastAsiaTheme="minorEastAsia"/>
          <w:color w:val="000000"/>
          <w14:ligatures w14:val="standardContextual"/>
        </w:rPr>
        <w:t>, 2020)</w:t>
      </w:r>
      <w:r w:rsidR="00D246C0" w:rsidRPr="004C63D2">
        <w:rPr>
          <w:color w:val="000000"/>
        </w:rPr>
        <w:fldChar w:fldCharType="end"/>
      </w:r>
      <w:r w:rsidRPr="004C63D2">
        <w:rPr>
          <w:color w:val="000000"/>
        </w:rPr>
        <w:t>.</w:t>
      </w:r>
    </w:p>
    <w:p w14:paraId="5A4A2976" w14:textId="63F58C57" w:rsidR="00CA1025" w:rsidRPr="004C63D2" w:rsidRDefault="00CA1025" w:rsidP="00383675">
      <w:pPr>
        <w:spacing w:before="100" w:beforeAutospacing="1" w:after="100" w:afterAutospacing="1"/>
        <w:jc w:val="both"/>
        <w:rPr>
          <w:color w:val="000000"/>
        </w:rPr>
      </w:pPr>
      <w:r w:rsidRPr="004C63D2">
        <w:rPr>
          <w:color w:val="000000"/>
        </w:rPr>
        <w:t>A major strength of TOE is its flexibility and adaptability. Researchers routinely tailor TOE constructs to fit specific technologies and sectors, ranging from telemedicine and big data to emerging innovations like telerehabilitation and AI. This adaptability affirms TOE's relevance regardless of the technological context</w:t>
      </w:r>
      <w:r w:rsidR="0073758A" w:rsidRPr="004C63D2">
        <w:rPr>
          <w:color w:val="000000"/>
        </w:rPr>
        <w:t xml:space="preserve"> </w:t>
      </w:r>
      <w:r w:rsidR="0073758A" w:rsidRPr="004C63D2">
        <w:rPr>
          <w:color w:val="000000"/>
        </w:rPr>
        <w:fldChar w:fldCharType="begin"/>
      </w:r>
      <w:r w:rsidR="0073758A" w:rsidRPr="004C63D2">
        <w:rPr>
          <w:color w:val="000000"/>
        </w:rPr>
        <w:instrText xml:space="preserve"> ADDIN ZOTERO_ITEM CSL_CITATION {"citationID":"V8J1ueN8","properties":{"formattedCitation":"(Ngongo {\\i{}et al.}, 2019)","plainCitation":"(Ngongo et al., 2019)","noteIndex":0},"citationItems":[{"id":700,"uris":["http://zotero.org/users/16099821/items/MJ42LEXQ"],"itemData":{"id":700,"type":"article-journal","container-title":"PLOS ONE","DOI":"10.1371/journal.pone.0225167","ISSN":"1932-6203","issue":"12","journalAbbreviation":"PLoS ONE","language":"en","page":"e0225167","source":"DOI.org (Crossref)","title":"The technological, organizational and environmental determinants of adoption of mobile health applications (m-health) by hospitals in Kenya","volume":"14","author":[{"family":"Ngongo","given":"Bahati Prince"},{"family":"Ochola","given":"Phares"},{"family":"Ndegwa","given":"Joyce"},{"family":"Katuse","given":"Paul"}],"editor":[{"family":"Legido-Quigley","given":"Helena"}],"issued":{"date-parts":[["2019",12,13]]}}}],"schema":"https://github.com/citation-style-language/schema/raw/master/csl-citation.json"} </w:instrText>
      </w:r>
      <w:r w:rsidR="0073758A" w:rsidRPr="004C63D2">
        <w:rPr>
          <w:color w:val="000000"/>
        </w:rPr>
        <w:fldChar w:fldCharType="separate"/>
      </w:r>
      <w:r w:rsidR="0073758A" w:rsidRPr="004C63D2">
        <w:rPr>
          <w:rFonts w:eastAsiaTheme="minorEastAsia"/>
          <w:color w:val="000000"/>
          <w14:ligatures w14:val="standardContextual"/>
        </w:rPr>
        <w:t xml:space="preserve">(Ngongo </w:t>
      </w:r>
      <w:r w:rsidR="0073758A" w:rsidRPr="004C63D2">
        <w:rPr>
          <w:rFonts w:eastAsiaTheme="minorEastAsia"/>
          <w:i/>
          <w:iCs/>
          <w:color w:val="000000"/>
          <w14:ligatures w14:val="standardContextual"/>
        </w:rPr>
        <w:t>et al.</w:t>
      </w:r>
      <w:r w:rsidR="0073758A" w:rsidRPr="004C63D2">
        <w:rPr>
          <w:rFonts w:eastAsiaTheme="minorEastAsia"/>
          <w:color w:val="000000"/>
          <w14:ligatures w14:val="standardContextual"/>
        </w:rPr>
        <w:t>, 2019)</w:t>
      </w:r>
      <w:r w:rsidR="0073758A" w:rsidRPr="004C63D2">
        <w:rPr>
          <w:color w:val="000000"/>
        </w:rPr>
        <w:fldChar w:fldCharType="end"/>
      </w:r>
      <w:r w:rsidRPr="004C63D2">
        <w:rPr>
          <w:color w:val="000000"/>
        </w:rPr>
        <w:t>. Empirical robustness is another key factor; over the past three decades, the TOE framework has demonstrated strong predictive validity for adoption outcomes in healthcare and other industries, linking organizational readiness with environmental incentives and constraints</w:t>
      </w:r>
      <w:r w:rsidR="00CA147A" w:rsidRPr="004C63D2">
        <w:rPr>
          <w:color w:val="000000"/>
        </w:rPr>
        <w:t xml:space="preserve"> </w:t>
      </w:r>
      <w:r w:rsidR="00CA147A" w:rsidRPr="004C63D2">
        <w:rPr>
          <w:color w:val="000000"/>
        </w:rPr>
        <w:fldChar w:fldCharType="begin"/>
      </w:r>
      <w:r w:rsidR="00CA147A" w:rsidRPr="004C63D2">
        <w:rPr>
          <w:color w:val="000000"/>
        </w:rPr>
        <w:instrText xml:space="preserve"> ADDIN ZOTERO_ITEM CSL_CITATION {"citationID":"YbfHyjzl","properties":{"formattedCitation":"(N\\uc0\\u8217{}Dri and Su, 2024)","plainCitation":"(N’Dri and Su, 2024)","noteIndex":0},"citationItems":[{"id":709,"uris":["http://zotero.org/users/16099821/items/CIT6VE2M"],"itemData":{"id":709,"type":"article-journal","container-title":"Information &amp; Management","DOI":"10.1016/j.im.2024.104030","ISSN":"03787206","issue":"7","journalAbbreviation":"Information &amp; Management","language":"en","page":"104030","source":"DOI.org (Crossref)","title":"Successful configurations of technology–organization–environment factors in digital transformation: Evidence from exporting small and medium-sized enterprises in the manufacturing industry","title-short":"Successful configurations of technology–organization–environment factors in digital transformation","volume":"61","author":[{"family":"N'Dri","given":"Amoin Bernadine"},{"family":"Su","given":"Zhan"}],"issued":{"date-parts":[["2024",11]]}}}],"schema":"https://github.com/citation-style-language/schema/raw/master/csl-citation.json"} </w:instrText>
      </w:r>
      <w:r w:rsidR="00CA147A" w:rsidRPr="004C63D2">
        <w:rPr>
          <w:color w:val="000000"/>
        </w:rPr>
        <w:fldChar w:fldCharType="separate"/>
      </w:r>
      <w:r w:rsidR="00CA147A" w:rsidRPr="004C63D2">
        <w:rPr>
          <w:rFonts w:eastAsiaTheme="minorEastAsia"/>
          <w:color w:val="000000"/>
          <w14:ligatures w14:val="standardContextual"/>
        </w:rPr>
        <w:t>(N’Dri and Su, 2024)</w:t>
      </w:r>
      <w:r w:rsidR="00CA147A" w:rsidRPr="004C63D2">
        <w:rPr>
          <w:color w:val="000000"/>
        </w:rPr>
        <w:fldChar w:fldCharType="end"/>
      </w:r>
      <w:r w:rsidRPr="004C63D2">
        <w:rPr>
          <w:color w:val="000000"/>
        </w:rPr>
        <w:t>.</w:t>
      </w:r>
    </w:p>
    <w:p w14:paraId="6A2573EC" w14:textId="7018BBB5" w:rsidR="00CA1025" w:rsidRPr="004C63D2" w:rsidRDefault="00CA1025" w:rsidP="00383675">
      <w:pPr>
        <w:spacing w:before="100" w:beforeAutospacing="1" w:after="100" w:afterAutospacing="1"/>
        <w:jc w:val="both"/>
        <w:rPr>
          <w:color w:val="000000"/>
        </w:rPr>
      </w:pPr>
      <w:r w:rsidRPr="004C63D2">
        <w:rPr>
          <w:color w:val="000000"/>
        </w:rPr>
        <w:t>Crucially, TOE emphasizes that adoption is fundamentally an organizational-level decision, shaped by leadership, culture, and resource allocation, distinguishing it from individual-centric models such as UTAUT2</w:t>
      </w:r>
      <w:r w:rsidR="00D13E5A" w:rsidRPr="004C63D2">
        <w:rPr>
          <w:color w:val="000000"/>
        </w:rPr>
        <w:t xml:space="preserve"> </w:t>
      </w:r>
      <w:r w:rsidR="00D13E5A" w:rsidRPr="004C63D2">
        <w:rPr>
          <w:color w:val="000000"/>
        </w:rPr>
        <w:fldChar w:fldCharType="begin"/>
      </w:r>
      <w:r w:rsidR="00696D0E" w:rsidRPr="004C63D2">
        <w:rPr>
          <w:color w:val="000000"/>
        </w:rPr>
        <w:instrText xml:space="preserve"> ADDIN ZOTERO_ITEM CSL_CITATION {"citationID":"6bpT4zOC","properties":{"formattedCitation":"(Jeilani and Hussein, 2025)","plainCitation":"(Jeilani and Hussein, 2025)","noteIndex":0},"citationItems":[{"id":704,"uris":["http://zotero.org/users/16099821/items/GWU74EAI","http://zotero.org/users/16099821/items/XSLMJ957"],"itemData":{"id":704,"type":"article-journal","abstract":"BACKGROUND: Digital health technologies (DHT) have become an integral component of modern healthcare systems, offering the potential to improve healthcare delivery and outcomes. Guided by the Technology-Organization-Environment (TOE) framework, this study examines the impact of DHT adoption on healthcare workers' performance and workload in public and private hospitals in Mogadishu, Somalia.\nMETHOD: A stratified random sampling approach was used to collect data from 286 healthcare workers in public and private hospitals. Data were analyzed using Structural Equation Modeling (SEM) to test hypotheses and assess direct and mediating relationships among variables.\nRESULTS: The analysis revealed that DHT significantly improves healthcare workers' performance and workload respectively (β = 0.452, C.R. = 10.150, p &lt; 0.001) and (β = 0.594, C.R. = 9.972, p &lt; 0.001), organizational and environmental factors are positively impacting on healthcare workers' performance (β = 0.327, C.R. = 8.709, p &lt; 0.001) and (β = 0.102, C.R. = 2.872, p = 0.004). Healthcare workers' performance significantly reduces workload (β = 0.594, C.R. = 9.972, p &lt; 0.001) and the mediating role of healthcare workers' performance between DHT and workload were also confirmed (β = 0.281, C.R. = 5.9787, p &lt; 0.001).\nCONCLUSION: The findings underscore the critical role of DHT in enhancing healthcare workers' performance and reducing workload, with the TOE framework and performance acting as significant mediators. These results provide actionable insights for healthcare administrators and policymakers to optimize DHT implementation, support workforce efficiency, and address workload challenges through strategic organizational and environmental adaptations.","container-title":"BMC health services research","DOI":"10.1186/s12913-025-12414-4","ISSN":"1472-6963","issue":"1","journalAbbreviation":"BMC Health Serv Res","language":"eng","note":"PMID: 39966874\nPMCID: PMC11837663","page":"271","source":"PubMed","title":"Impact of digital health technologies adoption on healthcare workers' performance and workload: perspective with DOI and TOE models","title-short":"Impact of digital health technologies adoption on healthcare workers' performance and workload","volume":"25","author":[{"family":"Jeilani","given":"Abdulkadir"},{"family":"Hussein","given":"Abdinur"}],"issued":{"date-parts":[["2025",2,18]]}}}],"schema":"https://github.com/citation-style-language/schema/raw/master/csl-citation.json"} </w:instrText>
      </w:r>
      <w:r w:rsidR="00D13E5A" w:rsidRPr="004C63D2">
        <w:rPr>
          <w:color w:val="000000"/>
        </w:rPr>
        <w:fldChar w:fldCharType="separate"/>
      </w:r>
      <w:r w:rsidR="00696D0E" w:rsidRPr="004C63D2">
        <w:rPr>
          <w:noProof/>
          <w:color w:val="000000"/>
        </w:rPr>
        <w:t>(Jeilani and Hussein, 2025)</w:t>
      </w:r>
      <w:r w:rsidR="00D13E5A" w:rsidRPr="004C63D2">
        <w:rPr>
          <w:color w:val="000000"/>
        </w:rPr>
        <w:fldChar w:fldCharType="end"/>
      </w:r>
      <w:r w:rsidR="00D13E5A" w:rsidRPr="004C63D2">
        <w:rPr>
          <w:color w:val="000000"/>
        </w:rPr>
        <w:t xml:space="preserve">. </w:t>
      </w:r>
      <w:r w:rsidRPr="004C63D2">
        <w:rPr>
          <w:color w:val="000000"/>
        </w:rPr>
        <w:t>Finally, TOE’s explicit accounting for environmental pressures</w:t>
      </w:r>
      <w:r w:rsidR="00716EFD" w:rsidRPr="004C63D2">
        <w:rPr>
          <w:color w:val="000000"/>
        </w:rPr>
        <w:t xml:space="preserve"> such as </w:t>
      </w:r>
      <w:r w:rsidRPr="004C63D2">
        <w:rPr>
          <w:color w:val="000000"/>
        </w:rPr>
        <w:t>government regulation, funding, and industry standards</w:t>
      </w:r>
      <w:r w:rsidR="00716EFD" w:rsidRPr="004C63D2">
        <w:rPr>
          <w:color w:val="000000"/>
        </w:rPr>
        <w:t xml:space="preserve"> </w:t>
      </w:r>
      <w:r w:rsidRPr="004C63D2">
        <w:rPr>
          <w:color w:val="000000"/>
        </w:rPr>
        <w:t>makes it especially valuable for understanding how health systems adapt to external drivers. This is notably relevant in the Hong Kong context, where policy incentives and demographic shifts directly influence digital health adoption</w:t>
      </w:r>
      <w:r w:rsidR="00D13E5A" w:rsidRPr="004C63D2">
        <w:rPr>
          <w:color w:val="000000"/>
        </w:rPr>
        <w:t>.</w:t>
      </w:r>
    </w:p>
    <w:bookmarkEnd w:id="4"/>
    <w:p w14:paraId="14B00D4F" w14:textId="77777777" w:rsidR="00174539" w:rsidRPr="004C63D2" w:rsidRDefault="00174539" w:rsidP="00383675">
      <w:pPr>
        <w:spacing w:before="100" w:beforeAutospacing="1" w:after="100" w:afterAutospacing="1"/>
        <w:jc w:val="both"/>
        <w:outlineLvl w:val="1"/>
        <w:rPr>
          <w:color w:val="000000"/>
        </w:rPr>
      </w:pPr>
    </w:p>
    <w:p w14:paraId="193BB87D" w14:textId="4FA554B9" w:rsidR="006629B2" w:rsidRPr="004C63D2" w:rsidRDefault="00D634DD" w:rsidP="00383675">
      <w:pPr>
        <w:spacing w:before="100" w:beforeAutospacing="1" w:after="100" w:afterAutospacing="1"/>
        <w:jc w:val="both"/>
        <w:outlineLvl w:val="1"/>
        <w:rPr>
          <w:b/>
          <w:bCs/>
          <w:color w:val="000000"/>
        </w:rPr>
      </w:pPr>
      <w:r w:rsidRPr="004C63D2">
        <w:rPr>
          <w:b/>
          <w:bCs/>
          <w:color w:val="000000"/>
        </w:rPr>
        <w:t>TOE in the context of Telerehabilitation</w:t>
      </w:r>
    </w:p>
    <w:p w14:paraId="6516E97E" w14:textId="77777777" w:rsidR="005B3650" w:rsidRPr="004C63D2" w:rsidRDefault="005B3650" w:rsidP="00383675">
      <w:pPr>
        <w:spacing w:before="100" w:beforeAutospacing="1" w:after="100" w:afterAutospacing="1"/>
        <w:jc w:val="both"/>
        <w:outlineLvl w:val="2"/>
        <w:rPr>
          <w:b/>
          <w:bCs/>
          <w:color w:val="000000"/>
        </w:rPr>
      </w:pPr>
      <w:r w:rsidRPr="004C63D2">
        <w:rPr>
          <w:b/>
          <w:bCs/>
          <w:color w:val="000000"/>
        </w:rPr>
        <w:t>1. Technological Context</w:t>
      </w:r>
    </w:p>
    <w:p w14:paraId="0DA32C84" w14:textId="78A94BE4" w:rsidR="00FC1C02" w:rsidRPr="004C63D2" w:rsidRDefault="00FC1C02" w:rsidP="00383675">
      <w:pPr>
        <w:jc w:val="both"/>
        <w:rPr>
          <w:color w:val="000000"/>
        </w:rPr>
      </w:pPr>
      <w:r w:rsidRPr="004C63D2">
        <w:rPr>
          <w:color w:val="000000"/>
        </w:rPr>
        <w:lastRenderedPageBreak/>
        <w:t>The adoption of telerehabilitation technologies</w:t>
      </w:r>
      <w:r w:rsidR="009A5774" w:rsidRPr="004C63D2">
        <w:rPr>
          <w:color w:val="000000"/>
        </w:rPr>
        <w:t xml:space="preserve"> </w:t>
      </w:r>
      <w:r w:rsidRPr="004C63D2">
        <w:rPr>
          <w:color w:val="000000"/>
        </w:rPr>
        <w:t>such as mobile applications, remote monitoring devices, and teleconsultation platforms</w:t>
      </w:r>
      <w:r w:rsidR="009A5774" w:rsidRPr="004C63D2">
        <w:rPr>
          <w:color w:val="000000"/>
        </w:rPr>
        <w:t xml:space="preserve"> </w:t>
      </w:r>
      <w:r w:rsidRPr="004C63D2">
        <w:rPr>
          <w:color w:val="000000"/>
        </w:rPr>
        <w:t>by organizations is shaped by several key factors related to their technological characteristics. Relative advantage is an important consideration, as organizations assess whether telerehabilitation can deliver improved rehabilitation outcomes, including reductions in frailty, enhancements in quality of life, or increased mobility, when compared to traditional in-person care. Compatibility is also crucial, referring to the extent to which telerehabilitation aligns with existing clinical workflows, IT systems, and the rehabilitation practices already established in elderly care centers.</w:t>
      </w:r>
    </w:p>
    <w:p w14:paraId="5CE9C1B8" w14:textId="77777777" w:rsidR="00FC1C02" w:rsidRPr="004C63D2" w:rsidRDefault="00FC1C02" w:rsidP="00383675">
      <w:pPr>
        <w:jc w:val="both"/>
        <w:rPr>
          <w:color w:val="000000"/>
        </w:rPr>
      </w:pPr>
    </w:p>
    <w:p w14:paraId="39CE0A76" w14:textId="36B2A960" w:rsidR="005B3650" w:rsidRPr="004C63D2" w:rsidRDefault="00FC1C02" w:rsidP="00383675">
      <w:pPr>
        <w:jc w:val="both"/>
        <w:rPr>
          <w:color w:val="000000"/>
        </w:rPr>
      </w:pPr>
      <w:r w:rsidRPr="004C63D2">
        <w:rPr>
          <w:color w:val="000000"/>
        </w:rPr>
        <w:t>Another vital factor is complexity, which encompasses the perceived challenges associated with implementing and maintaining telerehabilitation systems, as well as the necessity for staff training and ongoing technical support. Additionally, the concepts of trialability and observability play significant roles; having opportunities to pilot new apps and to observe tangible, measurable improvements, such as increased walking distance or better grip strength among patients, allows organizations to make informed decisions prior to full-scale adoption. Finally, technology readiness—including the availability of a robust IT infrastructure, secure connectivity, and user-friendly platforms designed for older adults—serves as a foundational requirement for successful implementation and sustained use of telerehabilitation tools.</w:t>
      </w:r>
    </w:p>
    <w:p w14:paraId="700C0F1F" w14:textId="77777777" w:rsidR="00872B59" w:rsidRPr="004C63D2" w:rsidRDefault="00872B59" w:rsidP="00383675">
      <w:pPr>
        <w:jc w:val="both"/>
      </w:pPr>
    </w:p>
    <w:p w14:paraId="3074147E" w14:textId="77777777" w:rsidR="005B3650" w:rsidRPr="004C63D2" w:rsidRDefault="005B3650" w:rsidP="00383675">
      <w:pPr>
        <w:spacing w:before="100" w:beforeAutospacing="1" w:after="100" w:afterAutospacing="1"/>
        <w:jc w:val="both"/>
        <w:outlineLvl w:val="2"/>
        <w:rPr>
          <w:b/>
          <w:bCs/>
          <w:color w:val="000000"/>
        </w:rPr>
      </w:pPr>
      <w:r w:rsidRPr="004C63D2">
        <w:rPr>
          <w:b/>
          <w:bCs/>
          <w:color w:val="000000"/>
        </w:rPr>
        <w:t>2. Organizational Context</w:t>
      </w:r>
    </w:p>
    <w:p w14:paraId="6A300164" w14:textId="7A8966FE" w:rsidR="00002966" w:rsidRPr="004C63D2" w:rsidRDefault="00002966" w:rsidP="00383675">
      <w:pPr>
        <w:jc w:val="both"/>
        <w:rPr>
          <w:color w:val="000000"/>
        </w:rPr>
      </w:pPr>
      <w:r w:rsidRPr="004C63D2">
        <w:rPr>
          <w:color w:val="000000"/>
        </w:rPr>
        <w:t>Internal capacity, culture, and resource availability are pivotal in shaping the adoption of telerehabilitation within community-based elderly care organizations. A critical factor is top management support, which involves the commitment of leadership to advocate for telerehabilitation, allocate necessary resources, and effectively oversee organizational change. The availability of resources, especially financial, is essential for funding licenses for technology platforms, providing staff training, and investing in IT infrastructure required for successful implementation.</w:t>
      </w:r>
    </w:p>
    <w:p w14:paraId="4EB236D7" w14:textId="77777777" w:rsidR="00002966" w:rsidRPr="004C63D2" w:rsidRDefault="00002966" w:rsidP="00383675">
      <w:pPr>
        <w:jc w:val="both"/>
        <w:rPr>
          <w:color w:val="000000"/>
        </w:rPr>
      </w:pPr>
    </w:p>
    <w:p w14:paraId="4F14BD47" w14:textId="4D6E24A9" w:rsidR="00002966" w:rsidRPr="004C63D2" w:rsidRDefault="00002966" w:rsidP="00383675">
      <w:pPr>
        <w:jc w:val="both"/>
        <w:rPr>
          <w:color w:val="000000"/>
        </w:rPr>
      </w:pPr>
      <w:r w:rsidRPr="004C63D2">
        <w:rPr>
          <w:color w:val="000000"/>
        </w:rPr>
        <w:t>Staff readiness and digital literacy also play an important role, as the willingness and competence of clinicians and therapists to integrate telerehabilitation directly impacts its acceptance and effectiveness. The organizational culture serves as another influential element, with the degree of openness to innovation and a willingness to explore technology-driven care models facilitating the transition to remote care. Finally, the size and structure of the organization are relevant considerations; larger centers may benefit from greater resource availability, while smaller centers might capitalize on their agility and capacity for rapid adoption and experimentation.</w:t>
      </w:r>
    </w:p>
    <w:p w14:paraId="1976D924" w14:textId="77777777" w:rsidR="00002966" w:rsidRPr="004C63D2" w:rsidRDefault="00002966" w:rsidP="00383675">
      <w:pPr>
        <w:jc w:val="both"/>
        <w:rPr>
          <w:color w:val="000000"/>
        </w:rPr>
      </w:pPr>
    </w:p>
    <w:p w14:paraId="25654A92" w14:textId="77777777" w:rsidR="005B3650" w:rsidRPr="004C63D2" w:rsidRDefault="005B3650" w:rsidP="00383675">
      <w:pPr>
        <w:spacing w:before="100" w:beforeAutospacing="1" w:after="100" w:afterAutospacing="1"/>
        <w:jc w:val="both"/>
        <w:outlineLvl w:val="2"/>
        <w:rPr>
          <w:b/>
          <w:bCs/>
          <w:color w:val="000000"/>
        </w:rPr>
      </w:pPr>
      <w:r w:rsidRPr="004C63D2">
        <w:rPr>
          <w:b/>
          <w:bCs/>
          <w:color w:val="000000"/>
        </w:rPr>
        <w:t>3. Environmental Context</w:t>
      </w:r>
    </w:p>
    <w:p w14:paraId="4856564B" w14:textId="1F6919EF" w:rsidR="00FA2F99" w:rsidRPr="004C63D2" w:rsidRDefault="00FA2F99" w:rsidP="00383675">
      <w:pPr>
        <w:jc w:val="both"/>
        <w:rPr>
          <w:color w:val="000000"/>
        </w:rPr>
      </w:pPr>
      <w:r w:rsidRPr="004C63D2">
        <w:rPr>
          <w:color w:val="000000"/>
        </w:rPr>
        <w:t xml:space="preserve">External drivers and constraints play a crucial role in determining whether and how telerehabilitation is adopted by elderly care organizations. The regulatory environment, shaped by government policy initiatives such as those promoting primary care and smart healthcare technologies in Hong Kong, sets the tone for innovation and provides a guiding framework for adoption. Funding and incentives, including the provision of subsidies or grants, are instrumental </w:t>
      </w:r>
      <w:r w:rsidRPr="004C63D2">
        <w:rPr>
          <w:color w:val="000000"/>
        </w:rPr>
        <w:lastRenderedPageBreak/>
        <w:t>in supporting the deployment of new technologies within community elderly care settings, helping organizations overcome financial barriers to entry.</w:t>
      </w:r>
    </w:p>
    <w:p w14:paraId="3339638C" w14:textId="77777777" w:rsidR="00FA2F99" w:rsidRPr="004C63D2" w:rsidRDefault="00FA2F99" w:rsidP="00383675">
      <w:pPr>
        <w:jc w:val="both"/>
        <w:rPr>
          <w:color w:val="000000"/>
        </w:rPr>
      </w:pPr>
    </w:p>
    <w:p w14:paraId="3BACC5B4" w14:textId="606265E9" w:rsidR="00FA2F99" w:rsidRPr="004C63D2" w:rsidRDefault="00FA2F99" w:rsidP="00383675">
      <w:pPr>
        <w:jc w:val="both"/>
        <w:rPr>
          <w:color w:val="000000"/>
        </w:rPr>
      </w:pPr>
      <w:r w:rsidRPr="004C63D2">
        <w:rPr>
          <w:color w:val="000000"/>
        </w:rPr>
        <w:t xml:space="preserve">Patient demand and caregiver expectations are also significant, as growing acceptance of remote care solutions among families increases the push for accessible and affordable rehabilitation options for older adults. Additionally, competitive and peer pressures influence adoption decisions; when similar organizations adopt telerehabilitation, mimetic pressures can prompt others to follow suit </w:t>
      </w:r>
      <w:proofErr w:type="gramStart"/>
      <w:r w:rsidRPr="004C63D2">
        <w:rPr>
          <w:color w:val="000000"/>
        </w:rPr>
        <w:t>in order to</w:t>
      </w:r>
      <w:proofErr w:type="gramEnd"/>
      <w:r w:rsidRPr="004C63D2">
        <w:rPr>
          <w:color w:val="000000"/>
        </w:rPr>
        <w:t xml:space="preserve"> remain competitive or aligned with sector trends. Equally important is technology vendor support—the presence of reliable external partners, such as app developers and IT support providers, facilitates the customization, ongoing maintenance, and effective training necessary for sustainable telerehabilitation implementation.</w:t>
      </w:r>
    </w:p>
    <w:p w14:paraId="17ADC3C3" w14:textId="30FA52F6" w:rsidR="00B9001B" w:rsidRPr="004C63D2" w:rsidRDefault="00B9001B" w:rsidP="00383675">
      <w:pPr>
        <w:spacing w:before="100" w:beforeAutospacing="1" w:after="100" w:afterAutospacing="1"/>
        <w:jc w:val="both"/>
        <w:rPr>
          <w:color w:val="000000"/>
        </w:rPr>
      </w:pPr>
      <w:r w:rsidRPr="004C63D2">
        <w:rPr>
          <w:color w:val="000000"/>
        </w:rPr>
        <w:t xml:space="preserve">The TOE framework operationalizes the complex drivers of organizational adoption by addressing three distinct levels. At the technological level, the framework ensures that tools and systems introduced into elderly care organizations are not only functional but also user-friendly and capable of delivering demonstrable benefits, thereby encouraging confidence and buy-in from both staff and patients. Organizationally, the TOE model requires that internal capacity—such as resources and infrastructure—alongside leadership commitment, are sufficiently aligned with the demands of innovation. This alignment is fundamental for successful implementation, as it fosters readiness and adaptability within organizations. The environmental level of TOE captures the broader ecosystem influencing adoption, </w:t>
      </w:r>
      <w:proofErr w:type="gramStart"/>
      <w:r w:rsidRPr="004C63D2">
        <w:rPr>
          <w:color w:val="000000"/>
        </w:rPr>
        <w:t>taking into account</w:t>
      </w:r>
      <w:proofErr w:type="gramEnd"/>
      <w:r w:rsidRPr="004C63D2">
        <w:rPr>
          <w:color w:val="000000"/>
        </w:rPr>
        <w:t xml:space="preserve"> government policy, patient expectations, and market pressures that frame the decision-making and strategic orientation of elderly care organizations. Through this mapping, the TOE framework provides a comprehensive and practical lens for analyzing the interdependent factors that shape technological adoption in community settings</w:t>
      </w:r>
      <w:r w:rsidR="006D39E3" w:rsidRPr="004C63D2">
        <w:rPr>
          <w:color w:val="000000"/>
        </w:rPr>
        <w:t xml:space="preserve"> </w:t>
      </w:r>
      <w:r w:rsidR="006D39E3" w:rsidRPr="004C63D2">
        <w:rPr>
          <w:color w:val="000000"/>
        </w:rPr>
        <w:fldChar w:fldCharType="begin"/>
      </w:r>
      <w:r w:rsidR="00902007" w:rsidRPr="004C63D2">
        <w:rPr>
          <w:color w:val="000000"/>
        </w:rPr>
        <w:instrText xml:space="preserve"> ADDIN ZOTERO_ITEM CSL_CITATION {"citationID":"OBytwj5t","properties":{"formattedCitation":"(N\\uc0\\u8217{}Dri and Su, 2024)","plainCitation":"(N’Dri and Su, 2024)","noteIndex":0},"citationItems":[{"id":709,"uris":["http://zotero.org/users/16099821/items/CIT6VE2M"],"itemData":{"id":709,"type":"article-journal","container-title":"Information &amp; Management","DOI":"10.1016/j.im.2024.104030","ISSN":"03787206","issue":"7","journalAbbreviation":"Information &amp; Management","language":"en","page":"104030","source":"DOI.org (Crossref)","title":"Successful configurations of technology–organization–environment factors in digital transformation: Evidence from exporting small and medium-sized enterprises in the manufacturing industry","title-short":"Successful configurations of technology–organization–environment factors in digital transformation","volume":"61","author":[{"family":"N'Dri","given":"Amoin Bernadine"},{"family":"Su","given":"Zhan"}],"issued":{"date-parts":[["2024",11]]}}}],"schema":"https://github.com/citation-style-language/schema/raw/master/csl-citation.json"} </w:instrText>
      </w:r>
      <w:r w:rsidR="006D39E3" w:rsidRPr="004C63D2">
        <w:rPr>
          <w:color w:val="000000"/>
        </w:rPr>
        <w:fldChar w:fldCharType="separate"/>
      </w:r>
      <w:r w:rsidR="00902007" w:rsidRPr="004C63D2">
        <w:rPr>
          <w:rFonts w:eastAsiaTheme="minorEastAsia"/>
          <w:color w:val="000000"/>
          <w14:ligatures w14:val="standardContextual"/>
        </w:rPr>
        <w:t>(N’Dri and Su, 2024)</w:t>
      </w:r>
      <w:r w:rsidR="006D39E3" w:rsidRPr="004C63D2">
        <w:rPr>
          <w:color w:val="000000"/>
        </w:rPr>
        <w:fldChar w:fldCharType="end"/>
      </w:r>
      <w:r w:rsidRPr="004C63D2">
        <w:rPr>
          <w:color w:val="000000"/>
        </w:rPr>
        <w:t>.</w:t>
      </w:r>
    </w:p>
    <w:p w14:paraId="4257393E" w14:textId="47A3CC8D" w:rsidR="003C1D24" w:rsidRPr="004C63D2" w:rsidRDefault="005B3650" w:rsidP="00383675">
      <w:pPr>
        <w:spacing w:before="100" w:beforeAutospacing="1" w:after="100" w:afterAutospacing="1"/>
        <w:jc w:val="both"/>
        <w:rPr>
          <w:color w:val="000000"/>
        </w:rPr>
      </w:pPr>
      <w:r w:rsidRPr="004C63D2">
        <w:rPr>
          <w:color w:val="000000"/>
        </w:rPr>
        <w:t>In Hong Kong’s healthcare system, where </w:t>
      </w:r>
      <w:r w:rsidRPr="004C63D2">
        <w:rPr>
          <w:b/>
          <w:bCs/>
          <w:color w:val="000000"/>
        </w:rPr>
        <w:t>aging demographics</w:t>
      </w:r>
      <w:r w:rsidRPr="004C63D2">
        <w:rPr>
          <w:color w:val="000000"/>
        </w:rPr>
        <w:t>, </w:t>
      </w:r>
      <w:r w:rsidRPr="004C63D2">
        <w:rPr>
          <w:b/>
          <w:bCs/>
          <w:color w:val="000000"/>
        </w:rPr>
        <w:t>government primary care initiatives</w:t>
      </w:r>
      <w:r w:rsidRPr="004C63D2">
        <w:rPr>
          <w:color w:val="000000"/>
        </w:rPr>
        <w:t>, and </w:t>
      </w:r>
      <w:r w:rsidRPr="004C63D2">
        <w:rPr>
          <w:b/>
          <w:bCs/>
          <w:color w:val="000000"/>
        </w:rPr>
        <w:t>promotion of smart health technologies</w:t>
      </w:r>
      <w:r w:rsidRPr="004C63D2">
        <w:rPr>
          <w:color w:val="000000"/>
        </w:rPr>
        <w:t xml:space="preserve"> are shaping new service delivery models, the TOE framework provides a powerful, structured way to analyze why some organizations adopt telerehabilitation successfully while others </w:t>
      </w:r>
      <w:proofErr w:type="gramStart"/>
      <w:r w:rsidRPr="004C63D2">
        <w:rPr>
          <w:color w:val="000000"/>
        </w:rPr>
        <w:t>lag behind</w:t>
      </w:r>
      <w:proofErr w:type="gramEnd"/>
      <w:r w:rsidRPr="004C63D2">
        <w:rPr>
          <w:color w:val="000000"/>
        </w:rPr>
        <w:t>.</w:t>
      </w:r>
    </w:p>
    <w:p w14:paraId="5A28CD3D" w14:textId="4471786A" w:rsidR="003C1D24" w:rsidRPr="004C63D2" w:rsidRDefault="003C1D24" w:rsidP="00383675">
      <w:pPr>
        <w:spacing w:before="100" w:beforeAutospacing="1" w:after="100" w:afterAutospacing="1"/>
        <w:jc w:val="both"/>
        <w:rPr>
          <w:color w:val="000000"/>
        </w:rPr>
      </w:pPr>
      <w:r w:rsidRPr="004C63D2">
        <w:rPr>
          <w:color w:val="000000"/>
        </w:rPr>
        <w:t>The Technology–Organization–Environment (TOE) framework is highly relevant for explaining organizational adoption of innovations in healthcare and information technology, owing to its extensive use in academic and practical analyses. TOE encompasses three core dimensions: technology, organization, and environment. The technological dimension evaluates how well new solutions align with existing systems, the perceived benefits of adoption, and potential complexity. The organizational dimension focuses on leadership support, available resources, organizational culture, and staff readiness, which collectively determine an organization’s capacity for change. The environmental context considers regulatory requirements, reimbursement structures, competitive dynamics, and partnership opportunities that frame the adoption climate. The key strength of TOE lies in its holistic approach, balancing internal and external factors to provide a nuanced understanding of adoption processes. However, its broad scope means that TOE sometimes lacks behavioral specificity, and it is often beneficial to integrate this framework with complementary models to more deeply examine individual or group behaviors within organizations.</w:t>
      </w:r>
    </w:p>
    <w:p w14:paraId="5C9E633A" w14:textId="77777777" w:rsidR="00E74314" w:rsidRPr="004C63D2" w:rsidRDefault="00E74314" w:rsidP="00383675">
      <w:pPr>
        <w:spacing w:before="100" w:beforeAutospacing="1" w:after="100" w:afterAutospacing="1"/>
        <w:jc w:val="both"/>
        <w:outlineLvl w:val="1"/>
        <w:rPr>
          <w:color w:val="000000"/>
        </w:rPr>
      </w:pPr>
    </w:p>
    <w:p w14:paraId="395EBC1B" w14:textId="77777777" w:rsidR="00D508AD" w:rsidRPr="004C63D2" w:rsidRDefault="00D508AD" w:rsidP="00383675">
      <w:pPr>
        <w:spacing w:before="100" w:beforeAutospacing="1" w:after="100" w:afterAutospacing="1"/>
        <w:jc w:val="both"/>
        <w:outlineLvl w:val="1"/>
        <w:rPr>
          <w:b/>
          <w:bCs/>
          <w:color w:val="000000"/>
        </w:rPr>
      </w:pPr>
    </w:p>
    <w:p w14:paraId="189EDB02" w14:textId="79AB3D61" w:rsidR="00F249C4" w:rsidRPr="004C63D2" w:rsidRDefault="00E74314" w:rsidP="00383675">
      <w:pPr>
        <w:spacing w:before="100" w:beforeAutospacing="1" w:after="100" w:afterAutospacing="1"/>
        <w:jc w:val="both"/>
        <w:outlineLvl w:val="1"/>
        <w:rPr>
          <w:b/>
          <w:bCs/>
          <w:color w:val="000000"/>
        </w:rPr>
      </w:pPr>
      <w:r w:rsidRPr="004C63D2">
        <w:rPr>
          <w:b/>
          <w:bCs/>
          <w:color w:val="000000"/>
        </w:rPr>
        <w:t>2.2.</w:t>
      </w:r>
      <w:r w:rsidR="00F249C4" w:rsidRPr="004C63D2">
        <w:rPr>
          <w:b/>
          <w:bCs/>
          <w:color w:val="000000"/>
        </w:rPr>
        <w:t>2. Institutional Theory</w:t>
      </w:r>
    </w:p>
    <w:p w14:paraId="17436454" w14:textId="77777777" w:rsidR="00A93B6B" w:rsidRPr="004C63D2" w:rsidRDefault="00A93B6B" w:rsidP="00383675">
      <w:pPr>
        <w:spacing w:before="100" w:beforeAutospacing="1" w:after="100" w:afterAutospacing="1"/>
        <w:jc w:val="both"/>
        <w:outlineLvl w:val="2"/>
        <w:rPr>
          <w:b/>
          <w:bCs/>
          <w:color w:val="000000"/>
        </w:rPr>
      </w:pPr>
      <w:r w:rsidRPr="004C63D2">
        <w:rPr>
          <w:b/>
          <w:bCs/>
          <w:color w:val="000000"/>
        </w:rPr>
        <w:t>Conceptual Foundations</w:t>
      </w:r>
    </w:p>
    <w:p w14:paraId="0F6CA7F6" w14:textId="2547FA09" w:rsidR="00A93B6B" w:rsidRPr="004C63D2" w:rsidRDefault="00A93B6B" w:rsidP="00383675">
      <w:pPr>
        <w:spacing w:before="100" w:beforeAutospacing="1" w:after="100" w:afterAutospacing="1"/>
        <w:jc w:val="both"/>
        <w:rPr>
          <w:color w:val="000000"/>
        </w:rPr>
      </w:pPr>
      <w:r w:rsidRPr="004C63D2">
        <w:rPr>
          <w:color w:val="000000"/>
        </w:rPr>
        <w:t xml:space="preserve">Institutional Theory </w:t>
      </w:r>
      <w:r w:rsidR="009E63BD" w:rsidRPr="004C63D2">
        <w:rPr>
          <w:color w:val="000000"/>
        </w:rPr>
        <w:fldChar w:fldCharType="begin"/>
      </w:r>
      <w:r w:rsidR="009E63BD" w:rsidRPr="004C63D2">
        <w:rPr>
          <w:color w:val="000000"/>
        </w:rPr>
        <w:instrText xml:space="preserve"> ADDIN ZOTERO_ITEM CSL_CITATION {"citationID":"dCjukBxa","properties":{"formattedCitation":"(Meyer and Rowan, 1977)","plainCitation":"(Meyer and Rowan, 1977)","noteIndex":0},"citationItems":[{"id":724,"uris":["http://zotero.org/users/16099821/items/MIGE9J7Q"],"itemData":{"id":724,"type":"article-journal","container-title":"American Journal of Sociology","DOI":"10.1086/226550","ISSN":"0002-9602, 1537-5390","issue":"2","journalAbbreviation":"American Journal of Sociology","language":"en","page":"340-363","source":"DOI.org (Crossref)","title":"Institutionalized Organizations: Formal Structure as Myth and Ceremony","title-short":"Institutionalized Organizations","volume":"83","author":[{"family":"Meyer","given":"John W."},{"family":"Rowan","given":"Brian"}],"issued":{"date-parts":[["1977",9]]}}}],"schema":"https://github.com/citation-style-language/schema/raw/master/csl-citation.json"} </w:instrText>
      </w:r>
      <w:r w:rsidR="009E63BD" w:rsidRPr="004C63D2">
        <w:rPr>
          <w:color w:val="000000"/>
        </w:rPr>
        <w:fldChar w:fldCharType="separate"/>
      </w:r>
      <w:r w:rsidR="009E63BD" w:rsidRPr="004C63D2">
        <w:rPr>
          <w:noProof/>
          <w:color w:val="000000"/>
        </w:rPr>
        <w:t>(Meyer and Rowan, 1977)</w:t>
      </w:r>
      <w:r w:rsidR="009E63BD" w:rsidRPr="004C63D2">
        <w:rPr>
          <w:color w:val="000000"/>
        </w:rPr>
        <w:fldChar w:fldCharType="end"/>
      </w:r>
      <w:r w:rsidR="00A365B7" w:rsidRPr="004C63D2">
        <w:rPr>
          <w:color w:val="000000"/>
        </w:rPr>
        <w:fldChar w:fldCharType="begin"/>
      </w:r>
      <w:r w:rsidR="00A365B7" w:rsidRPr="004C63D2">
        <w:rPr>
          <w:color w:val="000000"/>
        </w:rPr>
        <w:instrText xml:space="preserve"> ADDIN ZOTERO_ITEM CSL_CITATION {"citationID":"pfNwL4kD","properties":{"formattedCitation":"(DiMaggio and Powell, 1983)","plainCitation":"(DiMaggio and Powell, 1983)","noteIndex":0},"citationItems":[{"id":660,"uris":["http://zotero.org/users/16099821/items/E9JV5Y8B"],"itemData":{"id":660,"type":"article-journal","abstract":"What makes organizations so similar? We contend that the engine of rationalization and bureaucratization has moved from the competitive marketplace to the state and the professions. Once a set of organizations emerges as a field, a paradox arises: rational actors make their organizations increasingly similar as they try to change them. We describe three isomorphic processes--coercive, mimetic, and normative--leading to this outcome. We then specify hypotheses about the impact of resource centralization and dependency, goal ambiguity and technical uncertainty, and professionalization and structuration on isomorphic change. Finally, we suggest implications for theories of organizations and social change.","container-title":"American Sociological Review","DOI":"10.2307/2095101","ISSN":"0003-1224","issue":"2","note":"publisher: [American Sociological Association, Sage Publications, Inc.]","page":"147-160","source":"JSTOR","title":"The Iron Cage Revisited: Institutional Isomorphism and Collective Rationality in Organizational Fields","title-short":"The Iron Cage Revisited","volume":"48","author":[{"family":"DiMaggio","given":"Paul J."},{"family":"Powell","given":"Walter W."}],"issued":{"date-parts":[["1983"]]}}}],"schema":"https://github.com/citation-style-language/schema/raw/master/csl-citation.json"} </w:instrText>
      </w:r>
      <w:r w:rsidR="00A365B7" w:rsidRPr="004C63D2">
        <w:rPr>
          <w:color w:val="000000"/>
        </w:rPr>
        <w:fldChar w:fldCharType="separate"/>
      </w:r>
      <w:r w:rsidR="00A365B7" w:rsidRPr="004C63D2">
        <w:rPr>
          <w:noProof/>
          <w:color w:val="000000"/>
        </w:rPr>
        <w:t>(DiMaggio and Powell, 1983)</w:t>
      </w:r>
      <w:r w:rsidR="00A365B7" w:rsidRPr="004C63D2">
        <w:rPr>
          <w:color w:val="000000"/>
        </w:rPr>
        <w:fldChar w:fldCharType="end"/>
      </w:r>
      <w:r w:rsidRPr="004C63D2">
        <w:rPr>
          <w:color w:val="000000"/>
        </w:rPr>
        <w:t>) posits that organizations do not make adoption decisions purely based on efficiency or rationality. Instead, they are influenced by </w:t>
      </w:r>
      <w:r w:rsidRPr="004C63D2">
        <w:rPr>
          <w:b/>
          <w:bCs/>
          <w:color w:val="000000"/>
        </w:rPr>
        <w:t>institutional pressures</w:t>
      </w:r>
      <w:r w:rsidRPr="004C63D2">
        <w:rPr>
          <w:color w:val="000000"/>
        </w:rPr>
        <w:t> that drive them toward conformity with norms, values, and expectations in their environment. By aligning with these expectations, organizations gain </w:t>
      </w:r>
      <w:r w:rsidRPr="004C63D2">
        <w:rPr>
          <w:b/>
          <w:bCs/>
          <w:color w:val="000000"/>
        </w:rPr>
        <w:t>legitimacy</w:t>
      </w:r>
      <w:r w:rsidRPr="004C63D2">
        <w:rPr>
          <w:color w:val="000000"/>
        </w:rPr>
        <w:t>, which is critical for survival, reputation, and securing resources.</w:t>
      </w:r>
    </w:p>
    <w:p w14:paraId="43D822C3" w14:textId="77777777" w:rsidR="00A93B6B" w:rsidRPr="004C63D2" w:rsidRDefault="00A93B6B" w:rsidP="00383675">
      <w:pPr>
        <w:spacing w:before="100" w:beforeAutospacing="1" w:after="100" w:afterAutospacing="1"/>
        <w:jc w:val="both"/>
        <w:outlineLvl w:val="2"/>
        <w:rPr>
          <w:b/>
          <w:bCs/>
          <w:color w:val="000000"/>
        </w:rPr>
      </w:pPr>
      <w:bookmarkStart w:id="5" w:name="OLE_LINK13"/>
      <w:r w:rsidRPr="004C63D2">
        <w:rPr>
          <w:b/>
          <w:bCs/>
          <w:color w:val="000000"/>
        </w:rPr>
        <w:t>Core Constructs</w:t>
      </w:r>
    </w:p>
    <w:bookmarkEnd w:id="5"/>
    <w:p w14:paraId="65B3C978" w14:textId="77777777" w:rsidR="00161840" w:rsidRPr="004C63D2" w:rsidRDefault="0029622E" w:rsidP="00383675">
      <w:pPr>
        <w:jc w:val="both"/>
        <w:rPr>
          <w:color w:val="000000"/>
        </w:rPr>
      </w:pPr>
      <w:r w:rsidRPr="004C63D2">
        <w:rPr>
          <w:color w:val="000000"/>
        </w:rPr>
        <w:t>Three core constructs</w:t>
      </w:r>
      <w:r w:rsidRPr="004C63D2">
        <w:rPr>
          <w:color w:val="000000"/>
        </w:rPr>
        <w:t xml:space="preserve">, </w:t>
      </w:r>
      <w:r w:rsidRPr="004C63D2">
        <w:rPr>
          <w:color w:val="000000"/>
        </w:rPr>
        <w:t>coercive, normative, and mimetic pressures</w:t>
      </w:r>
      <w:r w:rsidRPr="004C63D2">
        <w:rPr>
          <w:color w:val="000000"/>
        </w:rPr>
        <w:t xml:space="preserve">, </w:t>
      </w:r>
      <w:r w:rsidRPr="004C63D2">
        <w:rPr>
          <w:color w:val="000000"/>
        </w:rPr>
        <w:t xml:space="preserve">shape the institutional environment influencing telerehabilitation adoption by community elderly care organizations. </w:t>
      </w:r>
    </w:p>
    <w:p w14:paraId="1756FC20" w14:textId="77777777" w:rsidR="00161840" w:rsidRPr="004C63D2" w:rsidRDefault="00161840" w:rsidP="00383675">
      <w:pPr>
        <w:jc w:val="both"/>
        <w:rPr>
          <w:color w:val="000000"/>
        </w:rPr>
      </w:pPr>
    </w:p>
    <w:p w14:paraId="3D7037C1" w14:textId="3D44E6CC" w:rsidR="0029622E" w:rsidRPr="004C63D2" w:rsidRDefault="0029622E" w:rsidP="00383675">
      <w:pPr>
        <w:jc w:val="both"/>
        <w:rPr>
          <w:color w:val="000000"/>
        </w:rPr>
      </w:pPr>
      <w:r w:rsidRPr="004C63D2">
        <w:rPr>
          <w:color w:val="000000"/>
        </w:rPr>
        <w:t>Coercive pressures are exerted by regulatory authorities, government mandates, and funding agencies. In Hong Kong, such pressures manifest through initiatives like primary care reforms, the Healthy Hong Kong 2030 agenda, and subsidies aimed at encouraging the use of smart health technologies in elderly services. Community organizations may thus adopt telerehabilitation not only for its intrinsic benefits, but also to comply with government directives and secure ongoing funding eligibility.</w:t>
      </w:r>
    </w:p>
    <w:p w14:paraId="1517B99D" w14:textId="77777777" w:rsidR="0029622E" w:rsidRPr="004C63D2" w:rsidRDefault="0029622E" w:rsidP="00383675">
      <w:pPr>
        <w:jc w:val="both"/>
        <w:rPr>
          <w:color w:val="000000"/>
        </w:rPr>
      </w:pPr>
    </w:p>
    <w:p w14:paraId="4A386EFC" w14:textId="75B7B11E" w:rsidR="0029622E" w:rsidRPr="004C63D2" w:rsidRDefault="0029622E" w:rsidP="00383675">
      <w:pPr>
        <w:jc w:val="both"/>
        <w:rPr>
          <w:color w:val="000000"/>
        </w:rPr>
      </w:pPr>
      <w:r w:rsidRPr="004C63D2">
        <w:rPr>
          <w:color w:val="000000"/>
        </w:rPr>
        <w:t>Normative pressures arise from the professional standards, accreditation requirements, and ethical values maintained within the healthcare sector. Rehabilitation professionals often feel compelled to integrate telerehabilitation as it emerges as a recognized best practice in geriatric care and as evidence supporting its effectiveness grows. Partnerships with academic institutions or hospital clusters, can further reinforce these norms and expectations.</w:t>
      </w:r>
    </w:p>
    <w:p w14:paraId="7206A72A" w14:textId="77777777" w:rsidR="0029622E" w:rsidRPr="004C63D2" w:rsidRDefault="0029622E" w:rsidP="00383675">
      <w:pPr>
        <w:jc w:val="both"/>
        <w:rPr>
          <w:color w:val="000000"/>
        </w:rPr>
      </w:pPr>
    </w:p>
    <w:p w14:paraId="56488FBD" w14:textId="6AF16FF4" w:rsidR="0029622E" w:rsidRPr="004C63D2" w:rsidRDefault="0029622E" w:rsidP="00383675">
      <w:pPr>
        <w:jc w:val="both"/>
        <w:rPr>
          <w:color w:val="000000"/>
        </w:rPr>
      </w:pPr>
      <w:r w:rsidRPr="004C63D2">
        <w:rPr>
          <w:color w:val="000000"/>
        </w:rPr>
        <w:t>Mimetic pressures occur when organizations emulate the practices of perceived leaders or innovative peers. For example, smaller NGOs or community elderly care centers might follow the example set by larger, more resourceful organizations that have pioneered telerehabilitation. Through imitation, organizations seek to enhance their competitiveness and maintain legitimacy within the evolving landscape of elderly care services</w:t>
      </w:r>
      <w:r w:rsidRPr="004C63D2">
        <w:rPr>
          <w:color w:val="000000"/>
        </w:rPr>
        <w:t xml:space="preserve">. </w:t>
      </w:r>
    </w:p>
    <w:p w14:paraId="782A9AF4" w14:textId="77777777" w:rsidR="0029622E" w:rsidRPr="004C63D2" w:rsidRDefault="0029622E" w:rsidP="00383675">
      <w:pPr>
        <w:jc w:val="both"/>
        <w:rPr>
          <w:b/>
          <w:bCs/>
          <w:color w:val="000000"/>
        </w:rPr>
      </w:pPr>
    </w:p>
    <w:p w14:paraId="24C5DF52" w14:textId="77777777" w:rsidR="00A93B6B" w:rsidRPr="004C63D2" w:rsidRDefault="00A93B6B" w:rsidP="00383675">
      <w:pPr>
        <w:spacing w:before="100" w:beforeAutospacing="1" w:after="100" w:afterAutospacing="1"/>
        <w:jc w:val="both"/>
        <w:outlineLvl w:val="2"/>
        <w:rPr>
          <w:b/>
          <w:bCs/>
          <w:color w:val="000000"/>
        </w:rPr>
      </w:pPr>
      <w:r w:rsidRPr="004C63D2">
        <w:rPr>
          <w:b/>
          <w:bCs/>
          <w:color w:val="000000"/>
        </w:rPr>
        <w:t>Relationships and Dynamics</w:t>
      </w:r>
    </w:p>
    <w:p w14:paraId="31640274" w14:textId="16004F91" w:rsidR="00911C51" w:rsidRPr="004C63D2" w:rsidRDefault="003125DB" w:rsidP="00383675">
      <w:pPr>
        <w:spacing w:before="100" w:beforeAutospacing="1" w:after="100" w:afterAutospacing="1"/>
        <w:jc w:val="both"/>
        <w:rPr>
          <w:color w:val="000000"/>
        </w:rPr>
      </w:pPr>
      <w:r w:rsidRPr="004C63D2">
        <w:rPr>
          <w:color w:val="000000"/>
        </w:rPr>
        <w:t xml:space="preserve">Coercive pressures establish a baseline for compliance within the sector, compelling organizations to align their practices with government policies or otherwise risk losing access to essential funding streams. Normative pressures motivate organizations to seek professional legitimacy by ensuring that rehabilitation centers remain credible and updated in their approach to geriatric care, especially as best practices evolve. Mimetic pressures further amplify the diffusion of innovation; </w:t>
      </w:r>
      <w:r w:rsidRPr="004C63D2">
        <w:rPr>
          <w:color w:val="000000"/>
        </w:rPr>
        <w:lastRenderedPageBreak/>
        <w:t xml:space="preserve">once a critical mass of organizations adopts telerehabilitation, others feel an increasing imperative to follow suit </w:t>
      </w:r>
      <w:proofErr w:type="gramStart"/>
      <w:r w:rsidRPr="004C63D2">
        <w:rPr>
          <w:color w:val="000000"/>
        </w:rPr>
        <w:t>in order to</w:t>
      </w:r>
      <w:proofErr w:type="gramEnd"/>
      <w:r w:rsidRPr="004C63D2">
        <w:rPr>
          <w:color w:val="000000"/>
        </w:rPr>
        <w:t xml:space="preserve"> preserve their own legitimacy and standing within the elderly care community.</w:t>
      </w:r>
    </w:p>
    <w:p w14:paraId="24AAC2B5" w14:textId="4A759BBD" w:rsidR="00E575D8" w:rsidRPr="004C63D2" w:rsidRDefault="00E575D8" w:rsidP="00383675">
      <w:pPr>
        <w:spacing w:before="100" w:beforeAutospacing="1" w:after="100" w:afterAutospacing="1"/>
        <w:jc w:val="both"/>
        <w:outlineLvl w:val="2"/>
        <w:rPr>
          <w:b/>
          <w:bCs/>
          <w:color w:val="000000"/>
        </w:rPr>
      </w:pPr>
      <w:r w:rsidRPr="004C63D2">
        <w:rPr>
          <w:b/>
          <w:bCs/>
          <w:color w:val="000000"/>
        </w:rPr>
        <w:t xml:space="preserve">Institutional Theory in </w:t>
      </w:r>
      <w:r w:rsidR="001151F0" w:rsidRPr="004C63D2">
        <w:rPr>
          <w:b/>
          <w:bCs/>
          <w:color w:val="000000"/>
        </w:rPr>
        <w:t xml:space="preserve">Elderly </w:t>
      </w:r>
      <w:r w:rsidRPr="004C63D2">
        <w:rPr>
          <w:b/>
          <w:bCs/>
          <w:color w:val="000000"/>
        </w:rPr>
        <w:t>Healthcare Technology Adoption</w:t>
      </w:r>
    </w:p>
    <w:p w14:paraId="0B47B952" w14:textId="77777777" w:rsidR="004C030E" w:rsidRPr="004C63D2" w:rsidRDefault="004C030E" w:rsidP="00383675">
      <w:pPr>
        <w:spacing w:before="100" w:beforeAutospacing="1" w:after="100" w:afterAutospacing="1"/>
        <w:jc w:val="both"/>
        <w:rPr>
          <w:color w:val="000000"/>
        </w:rPr>
      </w:pPr>
      <w:r w:rsidRPr="004C63D2">
        <w:rPr>
          <w:color w:val="000000"/>
        </w:rPr>
        <w:t>Institutional Theory highlights that organizational adoption decisions are often shaped less by rational cost–benefit analysis and more by the need to gain legitimacy within their institutional environment (DiMaggio &amp; Powell, 1983). Organizations conform to </w:t>
      </w:r>
      <w:r w:rsidRPr="004C63D2">
        <w:rPr>
          <w:b/>
          <w:bCs/>
          <w:color w:val="000000"/>
        </w:rPr>
        <w:t>coercive, normative, and mimetic pressures</w:t>
      </w:r>
      <w:r w:rsidRPr="004C63D2">
        <w:rPr>
          <w:color w:val="000000"/>
        </w:rPr>
        <w:t> </w:t>
      </w:r>
      <w:proofErr w:type="gramStart"/>
      <w:r w:rsidRPr="004C63D2">
        <w:rPr>
          <w:color w:val="000000"/>
        </w:rPr>
        <w:t>in order to</w:t>
      </w:r>
      <w:proofErr w:type="gramEnd"/>
      <w:r w:rsidRPr="004C63D2">
        <w:rPr>
          <w:color w:val="000000"/>
        </w:rPr>
        <w:t xml:space="preserve"> be perceived as legitimate and aligned with sectoral expectations. This framework is especially useful for understanding healthcare, where regulatory standards, professional norms, and peer imitation strongly influence innovation adoption.</w:t>
      </w:r>
    </w:p>
    <w:p w14:paraId="599D30C4" w14:textId="10C04E02" w:rsidR="004C030E" w:rsidRPr="004C63D2" w:rsidRDefault="004C030E" w:rsidP="00383675">
      <w:pPr>
        <w:spacing w:before="100" w:beforeAutospacing="1" w:after="100" w:afterAutospacing="1"/>
        <w:jc w:val="both"/>
        <w:rPr>
          <w:color w:val="000000"/>
        </w:rPr>
      </w:pPr>
      <w:r w:rsidRPr="004C63D2">
        <w:rPr>
          <w:color w:val="000000"/>
        </w:rPr>
        <w:t>Recent studies demonstrate how institutional pressures affect healthcare technology adoption. Chu et al. (2021) found that electronic health record (EHR) adoption was significantly influenced by </w:t>
      </w:r>
      <w:r w:rsidRPr="004C63D2">
        <w:rPr>
          <w:b/>
          <w:bCs/>
          <w:color w:val="000000"/>
        </w:rPr>
        <w:t>institutional pressures</w:t>
      </w:r>
      <w:r w:rsidRPr="004C63D2">
        <w:rPr>
          <w:color w:val="000000"/>
        </w:rPr>
        <w:t> and mediated by organizational culture, reinforcing the role of both external legitimacy demands and internal readiness</w:t>
      </w:r>
      <w:r w:rsidR="00DC43FF" w:rsidRPr="004C63D2">
        <w:rPr>
          <w:color w:val="000000"/>
        </w:rPr>
        <w:t xml:space="preserve"> </w:t>
      </w:r>
      <w:r w:rsidR="006964BD" w:rsidRPr="004C63D2">
        <w:rPr>
          <w:color w:val="000000"/>
        </w:rPr>
        <w:fldChar w:fldCharType="begin"/>
      </w:r>
      <w:r w:rsidR="00696D0E" w:rsidRPr="004C63D2">
        <w:rPr>
          <w:color w:val="000000"/>
        </w:rPr>
        <w:instrText xml:space="preserve"> ADDIN ZOTERO_ITEM CSL_CITATION {"citationID":"HI3d35Uw","properties":{"formattedCitation":"(Jianxun, Arkorful and Shuliang, 2021)","plainCitation":"(Jianxun, Arkorful and Shuliang, 2021)","noteIndex":0},"citationItems":[{"id":664,"uris":["http://zotero.org/users/16099821/items/F94T6JWW","http://zotero.org/users/16099821/items/KKKVG4QP"],"itemData":{"id":664,"type":"article-journal","abstract":"Electronic health records have recently received increasing attention from researchers and practitioners. Nonetheless, research exploring the antecedents of adoption is limited. In this study, drawing on the institutional theory and theory of planned behavior, we propose a model to empirically investigate the salience of institutional pressures (i.e., coercive, normative and mimetic) to attitude towards electronic health records and adoption intention, and how such effects are moderated by organizational culture. The study used data drawn from a field survey conducted with 322 health practitioners to empirically test the proposed research model. The results revealed the significant effects of institutional pressures on attitude towards electronic health records. Moreover, attitude was also indicated to have a significant positive relationship with practitioner's intention to adopt electronic health records. In addition, it was revealed that, organizational culture significantly moderates the relationship between practitioners' attitude towards electronic health records and adoption intention. The implications of the study findings are discoursed on, and suggestions for future research and policy are succinctly spelt out.","container-title":"Technology in Society","DOI":"10.1016/j.techsoc.2021.101531","ISSN":"0160-791X","issue":"C","note":"publisher: Elsevier","source":"EconPapers","title":"Electronic health records adoption: Do institutional pressures and organizational culture matter?","title-short":"Electronic health records adoption","URL":"https://EconPapers.repec.org/RePEc:eee:teinso:v:65:y:2021:i:c:s0160791x21000063","volume":"65","author":[{"family":"Jianxun","given":"Chu"},{"family":"Arkorful","given":"Vincent Ekow"},{"family":"Shuliang","given":"Zhao"}],"accessed":{"date-parts":[["2025",9,9]]},"issued":{"date-parts":[["2021"]]}}}],"schema":"https://github.com/citation-style-language/schema/raw/master/csl-citation.json"} </w:instrText>
      </w:r>
      <w:r w:rsidR="006964BD" w:rsidRPr="004C63D2">
        <w:rPr>
          <w:color w:val="000000"/>
        </w:rPr>
        <w:fldChar w:fldCharType="separate"/>
      </w:r>
      <w:r w:rsidR="004E6BAA" w:rsidRPr="004C63D2">
        <w:rPr>
          <w:noProof/>
          <w:color w:val="000000"/>
        </w:rPr>
        <w:t>(Jianxun, Arkorful and Shuliang, 2021)</w:t>
      </w:r>
      <w:r w:rsidR="006964BD" w:rsidRPr="004C63D2">
        <w:rPr>
          <w:color w:val="000000"/>
        </w:rPr>
        <w:fldChar w:fldCharType="end"/>
      </w:r>
      <w:r w:rsidRPr="004C63D2">
        <w:rPr>
          <w:color w:val="000000"/>
        </w:rPr>
        <w:t>. Similarly, Fang and Yang (2024)</w:t>
      </w:r>
      <w:r w:rsidR="00DC43FF" w:rsidRPr="004C63D2">
        <w:rPr>
          <w:color w:val="000000"/>
        </w:rPr>
        <w:t xml:space="preserve"> </w:t>
      </w:r>
      <w:r w:rsidRPr="004C63D2">
        <w:rPr>
          <w:color w:val="000000"/>
        </w:rPr>
        <w:t>showed how </w:t>
      </w:r>
      <w:r w:rsidRPr="004C63D2">
        <w:rPr>
          <w:b/>
          <w:bCs/>
          <w:color w:val="000000"/>
        </w:rPr>
        <w:t>government-driven institutional innovations</w:t>
      </w:r>
      <w:r w:rsidRPr="004C63D2">
        <w:rPr>
          <w:color w:val="000000"/>
        </w:rPr>
        <w:t> in Taiwan’s National Health Insurance system spurred hospitals to enhance performance through knowledge creation, underscoring the weight of </w:t>
      </w:r>
      <w:r w:rsidRPr="004C63D2">
        <w:rPr>
          <w:b/>
          <w:bCs/>
          <w:color w:val="000000"/>
        </w:rPr>
        <w:t>coercive pressures</w:t>
      </w:r>
      <w:r w:rsidR="00DC43FF" w:rsidRPr="004C63D2">
        <w:rPr>
          <w:b/>
          <w:bCs/>
          <w:color w:val="000000"/>
        </w:rPr>
        <w:t xml:space="preserve"> </w:t>
      </w:r>
      <w:r w:rsidR="00DC43FF" w:rsidRPr="004C63D2">
        <w:rPr>
          <w:color w:val="000000"/>
        </w:rPr>
        <w:fldChar w:fldCharType="begin"/>
      </w:r>
      <w:r w:rsidR="00DC43FF" w:rsidRPr="004C63D2">
        <w:rPr>
          <w:color w:val="000000"/>
        </w:rPr>
        <w:instrText xml:space="preserve"> ADDIN ZOTERO_ITEM CSL_CITATION {"citationID":"hYmPVtFV","properties":{"formattedCitation":"(Fang and Yang, 2024)","plainCitation":"(Fang and Yang, 2024)","noteIndex":0},"citationItems":[{"id":666,"uris":["http://zotero.org/users/16099821/items/J5MMTGX3"],"itemData":{"id":666,"type":"article-journal","abstract":"This study proposes a multi-level model of institutional innovation in the healthcare sector-in other words, field-level institutional change pressures that start as network-level institutional innovation by hospitals and government for their organizational performance, with an emphasis on the effect of organizational-level construct-knowledge creation capabilities. A case study using in-depth interviews and a historical inquiry approach has been used to qualitatively analyze our cases during the development of Taiwan's National Health Insurance (NHI). Our results propose a multi-level explanation of institutional innovation by showing how field-level institutional change pressures can stimulate the government's institutional innovation at the network level. Moreover, knowledge creation capabilities may positively influence the government hospitals' ongoing institutional change pressures induced institutional innovation activity for their performance at the organizational level in an institutional setting. This study contributes to health organization management researchers and administrators by developing explanations of institutional innovation and creating a much-needed multi-level insight into hospital behavior in the highly institutionalized healthcare sector.","container-title":"Inquiry: A Journal of Medical Care Organization, Provision and Financing","DOI":"10.1177/00469580241258902","ISSN":"1945-7243","journalAbbreviation":"Inquiry","language":"eng","note":"PMID: 38856107\nPMCID: PMC11165960","page":"469580241258902","source":"PubMed","title":"A Multi-Level Model of Institutional Innovation and Knowledge Creation Capabilities: Insights From the Development of Taiwan's Nation Health Insurance","title-short":"A Multi-Level Model of Institutional Innovation and Knowledge Creation Capabilities","volume":"61","author":[{"family":"Fang","given":"Shih-Chieh"},{"family":"Yang","given":"Chen-Wei"}],"issued":{"date-parts":[["2024"]]}}}],"schema":"https://github.com/citation-style-language/schema/raw/master/csl-citation.json"} </w:instrText>
      </w:r>
      <w:r w:rsidR="00DC43FF" w:rsidRPr="004C63D2">
        <w:rPr>
          <w:color w:val="000000"/>
        </w:rPr>
        <w:fldChar w:fldCharType="separate"/>
      </w:r>
      <w:r w:rsidR="00DC43FF" w:rsidRPr="004C63D2">
        <w:rPr>
          <w:noProof/>
          <w:color w:val="000000"/>
        </w:rPr>
        <w:t>(Fang and Yang, 2024)</w:t>
      </w:r>
      <w:r w:rsidR="00DC43FF" w:rsidRPr="004C63D2">
        <w:rPr>
          <w:color w:val="000000"/>
        </w:rPr>
        <w:fldChar w:fldCharType="end"/>
      </w:r>
      <w:r w:rsidRPr="004C63D2">
        <w:rPr>
          <w:color w:val="000000"/>
        </w:rPr>
        <w:t>. At the same time, King et al. (2022) illustrated that healthcare professionals navigate </w:t>
      </w:r>
      <w:r w:rsidRPr="004C63D2">
        <w:rPr>
          <w:b/>
          <w:bCs/>
          <w:color w:val="000000"/>
        </w:rPr>
        <w:t>multiple institutional logics</w:t>
      </w:r>
      <w:r w:rsidRPr="004C63D2">
        <w:rPr>
          <w:color w:val="000000"/>
        </w:rPr>
        <w:t xml:space="preserve"> (professional, managerial, and regulatory) when integrating new technologies, suggesting that technology adoption is often a process of negotiation among competing pressures. </w:t>
      </w:r>
      <w:r w:rsidR="00755E87" w:rsidRPr="004C63D2">
        <w:rPr>
          <w:color w:val="000000"/>
        </w:rPr>
        <w:fldChar w:fldCharType="begin"/>
      </w:r>
      <w:r w:rsidR="00755E87" w:rsidRPr="004C63D2">
        <w:rPr>
          <w:color w:val="000000"/>
        </w:rPr>
        <w:instrText xml:space="preserve"> ADDIN ZOTERO_ITEM CSL_CITATION {"citationID":"qaKE3QMu","properties":{"formattedCitation":"(King {\\i{}et al.}, 2022)","plainCitation":"(King et al., 2022)","noteIndex":0},"citationItems":[{"id":668,"uris":["http://zotero.org/users/16099821/items/R7PY2DFP"],"itemData":{"id":668,"type":"chapter","abstract":"We bring together the institutional theory literature on institutional logics and the information systems (IS) literature that conceptualizes a relational view of affordances to explore the digital changes unfolding in the delivery of professional services. Through a qualitative inductive study of the development of an app led by a clinician manager in an Australian hospital, we investigate how multiple institutional logics shape the design of affordances when an organization develops new digital technologies for frontline professional work. Our findings show how a billing function was designed into the app by the development team over four episodes to afford potential physician users with billing usability, billing acceptability, billing authority and billing discretion. These affordances emerged as different elements of professional, state, managerial and market logics became activated, interpreted, evaluated, negotiated and designed into the digital technology through the team’s interactions with the clinician manager, a hybrid professional, during the app development process. Our findings contribute new insight to the affordance-based logics perspective by deepening understanding of the process through which multiple institutional logics play out in the design of affordances of digital technology. We also highlight the role of hybrid professionals in this digital transformation of frontline professional work.","container-title":"Digital Transformation and Institutional Theory","ISBN":"978-1-80262-222-5","note":"DOI: 10.1108/S0733-558X20220000083002","page":"0","publisher":"Emerald Publishing Limited","source":"Silverchair","title":"Institutional Logics, Technology Affordances and Hybrid Professionals: Developing a Billing App for Hospital Physicians","title-short":"Institutional Logics, Technology Affordances and Hybrid Professionals","URL":"https://doi.org/10.1108/S0733-558X20220000083002","volume":"83","author":[{"family":"King","given":"Robyn"},{"family":"Wright","given":"April L."},{"family":"Smith","given":"David"},{"family":"Chaudhuri","given":"Alex"},{"family":"Thompson","given":"Leah"}],"editor":[{"family":"Gegenhuber","given":"Thomas"},{"family":"Logue","given":"Danielle"},{"family":"Hinings","given":"C.R. (Bob)"},{"family":"Barrett","given":"Michael"}],"accessed":{"date-parts":[["2025",9,9]]},"issued":{"date-parts":[["2022",9,23]]}}}],"schema":"https://github.com/citation-style-language/schema/raw/master/csl-citation.json"} </w:instrText>
      </w:r>
      <w:r w:rsidR="00755E87" w:rsidRPr="004C63D2">
        <w:rPr>
          <w:color w:val="000000"/>
        </w:rPr>
        <w:fldChar w:fldCharType="separate"/>
      </w:r>
      <w:r w:rsidR="00755E87" w:rsidRPr="004C63D2">
        <w:rPr>
          <w:rFonts w:eastAsiaTheme="minorEastAsia"/>
          <w:color w:val="000000"/>
          <w14:ligatures w14:val="standardContextual"/>
        </w:rPr>
        <w:t xml:space="preserve">(King </w:t>
      </w:r>
      <w:r w:rsidR="00755E87" w:rsidRPr="004C63D2">
        <w:rPr>
          <w:rFonts w:eastAsiaTheme="minorEastAsia"/>
          <w:i/>
          <w:iCs/>
          <w:color w:val="000000"/>
          <w14:ligatures w14:val="standardContextual"/>
        </w:rPr>
        <w:t>et al.</w:t>
      </w:r>
      <w:r w:rsidR="00755E87" w:rsidRPr="004C63D2">
        <w:rPr>
          <w:rFonts w:eastAsiaTheme="minorEastAsia"/>
          <w:color w:val="000000"/>
          <w14:ligatures w14:val="standardContextual"/>
        </w:rPr>
        <w:t>, 2022)</w:t>
      </w:r>
      <w:r w:rsidR="00755E87" w:rsidRPr="004C63D2">
        <w:rPr>
          <w:color w:val="000000"/>
        </w:rPr>
        <w:fldChar w:fldCharType="end"/>
      </w:r>
      <w:r w:rsidRPr="004C63D2">
        <w:rPr>
          <w:color w:val="000000"/>
        </w:rPr>
        <w:t>In addition, Zhou et al. (2024), in their study of 5G adoption in Chinese hospitals, highlighted barriers rooted in </w:t>
      </w:r>
      <w:r w:rsidRPr="004C63D2">
        <w:rPr>
          <w:b/>
          <w:bCs/>
          <w:color w:val="000000"/>
        </w:rPr>
        <w:t>policy readiness and institutional constraints</w:t>
      </w:r>
      <w:r w:rsidRPr="004C63D2">
        <w:rPr>
          <w:color w:val="000000"/>
        </w:rPr>
        <w:t>, again showing that external legitimacy factors often outweigh technical feasibility alone.</w:t>
      </w:r>
      <w:r w:rsidR="00755E87" w:rsidRPr="004C63D2">
        <w:rPr>
          <w:color w:val="000000"/>
        </w:rPr>
        <w:t xml:space="preserve"> </w:t>
      </w:r>
      <w:r w:rsidR="00825E6F" w:rsidRPr="004C63D2">
        <w:rPr>
          <w:color w:val="000000"/>
        </w:rPr>
        <w:fldChar w:fldCharType="begin"/>
      </w:r>
      <w:r w:rsidR="00825E6F" w:rsidRPr="004C63D2">
        <w:rPr>
          <w:color w:val="000000"/>
        </w:rPr>
        <w:instrText xml:space="preserve"> ADDIN ZOTERO_ITEM CSL_CITATION {"citationID":"gGLr1Q87","properties":{"formattedCitation":"(Zhou {\\i{}et al.}, 2024)","plainCitation":"(Zhou et al., 2024)","noteIndex":0},"citationItems":[{"id":670,"uris":["http://zotero.org/users/16099821/items/JE8GFXSM"],"itemData":{"id":670,"type":"article-journal","abstract":"Background:5G technology is gaining traction in Chinese hospitals for its potential to enhance patient care and internal management. However, various barriers hinder its implementation in clinical settings, and studies on their relevance and importance are scarce.\nObjective:This study aimed to identify critical barriers hampering the effective implementation of 5G in hospitals in Western China, to identify interaction relationships and priorities of the above-identified barriers, and to assess the intensity of the relationships and cause-and-effect relations between the adoption barriers.\nMethods:This paper uses the Delphi expert consultation method to determine key barriers to 5G adoption in Western China hospitals, the interpretive structural modeling to uncover interaction relationships and priorities, and the decision-making trial and evaluation laboratory method to reveal cause-and-effect relationships and their intensity levels.\nResults:In total, 14 barriers were determined by literature review and the Delphi method. Among these, “lack of policies on ethics, rights, and responsibilities in core health care scenarios” emerged as the fundamental influencing factor in the entire system, as it was the only factor at the bottom level of the interpretive structural model. Overall, 8 barriers were classified as the “cause group,” and 6 as the “effect group” by the decision-making trial and evaluation laboratory method. “High expense” and “organizational barriers within hospitals” were determined as the most significant driving barrier (the highest R–C value of 1.361) and the most critical barrier (the highest R+C value of 4.317), respectively.\nConclusions:Promoting the integration of 5G in hospitals in Western China faces multiple complex and interrelated barriers. The study provides valuable quantitative evidence and a comprehensive approach for regulatory authorities, hospitals, and telecom operators, helping them develop strategic pathways for promoting widespread 5G adoption in health care. It is suggested that the stakeholders cooperate to explore and solve the problems in the 5G medical care era, aiming to achieve the coverage of 5G medical care across the country. To our best knowledge, this study is the first academic exploration systematically analyzing factors resisting 5G integration in Chinese hospitals, and it may give subsequent researchers a solid foundation for further studying the application and development of 5G in health care.","DOI":"10.2196/48842","language":"English","license":"© 2024. This work is licensed under https://creativecommons.org/licenses/by/4.0/  (the “License”).  Notwithstanding the ProQuest Terms and Conditions, you may use this content in accordance with the terms of the License.","note":"number-of-pages: e48842\npublisher: JMIR Publications\nsection: mHealth for Health Administration","page":"e48842","source":"ProQuest","title":"Barriers and Implications of 5G Technology Adoption for Hospitals in Western China: Integrated Interpretive Structural Modeling and Decision-Making Trial and Evaluation Laboratory Analysis","title-short":"Barriers and Implications of 5G Technology Adoption for Hospitals in Western China","author":[{"family":"Zhou","given":"Linyun"},{"family":"Jiang","given":"Minghuan"},{"family":"Duan","given":"Ran"},{"family":"Zuo","given":"Feng"},{"family":"Li","given":"Zongfang"},{"family":"Xu","given":"Songhua"}],"issued":{"date-parts":[["2024"]]}}}],"schema":"https://github.com/citation-style-language/schema/raw/master/csl-citation.json"} </w:instrText>
      </w:r>
      <w:r w:rsidR="00825E6F" w:rsidRPr="004C63D2">
        <w:rPr>
          <w:color w:val="000000"/>
        </w:rPr>
        <w:fldChar w:fldCharType="separate"/>
      </w:r>
      <w:r w:rsidR="00825E6F" w:rsidRPr="004C63D2">
        <w:rPr>
          <w:rFonts w:eastAsiaTheme="minorEastAsia"/>
          <w:color w:val="000000"/>
          <w14:ligatures w14:val="standardContextual"/>
        </w:rPr>
        <w:t xml:space="preserve">(Zhou </w:t>
      </w:r>
      <w:r w:rsidR="00825E6F" w:rsidRPr="004C63D2">
        <w:rPr>
          <w:rFonts w:eastAsiaTheme="minorEastAsia"/>
          <w:i/>
          <w:iCs/>
          <w:color w:val="000000"/>
          <w14:ligatures w14:val="standardContextual"/>
        </w:rPr>
        <w:t>et al.</w:t>
      </w:r>
      <w:r w:rsidR="00825E6F" w:rsidRPr="004C63D2">
        <w:rPr>
          <w:rFonts w:eastAsiaTheme="minorEastAsia"/>
          <w:color w:val="000000"/>
          <w14:ligatures w14:val="standardContextual"/>
        </w:rPr>
        <w:t>, 2024)</w:t>
      </w:r>
      <w:r w:rsidR="00825E6F" w:rsidRPr="004C63D2">
        <w:rPr>
          <w:color w:val="000000"/>
        </w:rPr>
        <w:fldChar w:fldCharType="end"/>
      </w:r>
    </w:p>
    <w:p w14:paraId="39A52EE4" w14:textId="77777777" w:rsidR="00C24B34" w:rsidRPr="004C63D2" w:rsidRDefault="00C24B34" w:rsidP="00383675">
      <w:pPr>
        <w:jc w:val="both"/>
        <w:rPr>
          <w:color w:val="000000"/>
        </w:rPr>
      </w:pPr>
      <w:r w:rsidRPr="004C63D2">
        <w:rPr>
          <w:color w:val="000000"/>
        </w:rPr>
        <w:t>Institutional Theory underscores that organizational adoption decisions are shaped not only by technological feasibility or internal readiness, but also by powerful external legitimacy pressures. In the context of Hong Kong, where there is a strong policy emphasis on community-based primary care amidst a rapidly aging population, organizations may feel obligated to implement telerehabilitation as a means of demonstrating their alignment with government priorities. For NGOs and community centers facing financial constraints, the impetus to adopt telerehabilitation often arises less from intrinsic organizational enthusiasm and more from coercive funding requirements, normative expectations within the healthcare profession, and mimetic learning from the experiences of peer institutions.</w:t>
      </w:r>
    </w:p>
    <w:p w14:paraId="0DED6191" w14:textId="77777777" w:rsidR="00794CCA" w:rsidRPr="004C63D2" w:rsidRDefault="00794CCA" w:rsidP="00383675">
      <w:pPr>
        <w:jc w:val="both"/>
        <w:rPr>
          <w:color w:val="000000"/>
        </w:rPr>
      </w:pPr>
    </w:p>
    <w:p w14:paraId="17E33BF9" w14:textId="2FF6F343" w:rsidR="0064600D" w:rsidRPr="004C63D2" w:rsidRDefault="00051FEC" w:rsidP="00383675">
      <w:pPr>
        <w:spacing w:before="100" w:beforeAutospacing="1" w:after="100" w:afterAutospacing="1"/>
        <w:jc w:val="both"/>
        <w:outlineLvl w:val="1"/>
        <w:rPr>
          <w:b/>
          <w:bCs/>
          <w:color w:val="000000"/>
        </w:rPr>
      </w:pPr>
      <w:r w:rsidRPr="004C63D2">
        <w:rPr>
          <w:b/>
          <w:bCs/>
          <w:color w:val="000000"/>
        </w:rPr>
        <w:t xml:space="preserve">2.2.3 </w:t>
      </w:r>
      <w:r w:rsidRPr="004C63D2">
        <w:rPr>
          <w:b/>
          <w:bCs/>
          <w:color w:val="000000"/>
        </w:rPr>
        <w:t>Socio-Technical Systems (STS) Theory</w:t>
      </w:r>
    </w:p>
    <w:p w14:paraId="7A077291" w14:textId="13625D3A" w:rsidR="00081455" w:rsidRPr="004C63D2" w:rsidRDefault="0064600D" w:rsidP="00383675">
      <w:pPr>
        <w:spacing w:before="100" w:beforeAutospacing="1" w:after="100" w:afterAutospacing="1"/>
        <w:jc w:val="both"/>
        <w:rPr>
          <w:b/>
          <w:bCs/>
          <w:color w:val="000000"/>
        </w:rPr>
      </w:pPr>
      <w:r w:rsidRPr="004C63D2">
        <w:rPr>
          <w:b/>
          <w:bCs/>
          <w:color w:val="000000"/>
        </w:rPr>
        <w:t>Concept</w:t>
      </w:r>
      <w:r w:rsidR="00081455" w:rsidRPr="004C63D2">
        <w:rPr>
          <w:b/>
          <w:bCs/>
          <w:color w:val="000000"/>
        </w:rPr>
        <w:t xml:space="preserve">ual </w:t>
      </w:r>
      <w:r w:rsidR="00D01469" w:rsidRPr="004C63D2">
        <w:rPr>
          <w:b/>
          <w:bCs/>
          <w:color w:val="000000"/>
        </w:rPr>
        <w:t>Foundations</w:t>
      </w:r>
    </w:p>
    <w:p w14:paraId="03807E40" w14:textId="78CEEF6B" w:rsidR="0064600D" w:rsidRPr="004C63D2" w:rsidRDefault="0064600D" w:rsidP="00383675">
      <w:pPr>
        <w:spacing w:before="100" w:beforeAutospacing="1" w:after="100" w:afterAutospacing="1"/>
        <w:jc w:val="both"/>
        <w:rPr>
          <w:color w:val="000000"/>
        </w:rPr>
      </w:pPr>
      <w:r w:rsidRPr="004C63D2">
        <w:rPr>
          <w:color w:val="000000"/>
        </w:rPr>
        <w:br/>
        <w:t xml:space="preserve">Socio-Technical Systems (STS) Theory posits that successful technological implementations require alignment between social systems (people, structures, workflows) and technical systems (tools, infrastructure, processes). The core premise is that technology design must account for </w:t>
      </w:r>
      <w:r w:rsidRPr="004C63D2">
        <w:rPr>
          <w:color w:val="000000"/>
        </w:rPr>
        <w:lastRenderedPageBreak/>
        <w:t>human, organizational, and environmental factors</w:t>
      </w:r>
      <w:r w:rsidR="00081455" w:rsidRPr="004C63D2">
        <w:rPr>
          <w:color w:val="000000"/>
        </w:rPr>
        <w:t xml:space="preserve">, </w:t>
      </w:r>
      <w:r w:rsidRPr="004C63D2">
        <w:rPr>
          <w:color w:val="000000"/>
        </w:rPr>
        <w:t>creating a "fit" among all elements to achieve effective, sustainable change</w:t>
      </w:r>
      <w:r w:rsidR="002A6E53" w:rsidRPr="004C63D2">
        <w:rPr>
          <w:color w:val="000000"/>
        </w:rPr>
        <w:t xml:space="preserve"> </w:t>
      </w:r>
      <w:r w:rsidR="002A6E53" w:rsidRPr="004C63D2">
        <w:rPr>
          <w:color w:val="000000"/>
        </w:rPr>
        <w:fldChar w:fldCharType="begin"/>
      </w:r>
      <w:r w:rsidR="00275FD1" w:rsidRPr="004C63D2">
        <w:rPr>
          <w:color w:val="000000"/>
        </w:rPr>
        <w:instrText xml:space="preserve"> ADDIN ZOTERO_ITEM CSL_CITATION {"citationID":"zYtewDAH","properties":{"formattedCitation":"(Appelbaum, 1997)","plainCitation":"(Appelbaum, 1997)","noteIndex":0},"citationItems":[{"id":740,"uris":["http://zotero.org/users/16099821/items/N5Z8IYGY"],"itemData":{"id":740,"type":"article-journal","container-title":"Management Decision","DOI":"10.1108/00251749710173823","ISSN":"0025-1747","issue":"6","journalAbbreviation":"Management Decision","language":"en","license":"http://www.emeraldinsight.com/page/tdm","page":"452-463","source":"DOI.org (Crossref)","title":"Socio‐technical systems theory: an intervention strategy for organizational development","title-short":"Socio‐technical systems theory","volume":"35","author":[{"family":"Appelbaum","given":"Steven H."}],"issued":{"date-parts":[["1997",8]]}}}],"schema":"https://github.com/citation-style-language/schema/raw/master/csl-citation.json"} </w:instrText>
      </w:r>
      <w:r w:rsidR="002A6E53" w:rsidRPr="004C63D2">
        <w:rPr>
          <w:color w:val="000000"/>
        </w:rPr>
        <w:fldChar w:fldCharType="separate"/>
      </w:r>
      <w:r w:rsidR="00275FD1" w:rsidRPr="004C63D2">
        <w:rPr>
          <w:noProof/>
          <w:color w:val="000000"/>
        </w:rPr>
        <w:t>(Appelbaum, 1997)</w:t>
      </w:r>
      <w:r w:rsidR="002A6E53" w:rsidRPr="004C63D2">
        <w:rPr>
          <w:color w:val="000000"/>
        </w:rPr>
        <w:fldChar w:fldCharType="end"/>
      </w:r>
      <w:r w:rsidR="00EE7D5C" w:rsidRPr="004C63D2">
        <w:rPr>
          <w:color w:val="000000"/>
        </w:rPr>
        <w:t xml:space="preserve"> </w:t>
      </w:r>
      <w:r w:rsidR="00EE7D5C" w:rsidRPr="004C63D2">
        <w:rPr>
          <w:color w:val="000000"/>
        </w:rPr>
        <w:fldChar w:fldCharType="begin"/>
      </w:r>
      <w:r w:rsidR="003A4A81" w:rsidRPr="004C63D2">
        <w:rPr>
          <w:color w:val="000000"/>
        </w:rPr>
        <w:instrText xml:space="preserve"> ADDIN ZOTERO_ITEM CSL_CITATION {"citationID":"LsvQo9sl","properties":{"formattedCitation":"(Fayoumi and Williams, 2021)","plainCitation":"(Fayoumi and Williams, 2021)","noteIndex":0},"citationItems":[{"id":742,"uris":["http://zotero.org/users/16099821/items/SX64UZ7E"],"itemData":{"id":742,"type":"article-journal","container-title":"Journal of Industrial Information Integration","DOI":"10.1016/j.jii.2021.100221","ISSN":"2452414X","journalAbbreviation":"Journal of Industrial Information Integration","language":"en","page":"100221","source":"DOI.org (Crossref)","title":"An integrated socio-technical enterprise modelling: A scenario of healthcare system analysis and design","title-short":"An integrated socio-technical enterprise modelling","volume":"23","author":[{"family":"Fayoumi","given":"Amjad"},{"family":"Williams","given":"Richard"}],"issued":{"date-parts":[["2021",9]]}}}],"schema":"https://github.com/citation-style-language/schema/raw/master/csl-citation.json"} </w:instrText>
      </w:r>
      <w:r w:rsidR="00EE7D5C" w:rsidRPr="004C63D2">
        <w:rPr>
          <w:color w:val="000000"/>
        </w:rPr>
        <w:fldChar w:fldCharType="separate"/>
      </w:r>
      <w:r w:rsidR="003A4A81" w:rsidRPr="004C63D2">
        <w:rPr>
          <w:noProof/>
          <w:color w:val="000000"/>
        </w:rPr>
        <w:t>(Fayoumi and Williams, 2021)</w:t>
      </w:r>
      <w:r w:rsidR="00EE7D5C" w:rsidRPr="004C63D2">
        <w:rPr>
          <w:color w:val="000000"/>
        </w:rPr>
        <w:fldChar w:fldCharType="end"/>
      </w:r>
      <w:r w:rsidRPr="004C63D2">
        <w:rPr>
          <w:color w:val="000000"/>
        </w:rPr>
        <w:t>.</w:t>
      </w:r>
      <w:r w:rsidR="00037F43" w:rsidRPr="004C63D2">
        <w:rPr>
          <w:color w:val="000000"/>
        </w:rPr>
        <w:t xml:space="preserve"> </w:t>
      </w:r>
    </w:p>
    <w:p w14:paraId="737818F7" w14:textId="77777777" w:rsidR="0064600D" w:rsidRPr="004C63D2" w:rsidRDefault="0064600D" w:rsidP="00383675">
      <w:pPr>
        <w:spacing w:before="100" w:beforeAutospacing="1" w:after="100" w:afterAutospacing="1"/>
        <w:jc w:val="both"/>
        <w:rPr>
          <w:color w:val="000000"/>
        </w:rPr>
      </w:pPr>
      <w:r w:rsidRPr="004C63D2">
        <w:rPr>
          <w:b/>
          <w:bCs/>
          <w:color w:val="000000"/>
        </w:rPr>
        <w:t>Recent Empirical Applications in Healthcare</w:t>
      </w:r>
    </w:p>
    <w:p w14:paraId="6162B304" w14:textId="7813E765" w:rsidR="0064600D" w:rsidRPr="004C63D2" w:rsidRDefault="0064600D" w:rsidP="00A66082">
      <w:pPr>
        <w:spacing w:before="100" w:beforeAutospacing="1" w:after="100" w:afterAutospacing="1"/>
        <w:jc w:val="both"/>
        <w:rPr>
          <w:color w:val="000000"/>
        </w:rPr>
      </w:pPr>
      <w:r w:rsidRPr="004C63D2">
        <w:rPr>
          <w:color w:val="000000"/>
        </w:rPr>
        <w:t>Telerehabilitation in Finland (2023)</w:t>
      </w:r>
      <w:r w:rsidR="00A66082" w:rsidRPr="004C63D2">
        <w:rPr>
          <w:color w:val="000000"/>
        </w:rPr>
        <w:t xml:space="preserve">: </w:t>
      </w:r>
      <w:r w:rsidRPr="004C63D2">
        <w:rPr>
          <w:color w:val="000000"/>
        </w:rPr>
        <w:t>Partanen et al. examined outpatient telerehabilitation through the lens of STS, using the FITTE model (fit between Individuals, Tasks, Technology, Environment)</w:t>
      </w:r>
      <w:r w:rsidR="001D4821" w:rsidRPr="004C63D2">
        <w:rPr>
          <w:color w:val="000000"/>
        </w:rPr>
        <w:t xml:space="preserve"> </w:t>
      </w:r>
      <w:r w:rsidR="001D4821" w:rsidRPr="004C63D2">
        <w:rPr>
          <w:color w:val="000000"/>
        </w:rPr>
        <w:fldChar w:fldCharType="begin"/>
      </w:r>
      <w:r w:rsidR="00F950B0" w:rsidRPr="004C63D2">
        <w:rPr>
          <w:color w:val="000000"/>
        </w:rPr>
        <w:instrText xml:space="preserve"> ADDIN ZOTERO_ITEM CSL_CITATION {"citationID":"oYrzlcuT","properties":{"formattedCitation":"(Partanen {\\i{}et al.}, 2023)","plainCitation":"(Partanen et al., 2023)","noteIndex":0},"citationItems":[{"id":672,"uris":["http://zotero.org/users/16099821/items/S9VRZ9HX"],"itemData":{"id":672,"type":"article-journal","abstract":"Background: In the development of effective telerehabilitation (TR) interventions, understanding the various characteristics affecting its practice is essential. Remote connection creates a new technically shaped environment for therapy and, therefore, previous therapy methods do not work the same way as before. Objective: The objective of this survey was to describe the practice of TR through the socio-technical theory approach. Methods: The 629 respondents to the online questionnaire included music therapists, occupational therapists, speech and language therapists, physiotherapists, and neuropsychologists. The materials consisted of five open-ended questions. The analysis combined data-based and theory-based analysis. Results: In the data-based content analysis, we identified three main categories and eight generic categories, whereas in the theory-based, we categorised the main results according to the Fit Between Individuals, Tasks, Technology, and Environment (FITTE) framework dimensions. TR is everyday-life based, it requires shared participation, and the approach has to include coaching and collaboration with the client and their close associates. The everyday-life environment is one of the main dimensions that affect all the other dimensions. Conclusions: TR can be seen as technology-mediated home-based rehabilitation, as it can integrate rehabilitation into the client’s everyday life. In TR, therapy becomes multilateral and it creates a new kind of shared partnership into outpatient therapy.","container-title":"International Journal of Environmental Research and Public Health","DOI":"10.3390/ijerph20156519","ISSN":"1660-4601","issue":"15","language":"en","license":"http://creativecommons.org/licenses/by/3.0/","note":"number: 15\npublisher: Multidisciplinary Digital Publishing Institute","page":"6519","source":"www.mdpi.com","title":"Telerehabilitation in the Finnish Outpatient Rehabilitation Setting from the Perspective of the Socio-Technical Systems Theory","volume":"20","author":[{"family":"Partanen","given":"Tuija"},{"family":"Seppänen-Järvelä","given":"Riitta"},{"family":"Hiekkala","given":"Sinikka"},{"family":"Lindh","given":"Jari"}],"issued":{"date-parts":[["2023",1]]}}}],"schema":"https://github.com/citation-style-language/schema/raw/master/csl-citation.json"} </w:instrText>
      </w:r>
      <w:r w:rsidR="001D4821" w:rsidRPr="004C63D2">
        <w:rPr>
          <w:color w:val="000000"/>
        </w:rPr>
        <w:fldChar w:fldCharType="separate"/>
      </w:r>
      <w:r w:rsidR="00F950B0" w:rsidRPr="004C63D2">
        <w:rPr>
          <w:rFonts w:eastAsiaTheme="minorEastAsia"/>
          <w:color w:val="000000"/>
          <w14:ligatures w14:val="standardContextual"/>
        </w:rPr>
        <w:t xml:space="preserve">(Partanen </w:t>
      </w:r>
      <w:r w:rsidR="00F950B0" w:rsidRPr="004C63D2">
        <w:rPr>
          <w:rFonts w:eastAsiaTheme="minorEastAsia"/>
          <w:i/>
          <w:iCs/>
          <w:color w:val="000000"/>
          <w14:ligatures w14:val="standardContextual"/>
        </w:rPr>
        <w:t>et al.</w:t>
      </w:r>
      <w:r w:rsidR="00F950B0" w:rsidRPr="004C63D2">
        <w:rPr>
          <w:rFonts w:eastAsiaTheme="minorEastAsia"/>
          <w:color w:val="000000"/>
          <w14:ligatures w14:val="standardContextual"/>
        </w:rPr>
        <w:t>, 2023)</w:t>
      </w:r>
      <w:r w:rsidR="001D4821" w:rsidRPr="004C63D2">
        <w:rPr>
          <w:color w:val="000000"/>
        </w:rPr>
        <w:fldChar w:fldCharType="end"/>
      </w:r>
      <w:r w:rsidRPr="004C63D2">
        <w:rPr>
          <w:color w:val="000000"/>
        </w:rPr>
        <w:t xml:space="preserve">. They found that integrating </w:t>
      </w:r>
      <w:proofErr w:type="spellStart"/>
      <w:r w:rsidRPr="004C63D2">
        <w:rPr>
          <w:color w:val="000000"/>
        </w:rPr>
        <w:t>telerehab</w:t>
      </w:r>
      <w:proofErr w:type="spellEnd"/>
      <w:r w:rsidRPr="004C63D2">
        <w:rPr>
          <w:color w:val="000000"/>
        </w:rPr>
        <w:t xml:space="preserve"> into home-based care involves more than tech deployment—it demands reconfiguring practice patterns, task redistribution, and environmental support to create a viable shared partnership among therapists, patients, and technology</w:t>
      </w:r>
      <w:r w:rsidR="00A66082" w:rsidRPr="004C63D2">
        <w:rPr>
          <w:color w:val="000000"/>
        </w:rPr>
        <w:t>.</w:t>
      </w:r>
      <w:r w:rsidRPr="004C63D2">
        <w:rPr>
          <w:color w:val="000000"/>
        </w:rPr>
        <w:t xml:space="preserve"> </w:t>
      </w:r>
    </w:p>
    <w:p w14:paraId="227A80E3" w14:textId="5E9F8E7B" w:rsidR="0064600D" w:rsidRPr="004C63D2" w:rsidRDefault="0064600D" w:rsidP="00A66082">
      <w:pPr>
        <w:spacing w:before="100" w:beforeAutospacing="1" w:after="100" w:afterAutospacing="1"/>
        <w:jc w:val="both"/>
        <w:rPr>
          <w:color w:val="000000"/>
        </w:rPr>
      </w:pPr>
      <w:r w:rsidRPr="004C63D2">
        <w:rPr>
          <w:color w:val="000000"/>
        </w:rPr>
        <w:t>IoT Adoption in Healthcare (2024)</w:t>
      </w:r>
      <w:r w:rsidR="00A66082" w:rsidRPr="004C63D2">
        <w:rPr>
          <w:color w:val="000000"/>
        </w:rPr>
        <w:t xml:space="preserve">: </w:t>
      </w:r>
      <w:r w:rsidRPr="004C63D2">
        <w:rPr>
          <w:color w:val="000000"/>
        </w:rPr>
        <w:t xml:space="preserve">A systematic review using STS to analyze IoT implementation across healthcare settings identified 94 distinct factors grouped into 24 themes, encompassing both social elements (e.g., training, workflow integration, stakeholder engagement) and technical considerations (e.g., interoperability, infrastructure). The study highlighted the need for STS frameworks tailored to healthcare to guide strategic adoption of connected devices </w:t>
      </w:r>
      <w:r w:rsidR="008825CE" w:rsidRPr="004C63D2">
        <w:rPr>
          <w:color w:val="000000"/>
        </w:rPr>
        <w:t xml:space="preserve"> </w:t>
      </w:r>
      <w:hyperlink r:id="rId8" w:tooltip="Sociotechnical analysis of factors influencing IoT adoption in healthcare: A systematic review" w:history="1">
        <w:r w:rsidR="008825CE" w:rsidRPr="004C63D2">
          <w:rPr>
            <w:rFonts w:eastAsiaTheme="minorEastAsia"/>
            <w14:ligatures w14:val="standardContextual"/>
          </w:rPr>
          <w:t>(</w:t>
        </w:r>
        <w:proofErr w:type="spellStart"/>
        <w:r w:rsidR="008825CE" w:rsidRPr="004C63D2">
          <w:rPr>
            <w:rFonts w:eastAsiaTheme="minorEastAsia"/>
            <w14:ligatures w14:val="standardContextual"/>
          </w:rPr>
          <w:t>Kronlid</w:t>
        </w:r>
        <w:proofErr w:type="spellEnd"/>
        <w:r w:rsidR="008825CE" w:rsidRPr="004C63D2">
          <w:rPr>
            <w:rFonts w:eastAsiaTheme="minorEastAsia"/>
            <w14:ligatures w14:val="standardContextual"/>
          </w:rPr>
          <w:t xml:space="preserve"> </w:t>
        </w:r>
        <w:r w:rsidR="008825CE" w:rsidRPr="004C63D2">
          <w:rPr>
            <w:rFonts w:eastAsiaTheme="minorEastAsia"/>
            <w:i/>
            <w:iCs/>
            <w14:ligatures w14:val="standardContextual"/>
          </w:rPr>
          <w:t>et al.</w:t>
        </w:r>
        <w:r w:rsidR="008825CE" w:rsidRPr="004C63D2">
          <w:rPr>
            <w:rFonts w:eastAsiaTheme="minorEastAsia"/>
            <w14:ligatures w14:val="standardContextual"/>
          </w:rPr>
          <w:t>, 2024)</w:t>
        </w:r>
      </w:hyperlink>
      <w:r w:rsidRPr="004C63D2">
        <w:t>).</w:t>
      </w:r>
    </w:p>
    <w:p w14:paraId="50AF5589" w14:textId="05D23C30" w:rsidR="0064600D" w:rsidRPr="004C63D2" w:rsidRDefault="0064600D" w:rsidP="00A66082">
      <w:pPr>
        <w:spacing w:before="100" w:beforeAutospacing="1" w:after="100" w:afterAutospacing="1"/>
        <w:jc w:val="both"/>
        <w:rPr>
          <w:color w:val="000000"/>
        </w:rPr>
      </w:pPr>
      <w:r w:rsidRPr="004C63D2">
        <w:rPr>
          <w:color w:val="000000"/>
        </w:rPr>
        <w:t>Cybersecurity in Healthcare Systems (2024)</w:t>
      </w:r>
      <w:r w:rsidR="00A66082" w:rsidRPr="004C63D2">
        <w:rPr>
          <w:color w:val="000000"/>
        </w:rPr>
        <w:t xml:space="preserve">: </w:t>
      </w:r>
      <w:proofErr w:type="spellStart"/>
      <w:r w:rsidRPr="004C63D2">
        <w:rPr>
          <w:color w:val="000000"/>
        </w:rPr>
        <w:t>Ewoh</w:t>
      </w:r>
      <w:proofErr w:type="spellEnd"/>
      <w:r w:rsidRPr="004C63D2">
        <w:rPr>
          <w:color w:val="000000"/>
        </w:rPr>
        <w:t xml:space="preserve"> and Vartiainen conducted a systematic review highlighting how vulnerabilities to cyberattacks stem from socio-technical misalignments</w:t>
      </w:r>
      <w:r w:rsidR="00A66082" w:rsidRPr="004C63D2">
        <w:rPr>
          <w:color w:val="000000"/>
        </w:rPr>
        <w:t xml:space="preserve">, </w:t>
      </w:r>
      <w:r w:rsidRPr="004C63D2">
        <w:rPr>
          <w:color w:val="000000"/>
        </w:rPr>
        <w:t>such as outdated legacy systems, lack of staff training, and poor governance structures. They advocate for socio-technical solutions like secure design processes, awareness campaigns, and collaborative governance models to enhance system resilience</w:t>
      </w:r>
      <w:r w:rsidR="00C2290F" w:rsidRPr="004C63D2">
        <w:rPr>
          <w:color w:val="000000"/>
        </w:rPr>
        <w:t xml:space="preserve"> </w:t>
      </w:r>
      <w:r w:rsidR="00C2290F" w:rsidRPr="004C63D2">
        <w:rPr>
          <w:color w:val="000000"/>
        </w:rPr>
        <w:fldChar w:fldCharType="begin"/>
      </w:r>
      <w:r w:rsidR="00C2290F" w:rsidRPr="004C63D2">
        <w:rPr>
          <w:color w:val="000000"/>
        </w:rPr>
        <w:instrText xml:space="preserve"> ADDIN ZOTERO_ITEM CSL_CITATION {"citationID":"3Ux00ppk","properties":{"formattedCitation":"(Ewoh and Vartiainen, 2024)","plainCitation":"(Ewoh and Vartiainen, 2024)","noteIndex":0},"citationItems":[{"id":718,"uris":["http://zotero.org/users/16099821/items/GZ5ADL99"],"itemData":{"id":718,"type":"article-journal","abstract":"Background\n              Health care organizations worldwide are faced with an increasing number of cyberattacks and threats to their critical infrastructure. These cyberattacks cause significant data breaches in digital health information systems, which threaten patient safety and privacy.\n            \n            \n              Objective\n              From a sociotechnical perspective, this paper explores why digital health care systems are vulnerable to cyberattacks and provides sociotechnical solutions through a systematic literature review (SLR).\n            \n            \n              Methods\n              An SLR using the PRISMA (Preferred Reporting Items for Systematic Reviews and Meta-Analyses) was conducted by searching 6 databases (PubMed, Web of Science, ScienceDirect, Scopus, Institute of Electrical and Electronics Engineers, and Springer) and a journal (Management Information Systems Quarterly) for articles published between 2012 and 2022 and indexed using the following keywords: “(cybersecurity OR cybercrime OR ransomware) AND (healthcare) OR (cybersecurity in healthcare).” Reports, review articles, and industry white papers that focused on cybersecurity and health care challenges and solutions were included. Only articles published in English were selected for the review.\n            \n            \n              Results\n              In total, 5 themes were identified: human error, lack of investment, complex network-connected end-point devices, old legacy systems, and technology advancement (digitalization). We also found that knowledge applications for solving vulnerabilities in health care systems between 2012 to 2022 were inconsistent.\n            \n            \n              Conclusions\n              This SLR provides a clear understanding of why health care systems are vulnerable to cyberattacks and proposes interventions from a new sociotechnical perspective. These solutions can serve as a guide for health care organizations in their efforts to prevent breaches and address vulnerabilities. To bridge the gap, we recommend that health care organizations, in partnership with educational institutions, develop and implement a cybersecurity curriculum for health care and intelligence information sharing through collaborations; training; awareness campaigns; and knowledge application areas such as secure design processes, phase-out of legacy systems, and improved investment. Additional studies are needed to create a sociotechnical framework that will support cybersecurity in health care systems and connect technology, people, and processes in an integrated manner.","container-title":"Journal of Medical Internet Research","DOI":"10.2196/46904","ISSN":"1438-8871","journalAbbreviation":"J Med Internet Res","language":"en","page":"e46904","source":"DOI.org (Crossref)","title":"Vulnerability to Cyberattacks and Sociotechnical Solutions for Health Care Systems: Systematic Review","title-short":"Vulnerability to Cyberattacks and Sociotechnical Solutions for Health Care Systems","volume":"26","author":[{"family":"Ewoh","given":"Pius"},{"family":"Vartiainen","given":"Tero"}],"issued":{"date-parts":[["2024",5,31]]}}}],"schema":"https://github.com/citation-style-language/schema/raw/master/csl-citation.json"} </w:instrText>
      </w:r>
      <w:r w:rsidR="00C2290F" w:rsidRPr="004C63D2">
        <w:rPr>
          <w:color w:val="000000"/>
        </w:rPr>
        <w:fldChar w:fldCharType="separate"/>
      </w:r>
      <w:r w:rsidR="00C2290F" w:rsidRPr="004C63D2">
        <w:rPr>
          <w:noProof/>
          <w:color w:val="000000"/>
        </w:rPr>
        <w:t>(Ewoh and Vartiainen, 2024)</w:t>
      </w:r>
      <w:r w:rsidR="00C2290F" w:rsidRPr="004C63D2">
        <w:rPr>
          <w:color w:val="000000"/>
        </w:rPr>
        <w:fldChar w:fldCharType="end"/>
      </w:r>
      <w:r w:rsidR="00F85F37" w:rsidRPr="004C63D2">
        <w:rPr>
          <w:color w:val="000000"/>
        </w:rPr>
        <w:t>.</w:t>
      </w:r>
    </w:p>
    <w:p w14:paraId="71715723" w14:textId="6F4EAD51" w:rsidR="0064600D" w:rsidRPr="004C63D2" w:rsidRDefault="0064600D" w:rsidP="00A66082">
      <w:pPr>
        <w:spacing w:before="100" w:beforeAutospacing="1" w:after="100" w:afterAutospacing="1"/>
        <w:jc w:val="both"/>
        <w:rPr>
          <w:color w:val="000000"/>
        </w:rPr>
      </w:pPr>
      <w:r w:rsidRPr="004C63D2">
        <w:rPr>
          <w:color w:val="000000"/>
        </w:rPr>
        <w:t>mHealth Engagement in Underserved Settings (2023)</w:t>
      </w:r>
      <w:r w:rsidR="00A66082" w:rsidRPr="004C63D2">
        <w:rPr>
          <w:color w:val="000000"/>
        </w:rPr>
        <w:t xml:space="preserve">: </w:t>
      </w:r>
      <w:r w:rsidRPr="004C63D2">
        <w:rPr>
          <w:color w:val="000000"/>
        </w:rPr>
        <w:br/>
      </w:r>
      <w:proofErr w:type="spellStart"/>
      <w:r w:rsidRPr="004C63D2">
        <w:rPr>
          <w:color w:val="000000"/>
        </w:rPr>
        <w:t>Ikwunne</w:t>
      </w:r>
      <w:proofErr w:type="spellEnd"/>
      <w:r w:rsidRPr="004C63D2">
        <w:rPr>
          <w:color w:val="000000"/>
        </w:rPr>
        <w:t xml:space="preserve"> et al. developed the DECENT model, demonstrating that mHealth app engagement depends not just on software design, but also on users’ cognitive load, cultural context, social connectivity, and motivational features. Neglecting socio-technical factors during app design can reduce user engagement—a critical insight for elderly populations with varied digital readiness </w:t>
      </w:r>
      <w:r w:rsidR="0029016A" w:rsidRPr="004C63D2">
        <w:rPr>
          <w:color w:val="000000"/>
        </w:rPr>
        <w:fldChar w:fldCharType="begin"/>
      </w:r>
      <w:r w:rsidR="0029016A" w:rsidRPr="004C63D2">
        <w:rPr>
          <w:color w:val="000000"/>
        </w:rPr>
        <w:instrText xml:space="preserve"> ADDIN ZOTERO_ITEM CSL_CITATION {"citationID":"RFbrPGBw","properties":{"formattedCitation":"(Ikwunne, Hederman and Wall, 2023)","plainCitation":"(Ikwunne, Hederman and Wall, 2023)","noteIndex":0},"citationItems":[{"id":722,"uris":["http://zotero.org/users/16099821/items/NFDHJFZJ"],"itemData":{"id":722,"type":"article-journal","abstract":"Objective\n              Despite the fact that user engagement is critical to the efficacy of mobile health (mHealth) interventions in the Global South, many of these interventions lack user engagement features. This is because sociotechnical aspects of such initiatives are frequently ignored during the design, development, and implementation stages. This research highlighted the importance of considering sociotechnical factors when developing mHealth apps. The intended users for the mHealth technologies in this study are care professionals.\n            \n            \n              Materials and Methods\n              Five semi-structured interviews and a pilot interview were conducted to identify user engagement facilitators and barriers. The interview data were analysed using NVivo. The Capability, Opportunity, Motivation – Behaviour (COM-B) model is then used to map the facilitators and barriers to mHealth app engagement, allowing researchers to better understand how users engage/disengage with mHealth apps.\n            \n            \n              Results and Discussion\n              Capability facilitators included features that assist users in learning more about the app (e.g. a user manual and statistical data) as well as features that assist users in developing a routine. The lack of app skills and cognitive overload limit capability. While social connectedness and offline functionality were identified as facilitators of user engagement, non-user-friendly design and cultural dimensions were identified as barriers. Early user engagement and rewards were identified as motivational facilitators that influence user engagement. Furthermore, perceived non-utility and a lack of encouragement were identified as motivational barriers to engagement.\n            \n            \n              Conclusion\n              Several factors were discovered across all COM-B model components that could be used to develop more engaging mHealth apps. Adopting a techno-centric approach that ignores sociotechnical factors can reduce user engagement. The design process engagement enhancement system (DECENT) framework was proposed based on the findings.","container-title":"DIGITAL HEALTH","DOI":"10.1177/20552076231203595","ISSN":"2055-2076, 2055-2076","journalAbbreviation":"DIGITAL HEALTH","language":"en","page":"20552076231203595","source":"DOI.org (Crossref)","title":"DECENT: A sociotechnical approach for developing mobile health apps in underserved settings","title-short":"DECENT","volume":"9","author":[{"family":"Ikwunne","given":"Tochukwu"},{"family":"Hederman","given":"Lucy"},{"family":"Wall","given":"P. J."}],"issued":{"date-parts":[["2023",1]]}}}],"schema":"https://github.com/citation-style-language/schema/raw/master/csl-citation.json"} </w:instrText>
      </w:r>
      <w:r w:rsidR="0029016A" w:rsidRPr="004C63D2">
        <w:rPr>
          <w:color w:val="000000"/>
        </w:rPr>
        <w:fldChar w:fldCharType="separate"/>
      </w:r>
      <w:r w:rsidR="0029016A" w:rsidRPr="004C63D2">
        <w:rPr>
          <w:noProof/>
          <w:color w:val="000000"/>
        </w:rPr>
        <w:t>(Ikwunne, Hederman and Wall, 2023)</w:t>
      </w:r>
      <w:r w:rsidR="0029016A" w:rsidRPr="004C63D2">
        <w:rPr>
          <w:color w:val="000000"/>
        </w:rPr>
        <w:fldChar w:fldCharType="end"/>
      </w:r>
      <w:r w:rsidR="0029016A" w:rsidRPr="004C63D2">
        <w:rPr>
          <w:color w:val="000000"/>
        </w:rPr>
        <w:t xml:space="preserve">. </w:t>
      </w:r>
    </w:p>
    <w:p w14:paraId="2428C8E9" w14:textId="385C0120" w:rsidR="0064600D" w:rsidRPr="004C63D2" w:rsidRDefault="0064600D" w:rsidP="00A66082">
      <w:pPr>
        <w:spacing w:before="100" w:beforeAutospacing="1" w:after="100" w:afterAutospacing="1"/>
        <w:jc w:val="both"/>
        <w:rPr>
          <w:color w:val="000000"/>
        </w:rPr>
      </w:pPr>
      <w:r w:rsidRPr="004C63D2">
        <w:rPr>
          <w:color w:val="000000"/>
        </w:rPr>
        <w:t>ST Systems in Preventive Care Delivery (2022)</w:t>
      </w:r>
      <w:r w:rsidR="00A66082" w:rsidRPr="004C63D2">
        <w:rPr>
          <w:color w:val="000000"/>
        </w:rPr>
        <w:t>:</w:t>
      </w:r>
      <w:r w:rsidRPr="004C63D2">
        <w:rPr>
          <w:color w:val="000000"/>
        </w:rPr>
        <w:br/>
        <w:t xml:space="preserve">A participatory design study in rural preventive cardiovascular care applied STS theory to co-create team-based interventions supported by clinical decision support (CDS). The approach highlighted that integrating technical tools with local workflows and team dynamics enhances acceptability and sustainability of digital health models </w:t>
      </w:r>
      <w:r w:rsidR="002B6797" w:rsidRPr="004C63D2">
        <w:rPr>
          <w:color w:val="000000"/>
        </w:rPr>
        <w:fldChar w:fldCharType="begin"/>
      </w:r>
      <w:r w:rsidR="00696D0E" w:rsidRPr="004C63D2">
        <w:rPr>
          <w:color w:val="000000"/>
        </w:rPr>
        <w:instrText xml:space="preserve"> ADDIN ZOTERO_ITEM CSL_CITATION {"citationID":"BYAtUe2I","properties":{"formattedCitation":"(Partogi {\\i{}et al.}, 2022)","plainCitation":"(Partogi et al., 2022)","noteIndex":0},"citationItems":[{"id":674,"uris":["http://zotero.org/users/16099821/items/XI4FINP4","http://zotero.org/users/16099821/items/J3JGHAI6"],"itemData":{"id":674,"type":"article-journal","abstract":"Background: Clinical practice guidelines recommend antiplatelet and statin therapies as well as blood pressure control and tobacco cessation for secondary prevention in patients with established atherosclerotic cardiovascular diseases (ASCVDs). However, these strategies for risk modification are underused, especially in rural communities. Moreover, resources to support the delivery of preventive care to rural patients are fewer than those for their urban counterparts. Transformative interventions for the delivery of tailored preventive cardiovascular care to rural patients are needed.\nObjective: A multidisciplinary team developed a rural-specific, team-based model of care intervention assisted by clinical decision support (CDS) technology using participatory design in a sociotechnical conceptual framework. The model of care intervention included redesigned workflows and a novel CDS technology for the coordination and delivery of guideline recommendations by primary care teams in a rural clinic.\nMethods: The design of the model of care intervention comprised 3 phases: problem identification, experimentation, and testing. Input from team members (n=35) required 150 hours, including observations of clinical encounters, provider workshops, and interviews with patients and health care professionals. The intervention was prototyped, iteratively refined, and tested with user feedback. In a 3-month pilot trial, 369 patients with ASCVDs were randomized into the control or intervention arm.\nResults: New workflows and a novel CDS tool were created to identify patients with ASCVDs who had gaps in preventive care and assign the right care team member for delivery of tailored recommendations. During the pilot, the intervention prototype was iteratively refined and tested. The pilot demonstrated feasibility for successful implementation of the sociotechnical intervention as the proportion of patients who had encounters with advanced practice providers (nurse practitioners and physician assistants), pharmacists, or tobacco cessation coaches for the delivery of guideline recommendations in the intervention arm was greater than that in the control arm.\nConclusions: Participatory design and a sociotechnical conceptual framework enabled the development of a rural-specific, team-based model of care intervention assisted by CDS technology for the transformation of preventive health care delivery for ASCVDs.","container-title":"Journal of Medical Internet Research","DOI":"10.2196/27333","issue":"8","language":"EN","note":"Company: Journal of Medical Internet Research\nDistributor: Journal of Medical Internet Research\nInstitution: Journal of Medical Internet Research\nLabel: Journal of Medical Internet Research\npublisher: JMIR Publications Inc., Toronto, Canada","page":"e27333","source":"www.jmir.org","title":"Sociotechnical Intervention for Improved Delivery of Preventive Cardiovascular Care to Rural Communities: Participatory Design Approach","title-short":"Sociotechnical Intervention for Improved Delivery of Preventive Cardiovascular Care to Rural Communities","volume":"24","author":[{"family":"Partogi","given":"Michelle"},{"family":"Gaviria-Valencia","given":"Simon"},{"family":"Aguirre","given":"Mateo Alzate"},{"family":"Pick","given":"Nancy J."},{"family":"Bhopalwala","given":"Huzefa M."},{"family":"Barry","given":"Barbara A."},{"family":"Kaggal","given":"Vinod C."},{"family":"Scott","given":"Christopher G."},{"family":"Kessler","given":"Maya E."},{"family":"Moore","given":"Matthew M."},{"family":"Mitchell","given":"Jay D."},{"family":"Chaudhry","given":"Rajeev"},{"family":"Bonacci","given":"Robert P."},{"family":"Arruda-Olson","given":"Adelaide M."}],"issued":{"date-parts":[["2022",8,22]]}}}],"schema":"https://github.com/citation-style-language/schema/raw/master/csl-citation.json"} </w:instrText>
      </w:r>
      <w:r w:rsidR="002B6797" w:rsidRPr="004C63D2">
        <w:rPr>
          <w:color w:val="000000"/>
        </w:rPr>
        <w:fldChar w:fldCharType="separate"/>
      </w:r>
      <w:r w:rsidR="002B6797" w:rsidRPr="004C63D2">
        <w:rPr>
          <w:rFonts w:eastAsiaTheme="minorEastAsia"/>
          <w:color w:val="000000"/>
          <w14:ligatures w14:val="standardContextual"/>
        </w:rPr>
        <w:t>(</w:t>
      </w:r>
      <w:proofErr w:type="spellStart"/>
      <w:r w:rsidR="002B6797" w:rsidRPr="004C63D2">
        <w:rPr>
          <w:rFonts w:eastAsiaTheme="minorEastAsia"/>
          <w:color w:val="000000"/>
          <w14:ligatures w14:val="standardContextual"/>
        </w:rPr>
        <w:t>Partogi</w:t>
      </w:r>
      <w:proofErr w:type="spellEnd"/>
      <w:r w:rsidR="002B6797" w:rsidRPr="004C63D2">
        <w:rPr>
          <w:rFonts w:eastAsiaTheme="minorEastAsia"/>
          <w:color w:val="000000"/>
          <w14:ligatures w14:val="standardContextual"/>
        </w:rPr>
        <w:t xml:space="preserve"> </w:t>
      </w:r>
      <w:r w:rsidR="002B6797" w:rsidRPr="004C63D2">
        <w:rPr>
          <w:rFonts w:eastAsiaTheme="minorEastAsia"/>
          <w:i/>
          <w:iCs/>
          <w:color w:val="000000"/>
          <w14:ligatures w14:val="standardContextual"/>
        </w:rPr>
        <w:t>et al.</w:t>
      </w:r>
      <w:r w:rsidR="002B6797" w:rsidRPr="004C63D2">
        <w:rPr>
          <w:rFonts w:eastAsiaTheme="minorEastAsia"/>
          <w:color w:val="000000"/>
          <w14:ligatures w14:val="standardContextual"/>
        </w:rPr>
        <w:t>, 2022)</w:t>
      </w:r>
      <w:r w:rsidR="002B6797" w:rsidRPr="004C63D2">
        <w:rPr>
          <w:color w:val="000000"/>
        </w:rPr>
        <w:fldChar w:fldCharType="end"/>
      </w:r>
    </w:p>
    <w:p w14:paraId="0F24A1AA" w14:textId="77777777" w:rsidR="00211091" w:rsidRPr="004C63D2" w:rsidRDefault="00211091" w:rsidP="00383675">
      <w:pPr>
        <w:spacing w:before="100" w:beforeAutospacing="1" w:after="100" w:afterAutospacing="1"/>
        <w:jc w:val="both"/>
        <w:rPr>
          <w:b/>
          <w:bCs/>
          <w:color w:val="000000"/>
        </w:rPr>
      </w:pPr>
    </w:p>
    <w:p w14:paraId="293EF72A" w14:textId="0D584A3C" w:rsidR="0064600D" w:rsidRPr="004C63D2" w:rsidRDefault="0064600D" w:rsidP="00383675">
      <w:pPr>
        <w:spacing w:before="100" w:beforeAutospacing="1" w:after="100" w:afterAutospacing="1"/>
        <w:jc w:val="both"/>
        <w:rPr>
          <w:color w:val="000000"/>
        </w:rPr>
      </w:pPr>
      <w:r w:rsidRPr="004C63D2">
        <w:rPr>
          <w:color w:val="000000"/>
        </w:rPr>
        <w:t>STS Theory emphasizes </w:t>
      </w:r>
      <w:r w:rsidRPr="004C63D2">
        <w:rPr>
          <w:b/>
          <w:bCs/>
          <w:color w:val="000000"/>
        </w:rPr>
        <w:t>alignment</w:t>
      </w:r>
      <w:r w:rsidRPr="004C63D2">
        <w:rPr>
          <w:color w:val="000000"/>
        </w:rPr>
        <w:t> across multiple dimensions: technology, users, tasks, and context. For telerehabilitation among elderly communities, this means ensuring:</w:t>
      </w:r>
    </w:p>
    <w:p w14:paraId="6F9CCBCA" w14:textId="0384C8B9" w:rsidR="0064600D" w:rsidRPr="004C63D2" w:rsidRDefault="0064600D" w:rsidP="00383675">
      <w:pPr>
        <w:spacing w:before="100" w:beforeAutospacing="1" w:after="100" w:afterAutospacing="1"/>
        <w:jc w:val="both"/>
        <w:rPr>
          <w:color w:val="000000"/>
        </w:rPr>
      </w:pPr>
      <w:r w:rsidRPr="004C63D2">
        <w:rPr>
          <w:b/>
          <w:bCs/>
          <w:color w:val="000000"/>
        </w:rPr>
        <w:t>Workflow fit</w:t>
      </w:r>
      <w:r w:rsidRPr="004C63D2">
        <w:rPr>
          <w:color w:val="000000"/>
        </w:rPr>
        <w:t xml:space="preserve">: </w:t>
      </w:r>
      <w:r w:rsidR="004431A1" w:rsidRPr="004C63D2">
        <w:rPr>
          <w:color w:val="000000"/>
        </w:rPr>
        <w:t>Exer-</w:t>
      </w:r>
      <w:r w:rsidRPr="004C63D2">
        <w:rPr>
          <w:color w:val="000000"/>
        </w:rPr>
        <w:t>rehab games must be integrated seamlessly into existing routines (e.g., therapy sessions, caregiver check-ins).</w:t>
      </w:r>
    </w:p>
    <w:p w14:paraId="6D42F3CC" w14:textId="55642206" w:rsidR="0064600D" w:rsidRPr="004C63D2" w:rsidRDefault="0064600D" w:rsidP="00383675">
      <w:pPr>
        <w:spacing w:before="100" w:beforeAutospacing="1" w:after="100" w:afterAutospacing="1"/>
        <w:jc w:val="both"/>
        <w:rPr>
          <w:color w:val="000000"/>
        </w:rPr>
      </w:pPr>
      <w:r w:rsidRPr="004C63D2">
        <w:rPr>
          <w:b/>
          <w:bCs/>
          <w:color w:val="000000"/>
        </w:rPr>
        <w:lastRenderedPageBreak/>
        <w:t>User readiness</w:t>
      </w:r>
      <w:r w:rsidRPr="004C63D2">
        <w:rPr>
          <w:color w:val="000000"/>
        </w:rPr>
        <w:t xml:space="preserve">: </w:t>
      </w:r>
      <w:proofErr w:type="gramStart"/>
      <w:r w:rsidRPr="004C63D2">
        <w:rPr>
          <w:color w:val="000000"/>
        </w:rPr>
        <w:t>Older</w:t>
      </w:r>
      <w:proofErr w:type="gramEnd"/>
      <w:r w:rsidRPr="004C63D2">
        <w:rPr>
          <w:color w:val="000000"/>
        </w:rPr>
        <w:t xml:space="preserve"> adults’ digital literacy, cognitive capacity, and motivation must be supported via training and </w:t>
      </w:r>
      <w:r w:rsidR="008B1197" w:rsidRPr="004C63D2">
        <w:rPr>
          <w:color w:val="000000"/>
        </w:rPr>
        <w:t>culturally tailored</w:t>
      </w:r>
      <w:r w:rsidRPr="004C63D2">
        <w:rPr>
          <w:color w:val="000000"/>
        </w:rPr>
        <w:t xml:space="preserve"> design.</w:t>
      </w:r>
    </w:p>
    <w:p w14:paraId="3C8FDD35" w14:textId="77777777" w:rsidR="0064600D" w:rsidRPr="004C63D2" w:rsidRDefault="0064600D" w:rsidP="00383675">
      <w:pPr>
        <w:spacing w:before="100" w:beforeAutospacing="1" w:after="100" w:afterAutospacing="1"/>
        <w:jc w:val="both"/>
        <w:rPr>
          <w:color w:val="000000"/>
        </w:rPr>
      </w:pPr>
      <w:r w:rsidRPr="004C63D2">
        <w:rPr>
          <w:b/>
          <w:bCs/>
          <w:color w:val="000000"/>
        </w:rPr>
        <w:t>Environmental support</w:t>
      </w:r>
      <w:r w:rsidRPr="004C63D2">
        <w:rPr>
          <w:color w:val="000000"/>
        </w:rPr>
        <w:t>: Organizational processes, staff roles, and technology infrastructure must co-evolve to support telerehabilitation tools.</w:t>
      </w:r>
    </w:p>
    <w:p w14:paraId="38B38006" w14:textId="4A508D5E" w:rsidR="0008345C" w:rsidRPr="004C63D2" w:rsidRDefault="0064600D" w:rsidP="00650D63">
      <w:pPr>
        <w:spacing w:before="100" w:beforeAutospacing="1" w:after="100" w:afterAutospacing="1"/>
        <w:jc w:val="both"/>
        <w:rPr>
          <w:color w:val="000000"/>
        </w:rPr>
      </w:pPr>
      <w:r w:rsidRPr="004C63D2">
        <w:rPr>
          <w:color w:val="000000"/>
        </w:rPr>
        <w:t xml:space="preserve">By adopting an STS lens alongside TOE and Institutional Theory, </w:t>
      </w:r>
      <w:r w:rsidR="008B3385" w:rsidRPr="004C63D2">
        <w:rPr>
          <w:color w:val="000000"/>
        </w:rPr>
        <w:t>the</w:t>
      </w:r>
      <w:r w:rsidRPr="004C63D2">
        <w:rPr>
          <w:color w:val="000000"/>
        </w:rPr>
        <w:t xml:space="preserve"> research </w:t>
      </w:r>
      <w:r w:rsidR="008B1197" w:rsidRPr="004C63D2">
        <w:rPr>
          <w:color w:val="000000"/>
        </w:rPr>
        <w:t>is designed to</w:t>
      </w:r>
      <w:r w:rsidRPr="004C63D2">
        <w:rPr>
          <w:color w:val="000000"/>
        </w:rPr>
        <w:t xml:space="preserve"> reveal not just </w:t>
      </w:r>
      <w:r w:rsidRPr="004C63D2">
        <w:rPr>
          <w:i/>
          <w:iCs/>
          <w:color w:val="000000"/>
        </w:rPr>
        <w:t>whether</w:t>
      </w:r>
      <w:r w:rsidR="008B3385" w:rsidRPr="004C63D2">
        <w:rPr>
          <w:i/>
          <w:iCs/>
          <w:color w:val="000000"/>
        </w:rPr>
        <w:t xml:space="preserve"> </w:t>
      </w:r>
      <w:r w:rsidRPr="004C63D2">
        <w:rPr>
          <w:color w:val="000000"/>
        </w:rPr>
        <w:t>telerehabilitation is adopted, but </w:t>
      </w:r>
      <w:r w:rsidRPr="004C63D2">
        <w:rPr>
          <w:i/>
          <w:iCs/>
          <w:color w:val="000000"/>
        </w:rPr>
        <w:t>how</w:t>
      </w:r>
      <w:r w:rsidRPr="004C63D2">
        <w:rPr>
          <w:color w:val="000000"/>
        </w:rPr>
        <w:t> its socio-technical design affects meaningful engagement, fidelity, and sustainability in elderly community care.</w:t>
      </w:r>
    </w:p>
    <w:p w14:paraId="37C83F6A" w14:textId="77777777" w:rsidR="00ED69BB" w:rsidRDefault="00ED69BB" w:rsidP="00383675">
      <w:pPr>
        <w:pStyle w:val="NormalWeb"/>
        <w:jc w:val="both"/>
        <w:rPr>
          <w:color w:val="000000"/>
        </w:rPr>
      </w:pPr>
    </w:p>
    <w:p w14:paraId="5B8272C3" w14:textId="77777777" w:rsidR="00ED69BB" w:rsidRDefault="00ED69BB" w:rsidP="00383675">
      <w:pPr>
        <w:pStyle w:val="NormalWeb"/>
        <w:jc w:val="both"/>
        <w:rPr>
          <w:color w:val="000000"/>
        </w:rPr>
      </w:pPr>
    </w:p>
    <w:p w14:paraId="1D63FC6E" w14:textId="56F56A25" w:rsidR="009E7E7E" w:rsidRPr="004C63D2" w:rsidRDefault="009E7E7E" w:rsidP="00383675">
      <w:pPr>
        <w:pStyle w:val="NormalWeb"/>
        <w:jc w:val="both"/>
        <w:rPr>
          <w:color w:val="000000"/>
        </w:rPr>
      </w:pPr>
      <w:r w:rsidRPr="004C63D2">
        <w:rPr>
          <w:color w:val="000000"/>
        </w:rPr>
        <w:t xml:space="preserve">This integrated framework </w:t>
      </w:r>
      <w:r w:rsidR="00ED69BB">
        <w:rPr>
          <w:color w:val="000000"/>
        </w:rPr>
        <w:t>intend</w:t>
      </w:r>
      <w:r w:rsidR="007708E1">
        <w:rPr>
          <w:color w:val="000000"/>
        </w:rPr>
        <w:t>s</w:t>
      </w:r>
      <w:r w:rsidR="00ED69BB">
        <w:rPr>
          <w:color w:val="000000"/>
        </w:rPr>
        <w:t xml:space="preserve"> to give</w:t>
      </w:r>
      <w:r w:rsidRPr="004C63D2">
        <w:rPr>
          <w:color w:val="000000"/>
        </w:rPr>
        <w:t xml:space="preserve"> a </w:t>
      </w:r>
      <w:r w:rsidRPr="004C63D2">
        <w:rPr>
          <w:rStyle w:val="Strong"/>
          <w:rFonts w:eastAsiaTheme="majorEastAsia"/>
          <w:color w:val="000000"/>
        </w:rPr>
        <w:t>multi-theory foundation</w:t>
      </w:r>
      <w:r w:rsidRPr="004C63D2">
        <w:rPr>
          <w:color w:val="000000"/>
        </w:rPr>
        <w:t>:</w:t>
      </w:r>
    </w:p>
    <w:p w14:paraId="1FD7BCDD" w14:textId="77777777" w:rsidR="009E7E7E" w:rsidRPr="004C63D2" w:rsidRDefault="009E7E7E" w:rsidP="00383675">
      <w:pPr>
        <w:pStyle w:val="NormalWeb"/>
        <w:numPr>
          <w:ilvl w:val="0"/>
          <w:numId w:val="35"/>
        </w:numPr>
        <w:jc w:val="both"/>
        <w:rPr>
          <w:color w:val="000000"/>
        </w:rPr>
      </w:pPr>
      <w:r w:rsidRPr="004C63D2">
        <w:rPr>
          <w:color w:val="000000"/>
        </w:rPr>
        <w:t>TOE =</w:t>
      </w:r>
      <w:r w:rsidRPr="004C63D2">
        <w:rPr>
          <w:rStyle w:val="apple-converted-space"/>
          <w:rFonts w:eastAsiaTheme="majorEastAsia"/>
          <w:color w:val="000000"/>
        </w:rPr>
        <w:t> </w:t>
      </w:r>
      <w:r w:rsidRPr="004C63D2">
        <w:rPr>
          <w:rStyle w:val="Emphasis"/>
          <w:rFonts w:eastAsiaTheme="majorEastAsia"/>
          <w:color w:val="000000"/>
        </w:rPr>
        <w:t>what</w:t>
      </w:r>
      <w:r w:rsidRPr="004C63D2">
        <w:rPr>
          <w:rStyle w:val="apple-converted-space"/>
          <w:rFonts w:eastAsiaTheme="majorEastAsia"/>
          <w:color w:val="000000"/>
        </w:rPr>
        <w:t> </w:t>
      </w:r>
      <w:r w:rsidRPr="004C63D2">
        <w:rPr>
          <w:color w:val="000000"/>
        </w:rPr>
        <w:t>factors matter.</w:t>
      </w:r>
    </w:p>
    <w:p w14:paraId="327526E7" w14:textId="77777777" w:rsidR="009E7E7E" w:rsidRPr="004C63D2" w:rsidRDefault="009E7E7E" w:rsidP="00383675">
      <w:pPr>
        <w:pStyle w:val="NormalWeb"/>
        <w:numPr>
          <w:ilvl w:val="0"/>
          <w:numId w:val="35"/>
        </w:numPr>
        <w:jc w:val="both"/>
        <w:rPr>
          <w:color w:val="000000"/>
        </w:rPr>
      </w:pPr>
      <w:r w:rsidRPr="004C63D2">
        <w:rPr>
          <w:color w:val="000000"/>
        </w:rPr>
        <w:t>Institutional Theory =</w:t>
      </w:r>
      <w:r w:rsidRPr="004C63D2">
        <w:rPr>
          <w:rStyle w:val="apple-converted-space"/>
          <w:rFonts w:eastAsiaTheme="majorEastAsia"/>
          <w:color w:val="000000"/>
        </w:rPr>
        <w:t> </w:t>
      </w:r>
      <w:r w:rsidRPr="004C63D2">
        <w:rPr>
          <w:rStyle w:val="Emphasis"/>
          <w:rFonts w:eastAsiaTheme="majorEastAsia"/>
          <w:color w:val="000000"/>
        </w:rPr>
        <w:t>why</w:t>
      </w:r>
      <w:r w:rsidRPr="004C63D2">
        <w:rPr>
          <w:rStyle w:val="apple-converted-space"/>
          <w:rFonts w:eastAsiaTheme="majorEastAsia"/>
          <w:color w:val="000000"/>
        </w:rPr>
        <w:t> </w:t>
      </w:r>
      <w:r w:rsidRPr="004C63D2">
        <w:rPr>
          <w:color w:val="000000"/>
        </w:rPr>
        <w:t>organizations respond despite barriers.</w:t>
      </w:r>
    </w:p>
    <w:p w14:paraId="536243BC" w14:textId="77777777" w:rsidR="009E7E7E" w:rsidRPr="004C63D2" w:rsidRDefault="009E7E7E" w:rsidP="00383675">
      <w:pPr>
        <w:pStyle w:val="NormalWeb"/>
        <w:numPr>
          <w:ilvl w:val="0"/>
          <w:numId w:val="35"/>
        </w:numPr>
        <w:jc w:val="both"/>
        <w:rPr>
          <w:color w:val="000000"/>
        </w:rPr>
      </w:pPr>
      <w:r w:rsidRPr="004C63D2">
        <w:rPr>
          <w:color w:val="000000"/>
        </w:rPr>
        <w:t>STS =</w:t>
      </w:r>
      <w:r w:rsidRPr="004C63D2">
        <w:rPr>
          <w:rStyle w:val="apple-converted-space"/>
          <w:rFonts w:eastAsiaTheme="majorEastAsia"/>
          <w:color w:val="000000"/>
        </w:rPr>
        <w:t> </w:t>
      </w:r>
      <w:r w:rsidRPr="004C63D2">
        <w:rPr>
          <w:rStyle w:val="Emphasis"/>
          <w:rFonts w:eastAsiaTheme="majorEastAsia"/>
          <w:color w:val="000000"/>
        </w:rPr>
        <w:t>how</w:t>
      </w:r>
      <w:r w:rsidRPr="004C63D2">
        <w:rPr>
          <w:rStyle w:val="apple-converted-space"/>
          <w:rFonts w:eastAsiaTheme="majorEastAsia"/>
          <w:color w:val="000000"/>
        </w:rPr>
        <w:t> </w:t>
      </w:r>
      <w:r w:rsidRPr="004C63D2">
        <w:rPr>
          <w:color w:val="000000"/>
        </w:rPr>
        <w:t>adoption is operationalized successfully.</w:t>
      </w:r>
    </w:p>
    <w:p w14:paraId="65BDC85A" w14:textId="250F0EE8" w:rsidR="00987B65" w:rsidRPr="004C63D2" w:rsidRDefault="00987B65" w:rsidP="00383675">
      <w:pPr>
        <w:jc w:val="both"/>
      </w:pPr>
    </w:p>
    <w:p w14:paraId="711E0696" w14:textId="1279EF8C" w:rsidR="00F249C4" w:rsidRPr="004C63D2" w:rsidRDefault="00F249C4" w:rsidP="00383675">
      <w:pPr>
        <w:jc w:val="both"/>
      </w:pPr>
    </w:p>
    <w:p w14:paraId="313C803B" w14:textId="77777777" w:rsidR="00755850" w:rsidRPr="004C63D2" w:rsidRDefault="00755850" w:rsidP="00383675">
      <w:pPr>
        <w:jc w:val="both"/>
      </w:pPr>
    </w:p>
    <w:p w14:paraId="7A5E8F61" w14:textId="77777777" w:rsidR="00755850" w:rsidRPr="004C63D2" w:rsidRDefault="00755850" w:rsidP="00383675">
      <w:pPr>
        <w:jc w:val="both"/>
      </w:pPr>
    </w:p>
    <w:p w14:paraId="42FBAA6B" w14:textId="0F996720" w:rsidR="00DA3600" w:rsidRPr="004C63D2" w:rsidRDefault="00DA3600" w:rsidP="00383675">
      <w:pPr>
        <w:jc w:val="both"/>
      </w:pPr>
      <w:r w:rsidRPr="004C63D2">
        <w:lastRenderedPageBreak/>
        <w:fldChar w:fldCharType="begin"/>
      </w:r>
      <w:r w:rsidRPr="004C63D2">
        <w:instrText xml:space="preserve"> INCLUDEPICTURE "/Users/yvonnelai/Library/Group Containers/UBF8T346G9.ms/WebArchiveCopyPasteTempFiles/com.microsoft.Word/content?id=file-M49EjXxjaDToRadU4PWkLQ&amp;ts=488174&amp;p=fs&amp;cid=1&amp;sig=52d5ca877f5d1c8d61ffbdc2ede2e0dca8863235749fe0c0f99910a293dace5d&amp;v=0" \* MERGEFORMATINET </w:instrText>
      </w:r>
      <w:r w:rsidRPr="004C63D2">
        <w:fldChar w:fldCharType="separate"/>
      </w:r>
      <w:r w:rsidRPr="004C63D2">
        <w:rPr>
          <w:noProof/>
        </w:rPr>
        <w:drawing>
          <wp:inline distT="0" distB="0" distL="0" distR="0" wp14:anchorId="015EE074" wp14:editId="79BB1F69">
            <wp:extent cx="6459855" cy="4920915"/>
            <wp:effectExtent l="0" t="0" r="4445" b="0"/>
            <wp:docPr id="52119318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66676" cy="5002288"/>
                    </a:xfrm>
                    <a:prstGeom prst="rect">
                      <a:avLst/>
                    </a:prstGeom>
                    <a:noFill/>
                    <a:ln>
                      <a:noFill/>
                    </a:ln>
                  </pic:spPr>
                </pic:pic>
              </a:graphicData>
            </a:graphic>
          </wp:inline>
        </w:drawing>
      </w:r>
      <w:r w:rsidRPr="004C63D2">
        <w:fldChar w:fldCharType="end"/>
      </w:r>
    </w:p>
    <w:p w14:paraId="39191F99" w14:textId="21957830" w:rsidR="00847229" w:rsidRPr="004C63D2" w:rsidRDefault="00D477D8" w:rsidP="00383675">
      <w:pPr>
        <w:jc w:val="both"/>
        <w:rPr>
          <w:b/>
          <w:bCs/>
        </w:rPr>
      </w:pPr>
      <w:r w:rsidRPr="004C63D2">
        <w:rPr>
          <w:b/>
          <w:bCs/>
        </w:rPr>
        <w:br w:type="column"/>
      </w:r>
      <w:r w:rsidR="004C63D2">
        <w:rPr>
          <w:b/>
          <w:bCs/>
        </w:rPr>
        <w:lastRenderedPageBreak/>
        <w:t xml:space="preserve">3. </w:t>
      </w:r>
      <w:r w:rsidR="00847229" w:rsidRPr="004C63D2">
        <w:rPr>
          <w:b/>
          <w:bCs/>
        </w:rPr>
        <w:t>Research Methodology</w:t>
      </w:r>
    </w:p>
    <w:p w14:paraId="19E03013" w14:textId="77777777" w:rsidR="00755850" w:rsidRPr="004C63D2" w:rsidRDefault="00755850" w:rsidP="00383675">
      <w:pPr>
        <w:jc w:val="both"/>
      </w:pPr>
    </w:p>
    <w:p w14:paraId="3EBC191F" w14:textId="58AA6EC0" w:rsidR="00847229" w:rsidRPr="004C63D2" w:rsidRDefault="004C63D2" w:rsidP="00383675">
      <w:pPr>
        <w:spacing w:before="100" w:beforeAutospacing="1" w:after="100" w:afterAutospacing="1"/>
        <w:jc w:val="both"/>
        <w:outlineLvl w:val="1"/>
        <w:rPr>
          <w:b/>
          <w:bCs/>
          <w:color w:val="000000"/>
        </w:rPr>
      </w:pPr>
      <w:r>
        <w:rPr>
          <w:b/>
          <w:bCs/>
          <w:color w:val="000000"/>
        </w:rPr>
        <w:t xml:space="preserve">3.1 </w:t>
      </w:r>
      <w:r w:rsidR="00847229" w:rsidRPr="004C63D2">
        <w:rPr>
          <w:b/>
          <w:bCs/>
          <w:color w:val="000000"/>
        </w:rPr>
        <w:t>Research Objectives</w:t>
      </w:r>
    </w:p>
    <w:p w14:paraId="511C996C" w14:textId="77777777" w:rsidR="00847229" w:rsidRPr="004C63D2" w:rsidRDefault="00847229" w:rsidP="00383675">
      <w:pPr>
        <w:numPr>
          <w:ilvl w:val="0"/>
          <w:numId w:val="9"/>
        </w:numPr>
        <w:spacing w:before="100" w:beforeAutospacing="1" w:after="100" w:afterAutospacing="1"/>
        <w:jc w:val="both"/>
        <w:rPr>
          <w:color w:val="000000"/>
        </w:rPr>
      </w:pPr>
      <w:r w:rsidRPr="004C63D2">
        <w:rPr>
          <w:b/>
          <w:bCs/>
          <w:color w:val="000000"/>
        </w:rPr>
        <w:t>To examine the influence of technological, organizational, and environmental factors</w:t>
      </w:r>
      <w:r w:rsidRPr="004C63D2">
        <w:rPr>
          <w:color w:val="000000"/>
        </w:rPr>
        <w:t> (as outlined in the TOE framework) on the adoption of telerehabilitation in elderly community settings.</w:t>
      </w:r>
    </w:p>
    <w:p w14:paraId="513691EF" w14:textId="77777777" w:rsidR="00847229" w:rsidRPr="004C63D2" w:rsidRDefault="00847229" w:rsidP="00383675">
      <w:pPr>
        <w:numPr>
          <w:ilvl w:val="0"/>
          <w:numId w:val="9"/>
        </w:numPr>
        <w:spacing w:before="100" w:beforeAutospacing="1" w:after="100" w:afterAutospacing="1"/>
        <w:jc w:val="both"/>
        <w:rPr>
          <w:color w:val="000000"/>
        </w:rPr>
      </w:pPr>
      <w:r w:rsidRPr="004C63D2">
        <w:rPr>
          <w:b/>
          <w:bCs/>
          <w:color w:val="000000"/>
        </w:rPr>
        <w:t>To investigate the role of institutional pressures</w:t>
      </w:r>
      <w:r w:rsidRPr="004C63D2">
        <w:rPr>
          <w:color w:val="000000"/>
        </w:rPr>
        <w:t>—coercive (e.g., regulations, funding requirements), mimetic (e.g., peer imitation), and normative (e.g., professional standards)—in shaping organizational decisions to adopt telerehabilitation.</w:t>
      </w:r>
    </w:p>
    <w:p w14:paraId="35896587" w14:textId="77777777" w:rsidR="00847229" w:rsidRPr="004C63D2" w:rsidRDefault="00847229" w:rsidP="00383675">
      <w:pPr>
        <w:numPr>
          <w:ilvl w:val="0"/>
          <w:numId w:val="9"/>
        </w:numPr>
        <w:spacing w:before="100" w:beforeAutospacing="1" w:after="100" w:afterAutospacing="1"/>
        <w:jc w:val="both"/>
        <w:rPr>
          <w:color w:val="000000"/>
        </w:rPr>
      </w:pPr>
      <w:r w:rsidRPr="004C63D2">
        <w:rPr>
          <w:b/>
          <w:bCs/>
          <w:color w:val="000000"/>
        </w:rPr>
        <w:t>To assess the impact of socio-technical alignment</w:t>
      </w:r>
      <w:r w:rsidRPr="004C63D2">
        <w:rPr>
          <w:color w:val="000000"/>
        </w:rPr>
        <w:t> between technology, people, and organizational processes on the successful implementation and sustainability of telerehabilitation in community-based eldercare organizations.</w:t>
      </w:r>
    </w:p>
    <w:p w14:paraId="201E1FF1" w14:textId="77777777" w:rsidR="00847229" w:rsidRPr="004C63D2" w:rsidRDefault="00847229" w:rsidP="00383675">
      <w:pPr>
        <w:jc w:val="both"/>
      </w:pPr>
    </w:p>
    <w:p w14:paraId="65746A96" w14:textId="59022135" w:rsidR="00755850" w:rsidRPr="004C63D2" w:rsidRDefault="004C63D2" w:rsidP="00383675">
      <w:pPr>
        <w:jc w:val="both"/>
        <w:rPr>
          <w:b/>
          <w:bCs/>
        </w:rPr>
      </w:pPr>
      <w:r>
        <w:rPr>
          <w:b/>
          <w:bCs/>
        </w:rPr>
        <w:t xml:space="preserve">3.2 </w:t>
      </w:r>
      <w:r w:rsidR="00755850" w:rsidRPr="004C63D2">
        <w:rPr>
          <w:b/>
          <w:bCs/>
        </w:rPr>
        <w:t>Research Questions</w:t>
      </w:r>
    </w:p>
    <w:p w14:paraId="0DB6FF8A" w14:textId="7D10F2BD" w:rsidR="0086607D" w:rsidRPr="004C63D2" w:rsidRDefault="00EB5F89" w:rsidP="00383675">
      <w:pPr>
        <w:pStyle w:val="NormalWeb"/>
        <w:jc w:val="both"/>
        <w:rPr>
          <w:rStyle w:val="Strong"/>
          <w:rFonts w:eastAsiaTheme="majorEastAsia"/>
          <w:color w:val="000000"/>
        </w:rPr>
      </w:pPr>
      <w:r w:rsidRPr="004C63D2">
        <w:rPr>
          <w:rStyle w:val="Strong"/>
          <w:rFonts w:eastAsiaTheme="majorEastAsia"/>
          <w:color w:val="000000"/>
        </w:rPr>
        <w:t>RQ1 (TOE – Core Adoption Factors</w:t>
      </w:r>
      <w:r w:rsidR="0086607D" w:rsidRPr="004C63D2">
        <w:rPr>
          <w:rStyle w:val="Strong"/>
          <w:rFonts w:eastAsiaTheme="majorEastAsia"/>
          <w:color w:val="000000"/>
        </w:rPr>
        <w:t>)</w:t>
      </w:r>
    </w:p>
    <w:p w14:paraId="4B13B603" w14:textId="4C761C8E" w:rsidR="00EB5F89" w:rsidRPr="004C63D2" w:rsidRDefault="00EB5F89" w:rsidP="00383675">
      <w:pPr>
        <w:pStyle w:val="NormalWeb"/>
        <w:jc w:val="both"/>
        <w:rPr>
          <w:color w:val="000000"/>
        </w:rPr>
      </w:pPr>
      <w:r w:rsidRPr="004C63D2">
        <w:rPr>
          <w:color w:val="000000"/>
        </w:rPr>
        <w:t>How do technological, organizational, and environmental factors influence the adoption of telerehabilitation in elderly community settings?</w:t>
      </w:r>
    </w:p>
    <w:p w14:paraId="371454C0" w14:textId="77777777" w:rsidR="00F143D7" w:rsidRPr="004C63D2" w:rsidRDefault="00F143D7" w:rsidP="00383675">
      <w:pPr>
        <w:spacing w:before="100" w:beforeAutospacing="1" w:after="100" w:afterAutospacing="1"/>
        <w:jc w:val="both"/>
        <w:rPr>
          <w:color w:val="000000"/>
        </w:rPr>
      </w:pPr>
      <w:r w:rsidRPr="004C63D2">
        <w:rPr>
          <w:b/>
          <w:bCs/>
          <w:color w:val="000000"/>
        </w:rPr>
        <w:t>Hypotheses:</w:t>
      </w:r>
    </w:p>
    <w:p w14:paraId="22042278" w14:textId="77777777" w:rsidR="00F143D7" w:rsidRPr="004C63D2" w:rsidRDefault="00F143D7" w:rsidP="00383675">
      <w:pPr>
        <w:numPr>
          <w:ilvl w:val="0"/>
          <w:numId w:val="2"/>
        </w:numPr>
        <w:spacing w:before="100" w:beforeAutospacing="1" w:after="100" w:afterAutospacing="1"/>
        <w:jc w:val="both"/>
        <w:rPr>
          <w:color w:val="000000"/>
        </w:rPr>
      </w:pPr>
      <w:r w:rsidRPr="004C63D2">
        <w:rPr>
          <w:b/>
          <w:bCs/>
          <w:color w:val="000000"/>
        </w:rPr>
        <w:t>H1a:</w:t>
      </w:r>
      <w:r w:rsidRPr="004C63D2">
        <w:rPr>
          <w:color w:val="000000"/>
        </w:rPr>
        <w:t> Higher perceived compatibility of telerehabilitation with existing systems is positively associated with organizational adoption.</w:t>
      </w:r>
    </w:p>
    <w:p w14:paraId="13AB0B78" w14:textId="77777777" w:rsidR="00F143D7" w:rsidRPr="004C63D2" w:rsidRDefault="00F143D7" w:rsidP="00383675">
      <w:pPr>
        <w:numPr>
          <w:ilvl w:val="0"/>
          <w:numId w:val="2"/>
        </w:numPr>
        <w:spacing w:before="100" w:beforeAutospacing="1" w:after="100" w:afterAutospacing="1"/>
        <w:jc w:val="both"/>
        <w:rPr>
          <w:color w:val="000000"/>
        </w:rPr>
      </w:pPr>
      <w:r w:rsidRPr="004C63D2">
        <w:rPr>
          <w:b/>
          <w:bCs/>
          <w:color w:val="000000"/>
        </w:rPr>
        <w:t>H1b:</w:t>
      </w:r>
      <w:r w:rsidRPr="004C63D2">
        <w:rPr>
          <w:color w:val="000000"/>
        </w:rPr>
        <w:t> Stronger organizational resources and leadership support are positively associated with adoption.</w:t>
      </w:r>
    </w:p>
    <w:p w14:paraId="23E3C513" w14:textId="77777777" w:rsidR="00F143D7" w:rsidRPr="004C63D2" w:rsidRDefault="00F143D7" w:rsidP="00383675">
      <w:pPr>
        <w:numPr>
          <w:ilvl w:val="0"/>
          <w:numId w:val="2"/>
        </w:numPr>
        <w:spacing w:before="100" w:beforeAutospacing="1" w:after="100" w:afterAutospacing="1"/>
        <w:jc w:val="both"/>
        <w:rPr>
          <w:color w:val="000000"/>
        </w:rPr>
      </w:pPr>
      <w:r w:rsidRPr="004C63D2">
        <w:rPr>
          <w:b/>
          <w:bCs/>
          <w:color w:val="000000"/>
        </w:rPr>
        <w:t>H1c:</w:t>
      </w:r>
      <w:r w:rsidRPr="004C63D2">
        <w:rPr>
          <w:color w:val="000000"/>
        </w:rPr>
        <w:t> Favorable regulatory and funding conditions are positively associated with adoption.</w:t>
      </w:r>
    </w:p>
    <w:p w14:paraId="43733DBD" w14:textId="77777777" w:rsidR="00F143D7" w:rsidRPr="004C63D2" w:rsidRDefault="00F143D7" w:rsidP="00383675">
      <w:pPr>
        <w:pStyle w:val="NormalWeb"/>
        <w:jc w:val="both"/>
        <w:rPr>
          <w:color w:val="000000"/>
        </w:rPr>
      </w:pPr>
    </w:p>
    <w:p w14:paraId="17FC3364" w14:textId="77777777" w:rsidR="0086607D" w:rsidRPr="004C63D2" w:rsidRDefault="00EB5F89" w:rsidP="00383675">
      <w:pPr>
        <w:pStyle w:val="NormalWeb"/>
        <w:jc w:val="both"/>
        <w:rPr>
          <w:rStyle w:val="Strong"/>
          <w:rFonts w:eastAsiaTheme="majorEastAsia"/>
          <w:color w:val="000000"/>
        </w:rPr>
      </w:pPr>
      <w:r w:rsidRPr="004C63D2">
        <w:rPr>
          <w:rStyle w:val="Strong"/>
          <w:rFonts w:eastAsiaTheme="majorEastAsia"/>
          <w:color w:val="000000"/>
        </w:rPr>
        <w:t>RQ2 (Institutional Pressures):</w:t>
      </w:r>
    </w:p>
    <w:p w14:paraId="4E3A6AA1" w14:textId="6A3241CF" w:rsidR="00EB5F89" w:rsidRPr="004C63D2" w:rsidRDefault="00EB5F89" w:rsidP="00383675">
      <w:pPr>
        <w:pStyle w:val="NormalWeb"/>
        <w:jc w:val="both"/>
        <w:rPr>
          <w:color w:val="000000"/>
        </w:rPr>
      </w:pPr>
      <w:r w:rsidRPr="004C63D2">
        <w:rPr>
          <w:color w:val="000000"/>
        </w:rPr>
        <w:t>What role do institutional pressures (coercive, mimetic, normative) play in shaping organizational decisions to adopt telerehabilitation?</w:t>
      </w:r>
    </w:p>
    <w:p w14:paraId="320E3992" w14:textId="77777777" w:rsidR="00F143D7" w:rsidRPr="004C63D2" w:rsidRDefault="00F143D7" w:rsidP="00383675">
      <w:pPr>
        <w:spacing w:before="100" w:beforeAutospacing="1" w:after="100" w:afterAutospacing="1"/>
        <w:jc w:val="both"/>
        <w:rPr>
          <w:color w:val="000000"/>
        </w:rPr>
      </w:pPr>
      <w:r w:rsidRPr="004C63D2">
        <w:rPr>
          <w:b/>
          <w:bCs/>
          <w:color w:val="000000"/>
        </w:rPr>
        <w:t>Hypotheses:</w:t>
      </w:r>
    </w:p>
    <w:p w14:paraId="66C3573A" w14:textId="77777777" w:rsidR="00F143D7" w:rsidRPr="004C63D2" w:rsidRDefault="00F143D7" w:rsidP="00383675">
      <w:pPr>
        <w:numPr>
          <w:ilvl w:val="0"/>
          <w:numId w:val="3"/>
        </w:numPr>
        <w:spacing w:before="100" w:beforeAutospacing="1" w:after="100" w:afterAutospacing="1"/>
        <w:jc w:val="both"/>
        <w:rPr>
          <w:color w:val="000000"/>
        </w:rPr>
      </w:pPr>
      <w:r w:rsidRPr="004C63D2">
        <w:rPr>
          <w:b/>
          <w:bCs/>
          <w:color w:val="000000"/>
        </w:rPr>
        <w:t>H2a:</w:t>
      </w:r>
      <w:r w:rsidRPr="004C63D2">
        <w:rPr>
          <w:color w:val="000000"/>
        </w:rPr>
        <w:t> Coercive pressures (e.g., government regulations, funding mandates) positively influence organizational adoption.</w:t>
      </w:r>
    </w:p>
    <w:p w14:paraId="6EF626F5" w14:textId="77777777" w:rsidR="00F143D7" w:rsidRPr="004C63D2" w:rsidRDefault="00F143D7" w:rsidP="00383675">
      <w:pPr>
        <w:numPr>
          <w:ilvl w:val="0"/>
          <w:numId w:val="3"/>
        </w:numPr>
        <w:spacing w:before="100" w:beforeAutospacing="1" w:after="100" w:afterAutospacing="1"/>
        <w:jc w:val="both"/>
        <w:rPr>
          <w:color w:val="000000"/>
        </w:rPr>
      </w:pPr>
      <w:r w:rsidRPr="004C63D2">
        <w:rPr>
          <w:b/>
          <w:bCs/>
          <w:color w:val="000000"/>
        </w:rPr>
        <w:t>H2b:</w:t>
      </w:r>
      <w:r w:rsidRPr="004C63D2">
        <w:rPr>
          <w:color w:val="000000"/>
        </w:rPr>
        <w:t> Mimetic pressures (e.g., imitation of peer organizations) positively influence organizational adoption.</w:t>
      </w:r>
    </w:p>
    <w:p w14:paraId="74416B81" w14:textId="77777777" w:rsidR="00F143D7" w:rsidRPr="004C63D2" w:rsidRDefault="00F143D7" w:rsidP="00383675">
      <w:pPr>
        <w:numPr>
          <w:ilvl w:val="0"/>
          <w:numId w:val="3"/>
        </w:numPr>
        <w:spacing w:before="100" w:beforeAutospacing="1" w:after="100" w:afterAutospacing="1"/>
        <w:jc w:val="both"/>
        <w:rPr>
          <w:color w:val="000000"/>
        </w:rPr>
      </w:pPr>
      <w:r w:rsidRPr="004C63D2">
        <w:rPr>
          <w:b/>
          <w:bCs/>
          <w:color w:val="000000"/>
        </w:rPr>
        <w:t>H2c:</w:t>
      </w:r>
      <w:r w:rsidRPr="004C63D2">
        <w:rPr>
          <w:color w:val="000000"/>
        </w:rPr>
        <w:t> Normative pressures (e.g., professional norms, clinical guidelines) positively influence organizational adoption.</w:t>
      </w:r>
    </w:p>
    <w:p w14:paraId="4044FF98" w14:textId="77777777" w:rsidR="00F143D7" w:rsidRPr="004C63D2" w:rsidRDefault="00F143D7" w:rsidP="00383675">
      <w:pPr>
        <w:pStyle w:val="NormalWeb"/>
        <w:jc w:val="both"/>
        <w:rPr>
          <w:color w:val="000000"/>
        </w:rPr>
      </w:pPr>
    </w:p>
    <w:p w14:paraId="4EA28932" w14:textId="77777777" w:rsidR="0086607D" w:rsidRPr="004C63D2" w:rsidRDefault="00EB5F89" w:rsidP="00383675">
      <w:pPr>
        <w:pStyle w:val="NormalWeb"/>
        <w:jc w:val="both"/>
        <w:rPr>
          <w:rStyle w:val="Strong"/>
          <w:rFonts w:eastAsiaTheme="majorEastAsia"/>
          <w:color w:val="000000"/>
        </w:rPr>
      </w:pPr>
      <w:r w:rsidRPr="004C63D2">
        <w:rPr>
          <w:rStyle w:val="Strong"/>
          <w:rFonts w:eastAsiaTheme="majorEastAsia"/>
          <w:color w:val="000000"/>
        </w:rPr>
        <w:t>RQ3 (Socio-Technical Alignment)</w:t>
      </w:r>
    </w:p>
    <w:p w14:paraId="32197EA7" w14:textId="25139451" w:rsidR="00EB5F89" w:rsidRPr="004C63D2" w:rsidRDefault="00EB5F89" w:rsidP="00383675">
      <w:pPr>
        <w:pStyle w:val="NormalWeb"/>
        <w:jc w:val="both"/>
        <w:rPr>
          <w:color w:val="000000"/>
        </w:rPr>
      </w:pPr>
      <w:r w:rsidRPr="004C63D2">
        <w:rPr>
          <w:color w:val="000000"/>
        </w:rPr>
        <w:t>How does the alignment of technology, people, and processes affect the successful implementation and sustainability of telerehabilitation?</w:t>
      </w:r>
    </w:p>
    <w:p w14:paraId="54C7E9B9" w14:textId="77777777" w:rsidR="00F143D7" w:rsidRPr="004C63D2" w:rsidRDefault="00F143D7" w:rsidP="00383675">
      <w:pPr>
        <w:spacing w:before="100" w:beforeAutospacing="1" w:after="100" w:afterAutospacing="1"/>
        <w:jc w:val="both"/>
        <w:rPr>
          <w:color w:val="000000"/>
        </w:rPr>
      </w:pPr>
      <w:r w:rsidRPr="004C63D2">
        <w:rPr>
          <w:b/>
          <w:bCs/>
          <w:color w:val="000000"/>
        </w:rPr>
        <w:t>Hypotheses:</w:t>
      </w:r>
    </w:p>
    <w:p w14:paraId="145E39B3" w14:textId="77777777" w:rsidR="00F143D7" w:rsidRPr="004C63D2" w:rsidRDefault="00F143D7" w:rsidP="00383675">
      <w:pPr>
        <w:numPr>
          <w:ilvl w:val="0"/>
          <w:numId w:val="4"/>
        </w:numPr>
        <w:spacing w:before="100" w:beforeAutospacing="1" w:after="100" w:afterAutospacing="1"/>
        <w:jc w:val="both"/>
        <w:rPr>
          <w:color w:val="000000"/>
        </w:rPr>
      </w:pPr>
      <w:r w:rsidRPr="004C63D2">
        <w:rPr>
          <w:b/>
          <w:bCs/>
          <w:color w:val="000000"/>
        </w:rPr>
        <w:t>H3a:</w:t>
      </w:r>
      <w:r w:rsidRPr="004C63D2">
        <w:rPr>
          <w:color w:val="000000"/>
        </w:rPr>
        <w:t> Greater alignment between telerehabilitation technology and existing clinical workflows is positively associated with successful implementation.</w:t>
      </w:r>
    </w:p>
    <w:p w14:paraId="7DD8332F" w14:textId="77777777" w:rsidR="00F143D7" w:rsidRPr="004C63D2" w:rsidRDefault="00F143D7" w:rsidP="00383675">
      <w:pPr>
        <w:numPr>
          <w:ilvl w:val="0"/>
          <w:numId w:val="4"/>
        </w:numPr>
        <w:spacing w:before="100" w:beforeAutospacing="1" w:after="100" w:afterAutospacing="1"/>
        <w:jc w:val="both"/>
        <w:rPr>
          <w:color w:val="000000"/>
        </w:rPr>
      </w:pPr>
      <w:r w:rsidRPr="004C63D2">
        <w:rPr>
          <w:b/>
          <w:bCs/>
          <w:color w:val="000000"/>
        </w:rPr>
        <w:t>H3b:</w:t>
      </w:r>
      <w:r w:rsidRPr="004C63D2">
        <w:rPr>
          <w:color w:val="000000"/>
        </w:rPr>
        <w:t> Staff readiness and training mediate the relationship between socio-technical alignment and sustainability of adoption.</w:t>
      </w:r>
    </w:p>
    <w:p w14:paraId="6A3083E3" w14:textId="77777777" w:rsidR="00F143D7" w:rsidRPr="004C63D2" w:rsidRDefault="00F143D7" w:rsidP="00383675">
      <w:pPr>
        <w:numPr>
          <w:ilvl w:val="0"/>
          <w:numId w:val="4"/>
        </w:numPr>
        <w:spacing w:before="100" w:beforeAutospacing="1" w:after="100" w:afterAutospacing="1"/>
        <w:jc w:val="both"/>
        <w:rPr>
          <w:color w:val="000000"/>
        </w:rPr>
      </w:pPr>
      <w:r w:rsidRPr="004C63D2">
        <w:rPr>
          <w:b/>
          <w:bCs/>
          <w:color w:val="000000"/>
        </w:rPr>
        <w:t>H3c:</w:t>
      </w:r>
      <w:r w:rsidRPr="004C63D2">
        <w:rPr>
          <w:color w:val="000000"/>
        </w:rPr>
        <w:t> Misalignment between technology and organizational processes negatively impacts long-term sustainability.</w:t>
      </w:r>
    </w:p>
    <w:p w14:paraId="43DC3017" w14:textId="77777777" w:rsidR="00755850" w:rsidRPr="004C63D2" w:rsidRDefault="00755850" w:rsidP="00383675">
      <w:pPr>
        <w:jc w:val="both"/>
      </w:pPr>
    </w:p>
    <w:p w14:paraId="1980AD36" w14:textId="61432D07" w:rsidR="00BE6D1A" w:rsidRPr="004C63D2" w:rsidRDefault="004C63D2" w:rsidP="00383675">
      <w:pPr>
        <w:spacing w:before="100" w:beforeAutospacing="1" w:after="100" w:afterAutospacing="1"/>
        <w:jc w:val="both"/>
        <w:outlineLvl w:val="2"/>
        <w:rPr>
          <w:b/>
          <w:bCs/>
          <w:color w:val="000000"/>
        </w:rPr>
      </w:pPr>
      <w:r>
        <w:rPr>
          <w:b/>
          <w:bCs/>
          <w:color w:val="000000"/>
        </w:rPr>
        <w:t xml:space="preserve">3.3 </w:t>
      </w:r>
      <w:r w:rsidR="00BE6D1A" w:rsidRPr="004C63D2">
        <w:rPr>
          <w:b/>
          <w:bCs/>
          <w:color w:val="000000"/>
        </w:rPr>
        <w:t xml:space="preserve">Research </w:t>
      </w:r>
      <w:r w:rsidR="008D3A19" w:rsidRPr="004C63D2">
        <w:rPr>
          <w:b/>
          <w:bCs/>
          <w:color w:val="000000"/>
        </w:rPr>
        <w:t xml:space="preserve">Plan and </w:t>
      </w:r>
      <w:r w:rsidR="00BE6D1A" w:rsidRPr="004C63D2">
        <w:rPr>
          <w:b/>
          <w:bCs/>
          <w:color w:val="000000"/>
        </w:rPr>
        <w:t>Design</w:t>
      </w:r>
    </w:p>
    <w:p w14:paraId="7881BB78" w14:textId="77777777" w:rsidR="00BE6D1A" w:rsidRPr="004C63D2" w:rsidRDefault="00BE6D1A" w:rsidP="00383675">
      <w:pPr>
        <w:spacing w:before="100" w:beforeAutospacing="1" w:after="100" w:afterAutospacing="1"/>
        <w:jc w:val="both"/>
        <w:rPr>
          <w:color w:val="000000"/>
        </w:rPr>
      </w:pPr>
      <w:r w:rsidRPr="004C63D2">
        <w:rPr>
          <w:color w:val="000000"/>
        </w:rPr>
        <w:t>This study will adopt a </w:t>
      </w:r>
      <w:r w:rsidRPr="004C63D2">
        <w:rPr>
          <w:b/>
          <w:bCs/>
          <w:color w:val="000000"/>
        </w:rPr>
        <w:t>mixed-methods research design</w:t>
      </w:r>
      <w:r w:rsidRPr="004C63D2">
        <w:rPr>
          <w:color w:val="000000"/>
        </w:rPr>
        <w:t>, combining quantitative and qualitative approaches to provide a comprehensive understanding of organizational adoption of telerehabilitation. The quantitative phase will test hypotheses derived from the TOE framework and Institutional Theory, while the qualitative phase will explore socio-technical alignment and contextualize findings. A sequential explanatory design will be employed: survey data collection and analysis will be followed by interviews and case studies to deepen interpretation.</w:t>
      </w:r>
    </w:p>
    <w:p w14:paraId="2E73968C" w14:textId="77777777" w:rsidR="00444FA2" w:rsidRPr="004C63D2" w:rsidRDefault="00444FA2" w:rsidP="00383675">
      <w:pPr>
        <w:pStyle w:val="NormalWeb"/>
        <w:jc w:val="both"/>
        <w:rPr>
          <w:color w:val="000000"/>
        </w:rPr>
      </w:pPr>
      <w:r w:rsidRPr="004C63D2">
        <w:rPr>
          <w:color w:val="000000"/>
        </w:rPr>
        <w:t>In the</w:t>
      </w:r>
      <w:r w:rsidRPr="004C63D2">
        <w:rPr>
          <w:rStyle w:val="apple-converted-space"/>
          <w:rFonts w:eastAsiaTheme="majorEastAsia"/>
          <w:color w:val="000000"/>
        </w:rPr>
        <w:t> </w:t>
      </w:r>
      <w:r w:rsidRPr="004C63D2">
        <w:rPr>
          <w:rStyle w:val="Strong"/>
          <w:rFonts w:eastAsiaTheme="majorEastAsia"/>
          <w:color w:val="000000"/>
        </w:rPr>
        <w:t>quantitative phase</w:t>
      </w:r>
      <w:r w:rsidRPr="004C63D2">
        <w:rPr>
          <w:color w:val="000000"/>
        </w:rPr>
        <w:t>, structured surveys will be distributed to elderly community care organizations to measure constructs from the Technology–Organization–Environment (TOE) framework, Institutional Theory, and Socio-Technical Systems (STS) Theory. This phase will enable the identification of statistically significant factors influencing adoption, such as technological readiness, leadership support, regulatory pressures, and socio-technical alignment. Quantitative evidence ensures generalizability and provides a robust basis for hypothesis testing (Creswell &amp; Plano Clark, 2018).</w:t>
      </w:r>
    </w:p>
    <w:p w14:paraId="23634CDB" w14:textId="31D8F7E9" w:rsidR="00444FA2" w:rsidRPr="004C63D2" w:rsidRDefault="00444FA2" w:rsidP="00383675">
      <w:pPr>
        <w:pStyle w:val="NormalWeb"/>
        <w:jc w:val="both"/>
        <w:rPr>
          <w:color w:val="000000"/>
        </w:rPr>
      </w:pPr>
      <w:r w:rsidRPr="004C63D2">
        <w:rPr>
          <w:color w:val="000000"/>
        </w:rPr>
        <w:t>The</w:t>
      </w:r>
      <w:r w:rsidRPr="004C63D2">
        <w:rPr>
          <w:rStyle w:val="apple-converted-space"/>
          <w:rFonts w:eastAsiaTheme="majorEastAsia"/>
          <w:color w:val="000000"/>
        </w:rPr>
        <w:t> </w:t>
      </w:r>
      <w:r w:rsidRPr="004C63D2">
        <w:rPr>
          <w:rStyle w:val="Strong"/>
          <w:rFonts w:eastAsiaTheme="majorEastAsia"/>
          <w:color w:val="000000"/>
        </w:rPr>
        <w:t>qualitative phase</w:t>
      </w:r>
      <w:r w:rsidRPr="004C63D2">
        <w:rPr>
          <w:rStyle w:val="apple-converted-space"/>
          <w:rFonts w:eastAsiaTheme="majorEastAsia"/>
          <w:color w:val="000000"/>
        </w:rPr>
        <w:t> </w:t>
      </w:r>
      <w:r w:rsidRPr="004C63D2">
        <w:rPr>
          <w:color w:val="000000"/>
        </w:rPr>
        <w:t>will follow, consisting of in-depth interviews with organizational leaders, frontline healthcare staff, and key stakeholders involved in telerehabilitation implementation. The purpose of this phase is to explain and contextualize the quantitative findings, uncover organizational processes, and capture perspectives on barriers and enablers not easily quantified. Such integration provides a richer understanding of the behavioral and institutional mechanisms driving adoption. Palinkas et al. (2015) emphasize the importance of purposeful qualitative sampling to deepen explanatory insights following quantitative results, particularly in healthcare implementation research</w:t>
      </w:r>
      <w:r w:rsidR="00E0673B" w:rsidRPr="004C63D2">
        <w:rPr>
          <w:color w:val="000000"/>
        </w:rPr>
        <w:t xml:space="preserve"> </w:t>
      </w:r>
      <w:r w:rsidR="00E0673B" w:rsidRPr="004C63D2">
        <w:rPr>
          <w:color w:val="000000"/>
        </w:rPr>
        <w:fldChar w:fldCharType="begin"/>
      </w:r>
      <w:r w:rsidR="00E0673B" w:rsidRPr="004C63D2">
        <w:rPr>
          <w:color w:val="000000"/>
        </w:rPr>
        <w:instrText xml:space="preserve"> ADDIN ZOTERO_ITEM CSL_CITATION {"citationID":"1HPHbh62","properties":{"formattedCitation":"(Palinkas {\\i{}et al.}, 2015)","plainCitation":"(Palinkas et al., 2015)","noteIndex":0},"citationItems":[{"id":727,"uris":["http://zotero.org/users/16099821/items/RHWZMXEC"],"itemData":{"id":727,"type":"article-journal","container-title":"Administration and Policy in Mental Health and Mental Health Services Research","DOI":"10.1007/s10488-013-0528-y","ISSN":"0894-587X, 1573-3289","issue":"5","journalAbbreviation":"Adm Policy Ment Health","language":"en","license":"http://www.springer.com/tdm","page":"533-544","source":"DOI.org (Crossref)","title":"Purposeful Sampling for Qualitative Data Collection and Analysis in Mixed Method Implementation Research","volume":"42","author":[{"family":"Palinkas","given":"Lawrence A."},{"family":"Horwitz","given":"Sarah M."},{"family":"Green","given":"Carla A."},{"family":"Wisdom","given":"Jennifer P."},{"family":"Duan","given":"Naihua"},{"family":"Hoagwood","given":"Kimberly"}],"issued":{"date-parts":[["2015",9]]}}}],"schema":"https://github.com/citation-style-language/schema/raw/master/csl-citation.json"} </w:instrText>
      </w:r>
      <w:r w:rsidR="00E0673B" w:rsidRPr="004C63D2">
        <w:rPr>
          <w:color w:val="000000"/>
        </w:rPr>
        <w:fldChar w:fldCharType="separate"/>
      </w:r>
      <w:r w:rsidR="00E0673B" w:rsidRPr="004C63D2">
        <w:rPr>
          <w:rFonts w:eastAsiaTheme="minorEastAsia"/>
          <w:color w:val="000000"/>
          <w14:ligatures w14:val="standardContextual"/>
        </w:rPr>
        <w:t xml:space="preserve">(Palinkas </w:t>
      </w:r>
      <w:r w:rsidR="00E0673B" w:rsidRPr="004C63D2">
        <w:rPr>
          <w:rFonts w:eastAsiaTheme="minorEastAsia"/>
          <w:i/>
          <w:iCs/>
          <w:color w:val="000000"/>
          <w14:ligatures w14:val="standardContextual"/>
        </w:rPr>
        <w:t>et al.</w:t>
      </w:r>
      <w:r w:rsidR="00E0673B" w:rsidRPr="004C63D2">
        <w:rPr>
          <w:rFonts w:eastAsiaTheme="minorEastAsia"/>
          <w:color w:val="000000"/>
          <w14:ligatures w14:val="standardContextual"/>
        </w:rPr>
        <w:t>, 2015)</w:t>
      </w:r>
      <w:r w:rsidR="00E0673B" w:rsidRPr="004C63D2">
        <w:rPr>
          <w:color w:val="000000"/>
        </w:rPr>
        <w:fldChar w:fldCharType="end"/>
      </w:r>
      <w:r w:rsidRPr="004C63D2">
        <w:rPr>
          <w:color w:val="000000"/>
        </w:rPr>
        <w:t>.</w:t>
      </w:r>
      <w:r w:rsidR="000652CE" w:rsidRPr="004C63D2">
        <w:rPr>
          <w:color w:val="000000"/>
        </w:rPr>
        <w:t xml:space="preserve"> </w:t>
      </w:r>
    </w:p>
    <w:p w14:paraId="338838CA" w14:textId="446FD15F" w:rsidR="00444FA2" w:rsidRPr="004C63D2" w:rsidRDefault="00444FA2" w:rsidP="00383675">
      <w:pPr>
        <w:pStyle w:val="NormalWeb"/>
        <w:jc w:val="both"/>
        <w:rPr>
          <w:color w:val="000000"/>
        </w:rPr>
      </w:pPr>
      <w:r w:rsidRPr="004C63D2">
        <w:rPr>
          <w:color w:val="000000"/>
        </w:rPr>
        <w:t xml:space="preserve">Recent healthcare literature strongly supports </w:t>
      </w:r>
      <w:r w:rsidR="00CD5D02" w:rsidRPr="004C63D2">
        <w:rPr>
          <w:color w:val="000000"/>
        </w:rPr>
        <w:t>mixed methods</w:t>
      </w:r>
      <w:r w:rsidRPr="004C63D2">
        <w:rPr>
          <w:color w:val="000000"/>
        </w:rPr>
        <w:t xml:space="preserve"> approaches for digital health adoption studies. </w:t>
      </w:r>
      <w:r w:rsidR="00EE729B" w:rsidRPr="004C63D2">
        <w:rPr>
          <w:rFonts w:eastAsiaTheme="minorEastAsia"/>
          <w:color w:val="000000"/>
          <w14:ligatures w14:val="standardContextual"/>
        </w:rPr>
        <w:t xml:space="preserve">Choy </w:t>
      </w:r>
      <w:r w:rsidR="00EE729B" w:rsidRPr="004C63D2">
        <w:rPr>
          <w:rFonts w:eastAsiaTheme="minorEastAsia"/>
          <w:i/>
          <w:iCs/>
          <w:color w:val="000000"/>
          <w14:ligatures w14:val="standardContextual"/>
        </w:rPr>
        <w:t>et al.</w:t>
      </w:r>
      <w:r w:rsidRPr="004C63D2">
        <w:rPr>
          <w:color w:val="000000"/>
        </w:rPr>
        <w:t xml:space="preserve"> used a mixed-methods design to examine telemedicine adoption in </w:t>
      </w:r>
      <w:r w:rsidRPr="004C63D2">
        <w:rPr>
          <w:color w:val="000000"/>
        </w:rPr>
        <w:lastRenderedPageBreak/>
        <w:t>primary care during COVID-19, demonstrating the value of combining statistical trends with experiential insights</w:t>
      </w:r>
      <w:r w:rsidR="00EE729B" w:rsidRPr="004C63D2">
        <w:rPr>
          <w:color w:val="000000"/>
        </w:rPr>
        <w:t xml:space="preserve"> </w:t>
      </w:r>
      <w:r w:rsidR="00EE729B" w:rsidRPr="004C63D2">
        <w:rPr>
          <w:color w:val="000000"/>
        </w:rPr>
        <w:fldChar w:fldCharType="begin"/>
      </w:r>
      <w:r w:rsidR="00EE729B" w:rsidRPr="004C63D2">
        <w:rPr>
          <w:color w:val="000000"/>
        </w:rPr>
        <w:instrText xml:space="preserve"> ADDIN ZOTERO_ITEM CSL_CITATION {"citationID":"nw8WqIEN","properties":{"formattedCitation":"(Choy {\\i{}et al.}, 2024)","plainCitation":"(Choy et al., 2024)","noteIndex":0},"citationItems":[{"id":733,"uris":["http://zotero.org/users/16099821/items/HDF544G4"],"itemData":{"id":733,"type":"article-journal","abstract":"Background\n              The digital health divide for socioeconomic disadvantage describes a pattern in which patients considered socioeconomically disadvantaged, who are already marginalized through reduced access to face-to-face health care, are additionally hindered through less access to patient-initiated digital health. A comprehensive understanding of how patients with socioeconomic disadvantage access and experience digital health is essential for improving the digital health divide. Primary care patients, especially those with chronic disease, have experience of the stages of initial help seeking and self-management of their health, which renders them a key demographic for research on patient-initiated digital health access.\n            \n            \n              Objective\n              This study aims to provide comprehensive primary mixed methods data on the patient experience of barriers to digital health access, with a focus on the digital health divide.\n            \n            \n              Methods\n              We applied an exploratory mixed methods design to ensure that our survey was primarily shaped by the experiences of our interviewees. First, we qualitatively explored the experience of digital health for 19 patients with socioeconomic disadvantage and chronic disease and second, we quantitatively measured some of these findings by designing and administering a survey to 487 Australian general practice patients from 24 general practices.\n            \n            \n              Results\n              In our qualitative first phase, the key barriers found to accessing digital health included (1) strong patient preference for human-based health services; (2) low trust in digital health services; (3) high financial costs of necessary tools, maintenance, and repairs; (4) poor publicly available internet access options; (5) reduced capacity to engage due to increased life pressures; and (6) low self-efficacy and confidence in using digital health. In our quantitative second phase, 31% (151/487) of the survey participants were found to have never used a form of digital health, while 10.7% (52/487) were low- to medium-frequency users and 48.5% (236/487) were high-frequency users. High-frequency users were more likely to be interested in digital health and had higher self-efficacy. Low-frequency users were more likely to report difficulty affording the financial costs needed for digital access.\n            \n            \n              Conclusions\n              While general digital interest, financial cost, and digital health literacy and empowerment are clear factors in digital health access in a broad primary care population, the digital health divide is also facilitated in part by a stepped series of complex and cumulative barriers. Genuinely improving digital health access for 1 cohort or even 1 person requires a series of multiple different interventions tailored to specific sequential barriers. Within primary care, patient-centered care that continues to recognize the complex individual needs of, and barriers facing, each patient should be part of addressing the digital health divide.","container-title":"Journal of Medical Internet Research","DOI":"10.2196/50410","ISSN":"1438-8871","journalAbbreviation":"J Med Internet Res","language":"en","page":"e50410","source":"DOI.org (Crossref)","title":"Evaluating the Digital Health Experience for Patients in Primary Care: Mixed Methods Study","title-short":"Evaluating the Digital Health Experience for Patients in Primary Care","volume":"26","author":[{"family":"Choy","given":"Melinda Ada"},{"family":"O'Brien","given":"Kathleen"},{"family":"Barnes","given":"Katelyn"},{"family":"Sturgiss","given":"Elizabeth Ann"},{"family":"Rieger","given":"Elizabeth"},{"family":"Douglas","given":"Kirsty"}],"issued":{"date-parts":[["2024",4,11]]}}}],"schema":"https://github.com/citation-style-language/schema/raw/master/csl-citation.json"} </w:instrText>
      </w:r>
      <w:r w:rsidR="00EE729B" w:rsidRPr="004C63D2">
        <w:rPr>
          <w:color w:val="000000"/>
        </w:rPr>
        <w:fldChar w:fldCharType="separate"/>
      </w:r>
      <w:r w:rsidR="00EE729B" w:rsidRPr="004C63D2">
        <w:rPr>
          <w:rFonts w:eastAsiaTheme="minorEastAsia"/>
          <w:color w:val="000000"/>
          <w14:ligatures w14:val="standardContextual"/>
        </w:rPr>
        <w:t xml:space="preserve">(Choy </w:t>
      </w:r>
      <w:r w:rsidR="00EE729B" w:rsidRPr="004C63D2">
        <w:rPr>
          <w:rFonts w:eastAsiaTheme="minorEastAsia"/>
          <w:i/>
          <w:iCs/>
          <w:color w:val="000000"/>
          <w14:ligatures w14:val="standardContextual"/>
        </w:rPr>
        <w:t>et al.</w:t>
      </w:r>
      <w:r w:rsidR="00EE729B" w:rsidRPr="004C63D2">
        <w:rPr>
          <w:rFonts w:eastAsiaTheme="minorEastAsia"/>
          <w:color w:val="000000"/>
          <w14:ligatures w14:val="standardContextual"/>
        </w:rPr>
        <w:t>, 2024)</w:t>
      </w:r>
      <w:r w:rsidR="00EE729B" w:rsidRPr="004C63D2">
        <w:rPr>
          <w:color w:val="000000"/>
        </w:rPr>
        <w:fldChar w:fldCharType="end"/>
      </w:r>
      <w:r w:rsidRPr="004C63D2">
        <w:rPr>
          <w:color w:val="000000"/>
        </w:rPr>
        <w:t>. Greenhalgh et al. (2017) developed the NASSS framework for digital health adoption, highlighting that quantitative measures alone cannot capture the complexity of non</w:t>
      </w:r>
      <w:r w:rsidR="008139EC" w:rsidRPr="004C63D2">
        <w:rPr>
          <w:color w:val="000000"/>
        </w:rPr>
        <w:t>-</w:t>
      </w:r>
      <w:r w:rsidRPr="004C63D2">
        <w:rPr>
          <w:color w:val="000000"/>
        </w:rPr>
        <w:t>adoption or abandonment</w:t>
      </w:r>
      <w:r w:rsidR="005207A4" w:rsidRPr="004C63D2">
        <w:rPr>
          <w:color w:val="000000"/>
        </w:rPr>
        <w:t xml:space="preserve"> </w:t>
      </w:r>
      <w:r w:rsidR="005207A4" w:rsidRPr="004C63D2">
        <w:rPr>
          <w:color w:val="000000"/>
        </w:rPr>
        <w:fldChar w:fldCharType="begin"/>
      </w:r>
      <w:r w:rsidR="005207A4" w:rsidRPr="004C63D2">
        <w:rPr>
          <w:color w:val="000000"/>
        </w:rPr>
        <w:instrText xml:space="preserve"> ADDIN ZOTERO_ITEM CSL_CITATION {"citationID":"fZCkWtVh","properties":{"formattedCitation":"(Greenhalgh {\\i{}et al.}, 2017)","plainCitation":"(Greenhalgh et al., 2017)","noteIndex":0},"citationItems":[{"id":728,"uris":["http://zotero.org/users/16099821/items/YAU2887P"],"itemData":{"id":728,"type":"article-journal","container-title":"Journal of Medical Internet Research","DOI":"10.2196/jmir.8775","ISSN":"1438-8871","issue":"11","journalAbbreviation":"J Med Internet Res","language":"en","page":"e367","source":"DOI.org (Crossref)","title":"Beyond Adoption: A New Framework for Theorizing and Evaluating Nonadoption, Abandonment, and Challenges to the Scale-Up, Spread, and Sustainability of Health and Care Technologies","title-short":"Beyond Adoption","volume":"19","author":[{"family":"Greenhalgh","given":"Trisha"},{"family":"Wherton","given":"Joseph"},{"family":"Papoutsi","given":"Chrysanthi"},{"family":"Lynch","given":"Jennifer"},{"family":"Hughes","given":"Gemma"},{"family":"A'Court","given":"Christine"},{"family":"Hinder","given":"Susan"},{"family":"Fahy","given":"Nick"},{"family":"Procter","given":"Rob"},{"family":"Shaw","given":"Sara"}],"issued":{"date-parts":[["2017",11,1]]}}}],"schema":"https://github.com/citation-style-language/schema/raw/master/csl-citation.json"} </w:instrText>
      </w:r>
      <w:r w:rsidR="005207A4" w:rsidRPr="004C63D2">
        <w:rPr>
          <w:color w:val="000000"/>
        </w:rPr>
        <w:fldChar w:fldCharType="separate"/>
      </w:r>
      <w:r w:rsidR="005207A4" w:rsidRPr="004C63D2">
        <w:rPr>
          <w:rFonts w:eastAsiaTheme="minorEastAsia"/>
          <w:color w:val="000000"/>
          <w14:ligatures w14:val="standardContextual"/>
        </w:rPr>
        <w:t xml:space="preserve">(Greenhalgh </w:t>
      </w:r>
      <w:r w:rsidR="005207A4" w:rsidRPr="004C63D2">
        <w:rPr>
          <w:rFonts w:eastAsiaTheme="minorEastAsia"/>
          <w:i/>
          <w:iCs/>
          <w:color w:val="000000"/>
          <w14:ligatures w14:val="standardContextual"/>
        </w:rPr>
        <w:t>et al.</w:t>
      </w:r>
      <w:r w:rsidR="005207A4" w:rsidRPr="004C63D2">
        <w:rPr>
          <w:rFonts w:eastAsiaTheme="minorEastAsia"/>
          <w:color w:val="000000"/>
          <w14:ligatures w14:val="standardContextual"/>
        </w:rPr>
        <w:t>, 2017)</w:t>
      </w:r>
      <w:r w:rsidR="005207A4" w:rsidRPr="004C63D2">
        <w:rPr>
          <w:color w:val="000000"/>
        </w:rPr>
        <w:fldChar w:fldCharType="end"/>
      </w:r>
      <w:r w:rsidRPr="004C63D2">
        <w:rPr>
          <w:color w:val="000000"/>
        </w:rPr>
        <w:t xml:space="preserve">. More recent work by </w:t>
      </w:r>
      <w:r w:rsidR="00226A85" w:rsidRPr="004C63D2">
        <w:rPr>
          <w:color w:val="000000"/>
        </w:rPr>
        <w:t>Hendy</w:t>
      </w:r>
      <w:r w:rsidRPr="004C63D2">
        <w:rPr>
          <w:color w:val="000000"/>
        </w:rPr>
        <w:t xml:space="preserve"> et al. (2</w:t>
      </w:r>
      <w:r w:rsidR="00226A85" w:rsidRPr="004C63D2">
        <w:rPr>
          <w:color w:val="000000"/>
        </w:rPr>
        <w:t>01</w:t>
      </w:r>
      <w:r w:rsidRPr="004C63D2">
        <w:rPr>
          <w:color w:val="000000"/>
        </w:rPr>
        <w:t>2) on telehealth implementation in elderly care similarly stressed the need for socio-technical perspectives that can only emerge from qualitative inquiry</w:t>
      </w:r>
      <w:r w:rsidR="00C16A1B" w:rsidRPr="004C63D2">
        <w:rPr>
          <w:color w:val="000000"/>
        </w:rPr>
        <w:t xml:space="preserve"> </w:t>
      </w:r>
      <w:r w:rsidR="006C6D6B" w:rsidRPr="004C63D2">
        <w:rPr>
          <w:color w:val="000000"/>
        </w:rPr>
        <w:fldChar w:fldCharType="begin"/>
      </w:r>
      <w:r w:rsidR="006C6D6B" w:rsidRPr="004C63D2">
        <w:rPr>
          <w:color w:val="000000"/>
        </w:rPr>
        <w:instrText xml:space="preserve"> ADDIN ZOTERO_ITEM CSL_CITATION {"citationID":"1vJG7CfI","properties":{"formattedCitation":"(Hendy {\\i{}et al.}, 2012)","plainCitation":"(Hendy et al., 2012)","noteIndex":0},"citationItems":[{"id":731,"uris":["http://zotero.org/users/16099821/items/XKECE6HF"],"itemData":{"id":731,"type":"article-journal","container-title":"BMC Health Services Research","DOI":"10.1186/1472-6963-12-403","ISSN":"1472-6963","issue":"1","journalAbbreviation":"BMC Health Serv Res","language":"en","license":"http://creativecommons.org/licenses/by/2.0","page":"403","source":"DOI.org (Crossref)","title":"An organisational analysis of the implementation of telecare and telehealth: the whole systems demonstrator","title-short":"An organisational analysis of the implementation of telecare and telehealth","volume":"12","author":[{"family":"Hendy","given":"Jane"},{"family":"Chrysanthaki","given":"Theopisti"},{"family":"Barlow","given":"James"},{"family":"Knapp","given":"Martin"},{"family":"Rogers","given":"Anne"},{"family":"Sanders","given":"Caroline"},{"family":"Bower","given":"Peter"},{"family":"Bowen","given":"Robert"},{"family":"Fitzpatrick","given":"Ray"},{"family":"Bardsley","given":"Martin"},{"family":"Newman","given":"Stanton"}],"issued":{"date-parts":[["2012",12]]}}}],"schema":"https://github.com/citation-style-language/schema/raw/master/csl-citation.json"} </w:instrText>
      </w:r>
      <w:r w:rsidR="006C6D6B" w:rsidRPr="004C63D2">
        <w:rPr>
          <w:color w:val="000000"/>
        </w:rPr>
        <w:fldChar w:fldCharType="separate"/>
      </w:r>
      <w:r w:rsidR="006C6D6B" w:rsidRPr="004C63D2">
        <w:rPr>
          <w:rFonts w:eastAsiaTheme="minorEastAsia"/>
          <w:color w:val="000000"/>
          <w14:ligatures w14:val="standardContextual"/>
        </w:rPr>
        <w:t xml:space="preserve">(Hendy </w:t>
      </w:r>
      <w:r w:rsidR="006C6D6B" w:rsidRPr="004C63D2">
        <w:rPr>
          <w:rFonts w:eastAsiaTheme="minorEastAsia"/>
          <w:i/>
          <w:iCs/>
          <w:color w:val="000000"/>
          <w14:ligatures w14:val="standardContextual"/>
        </w:rPr>
        <w:t>et al.</w:t>
      </w:r>
      <w:r w:rsidR="006C6D6B" w:rsidRPr="004C63D2">
        <w:rPr>
          <w:rFonts w:eastAsiaTheme="minorEastAsia"/>
          <w:color w:val="000000"/>
          <w14:ligatures w14:val="standardContextual"/>
        </w:rPr>
        <w:t>, 2012)</w:t>
      </w:r>
      <w:r w:rsidR="006C6D6B" w:rsidRPr="004C63D2">
        <w:rPr>
          <w:color w:val="000000"/>
        </w:rPr>
        <w:fldChar w:fldCharType="end"/>
      </w:r>
      <w:r w:rsidRPr="004C63D2">
        <w:rPr>
          <w:color w:val="000000"/>
        </w:rPr>
        <w:t>. Furthermore, Marques &amp; Ferreira (2020) argue that digital health transformation requires an integrated methodological approach to address both technological and organizational challenges</w:t>
      </w:r>
      <w:r w:rsidR="00747917" w:rsidRPr="004C63D2">
        <w:rPr>
          <w:color w:val="000000"/>
        </w:rPr>
        <w:t xml:space="preserve"> </w:t>
      </w:r>
      <w:r w:rsidR="00747917" w:rsidRPr="004C63D2">
        <w:rPr>
          <w:color w:val="000000"/>
        </w:rPr>
        <w:fldChar w:fldCharType="begin"/>
      </w:r>
      <w:r w:rsidR="00C16A1B" w:rsidRPr="004C63D2">
        <w:rPr>
          <w:color w:val="000000"/>
        </w:rPr>
        <w:instrText xml:space="preserve"> ADDIN ZOTERO_ITEM CSL_CITATION {"citationID":"5MsmLWQD","properties":{"formattedCitation":"(Marques and Ferreira, 2020)","plainCitation":"(Marques and Ferreira, 2020)","noteIndex":0},"citationItems":[{"id":730,"uris":["http://zotero.org/users/16099821/items/LUWYWPMG"],"itemData":{"id":730,"type":"article-journal","container-title":"Health and Technology","DOI":"10.1007/s12553-019-00402-8","ISSN":"2190-7188, 2190-7196","issue":"3","journalAbbreviation":"Health Technol.","language":"en","page":"575-586","source":"DOI.org (Crossref)","title":"Digital transformation in the area of health: systematic review of 45 years of evolution","title-short":"Digital transformation in the area of health","volume":"10","author":[{"family":"Marques","given":"Isabel C. P."},{"family":"Ferreira","given":"João J. M."}],"issued":{"date-parts":[["2020",5]]}}}],"schema":"https://github.com/citation-style-language/schema/raw/master/csl-citation.json"} </w:instrText>
      </w:r>
      <w:r w:rsidR="00747917" w:rsidRPr="004C63D2">
        <w:rPr>
          <w:color w:val="000000"/>
        </w:rPr>
        <w:fldChar w:fldCharType="separate"/>
      </w:r>
      <w:r w:rsidR="00C16A1B" w:rsidRPr="004C63D2">
        <w:rPr>
          <w:noProof/>
          <w:color w:val="000000"/>
        </w:rPr>
        <w:t>(Marques and Ferreira, 2020)</w:t>
      </w:r>
      <w:r w:rsidR="00747917" w:rsidRPr="004C63D2">
        <w:rPr>
          <w:color w:val="000000"/>
        </w:rPr>
        <w:fldChar w:fldCharType="end"/>
      </w:r>
      <w:r w:rsidRPr="004C63D2">
        <w:rPr>
          <w:color w:val="000000"/>
        </w:rPr>
        <w:t>.</w:t>
      </w:r>
    </w:p>
    <w:p w14:paraId="0FEDE9B8" w14:textId="21A55213" w:rsidR="00444FA2" w:rsidRPr="004C63D2" w:rsidRDefault="00444FA2" w:rsidP="00383675">
      <w:pPr>
        <w:pStyle w:val="NormalWeb"/>
        <w:jc w:val="both"/>
        <w:rPr>
          <w:color w:val="000000"/>
        </w:rPr>
      </w:pPr>
      <w:r w:rsidRPr="004C63D2">
        <w:rPr>
          <w:color w:val="000000"/>
        </w:rPr>
        <w:t>In summary, adopting a sequential explanatory mixed-methods design ensures that the study benefits from the</w:t>
      </w:r>
      <w:r w:rsidRPr="004C63D2">
        <w:rPr>
          <w:rStyle w:val="apple-converted-space"/>
          <w:rFonts w:eastAsiaTheme="majorEastAsia"/>
          <w:color w:val="000000"/>
        </w:rPr>
        <w:t> </w:t>
      </w:r>
      <w:r w:rsidRPr="004C63D2">
        <w:rPr>
          <w:rStyle w:val="Strong"/>
          <w:rFonts w:eastAsiaTheme="majorEastAsia"/>
          <w:color w:val="000000"/>
        </w:rPr>
        <w:t>generalizability of quantitative analysis</w:t>
      </w:r>
      <w:r w:rsidRPr="004C63D2">
        <w:rPr>
          <w:rStyle w:val="apple-converted-space"/>
          <w:rFonts w:eastAsiaTheme="majorEastAsia"/>
          <w:color w:val="000000"/>
        </w:rPr>
        <w:t> </w:t>
      </w:r>
      <w:r w:rsidRPr="004C63D2">
        <w:rPr>
          <w:color w:val="000000"/>
        </w:rPr>
        <w:t>while also incorporating the</w:t>
      </w:r>
      <w:r w:rsidRPr="004C63D2">
        <w:rPr>
          <w:rStyle w:val="apple-converted-space"/>
          <w:rFonts w:eastAsiaTheme="majorEastAsia"/>
          <w:color w:val="000000"/>
        </w:rPr>
        <w:t> </w:t>
      </w:r>
      <w:r w:rsidRPr="004C63D2">
        <w:rPr>
          <w:rStyle w:val="Strong"/>
          <w:rFonts w:eastAsiaTheme="majorEastAsia"/>
          <w:color w:val="000000"/>
        </w:rPr>
        <w:t>depth and contextual richness of qualitative insights</w:t>
      </w:r>
      <w:r w:rsidRPr="004C63D2">
        <w:rPr>
          <w:color w:val="000000"/>
        </w:rPr>
        <w:t>. This is particularly critical in community elderly care settings, where organizational behavior is influenced by not only measurable constructs but also institutional pressures, cultural sensitivities, and socio-technical realities.</w:t>
      </w:r>
    </w:p>
    <w:p w14:paraId="66BE4B04" w14:textId="77777777" w:rsidR="00444FA2" w:rsidRPr="004C63D2" w:rsidRDefault="00444FA2" w:rsidP="00383675">
      <w:pPr>
        <w:spacing w:before="100" w:beforeAutospacing="1" w:after="100" w:afterAutospacing="1"/>
        <w:jc w:val="both"/>
        <w:outlineLvl w:val="0"/>
        <w:rPr>
          <w:color w:val="000000"/>
        </w:rPr>
      </w:pPr>
    </w:p>
    <w:p w14:paraId="41B9301B" w14:textId="72822D52" w:rsidR="00987B65" w:rsidRPr="004C63D2" w:rsidRDefault="008E4FA9" w:rsidP="00383675">
      <w:pPr>
        <w:spacing w:before="100" w:beforeAutospacing="1" w:after="100" w:afterAutospacing="1"/>
        <w:jc w:val="both"/>
        <w:outlineLvl w:val="0"/>
        <w:rPr>
          <w:b/>
          <w:bCs/>
          <w:color w:val="000000"/>
          <w:kern w:val="36"/>
        </w:rPr>
      </w:pPr>
      <w:r>
        <w:rPr>
          <w:b/>
          <w:bCs/>
          <w:color w:val="000000"/>
          <w:kern w:val="36"/>
        </w:rPr>
        <w:t xml:space="preserve">3.4 </w:t>
      </w:r>
      <w:r w:rsidR="00987B65" w:rsidRPr="004C63D2">
        <w:rPr>
          <w:b/>
          <w:bCs/>
          <w:color w:val="000000"/>
          <w:kern w:val="36"/>
        </w:rPr>
        <w:t>Measurement Framework</w:t>
      </w:r>
    </w:p>
    <w:p w14:paraId="78774EC0" w14:textId="77777777" w:rsidR="00987B65" w:rsidRPr="004C63D2" w:rsidRDefault="00987B65" w:rsidP="00383675">
      <w:pPr>
        <w:spacing w:before="100" w:beforeAutospacing="1" w:after="100" w:afterAutospacing="1"/>
        <w:jc w:val="both"/>
        <w:outlineLvl w:val="2"/>
        <w:rPr>
          <w:b/>
          <w:bCs/>
          <w:color w:val="000000"/>
        </w:rPr>
      </w:pPr>
      <w:r w:rsidRPr="004C63D2">
        <w:rPr>
          <w:b/>
          <w:bCs/>
          <w:color w:val="000000"/>
        </w:rPr>
        <w:t>RQ1 (TOE – Core Adoption Factors)</w:t>
      </w:r>
    </w:p>
    <w:p w14:paraId="14151EE1" w14:textId="77777777" w:rsidR="00987B65" w:rsidRPr="004C63D2" w:rsidRDefault="00987B65" w:rsidP="00383675">
      <w:pPr>
        <w:spacing w:before="100" w:beforeAutospacing="1" w:after="100" w:afterAutospacing="1"/>
        <w:jc w:val="both"/>
        <w:rPr>
          <w:color w:val="000000"/>
        </w:rPr>
      </w:pPr>
      <w:r w:rsidRPr="004C63D2">
        <w:rPr>
          <w:i/>
          <w:iCs/>
          <w:color w:val="000000"/>
        </w:rPr>
        <w:t>How do technological, organizational, and environmental factors influence the adoption of telerehabilitation in elderly community settings?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2"/>
        <w:gridCol w:w="4062"/>
        <w:gridCol w:w="2506"/>
      </w:tblGrid>
      <w:tr w:rsidR="00987B65" w:rsidRPr="004C63D2" w14:paraId="5ED01C4A" w14:textId="77777777">
        <w:trPr>
          <w:tblHeader/>
          <w:tblCellSpacing w:w="15" w:type="dxa"/>
        </w:trPr>
        <w:tc>
          <w:tcPr>
            <w:tcW w:w="0" w:type="auto"/>
            <w:vAlign w:val="center"/>
            <w:hideMark/>
          </w:tcPr>
          <w:p w14:paraId="094E4C46" w14:textId="77777777" w:rsidR="00987B65" w:rsidRPr="004C63D2" w:rsidRDefault="00987B65" w:rsidP="00383675">
            <w:pPr>
              <w:jc w:val="both"/>
              <w:rPr>
                <w:b/>
                <w:bCs/>
                <w:color w:val="000000"/>
              </w:rPr>
            </w:pPr>
            <w:r w:rsidRPr="004C63D2">
              <w:rPr>
                <w:b/>
                <w:bCs/>
                <w:color w:val="000000"/>
              </w:rPr>
              <w:t>Construct</w:t>
            </w:r>
          </w:p>
        </w:tc>
        <w:tc>
          <w:tcPr>
            <w:tcW w:w="0" w:type="auto"/>
            <w:vAlign w:val="center"/>
            <w:hideMark/>
          </w:tcPr>
          <w:p w14:paraId="1BD0C531" w14:textId="77777777" w:rsidR="00987B65" w:rsidRPr="004C63D2" w:rsidRDefault="00987B65" w:rsidP="00383675">
            <w:pPr>
              <w:jc w:val="both"/>
              <w:rPr>
                <w:b/>
                <w:bCs/>
                <w:color w:val="000000"/>
              </w:rPr>
            </w:pPr>
            <w:r w:rsidRPr="004C63D2">
              <w:rPr>
                <w:b/>
                <w:bCs/>
                <w:color w:val="000000"/>
              </w:rPr>
              <w:t>Example Indicators / Measures</w:t>
            </w:r>
          </w:p>
        </w:tc>
        <w:tc>
          <w:tcPr>
            <w:tcW w:w="0" w:type="auto"/>
            <w:vAlign w:val="center"/>
            <w:hideMark/>
          </w:tcPr>
          <w:p w14:paraId="33299F46" w14:textId="77777777" w:rsidR="00987B65" w:rsidRPr="004C63D2" w:rsidRDefault="00987B65" w:rsidP="00383675">
            <w:pPr>
              <w:jc w:val="both"/>
              <w:rPr>
                <w:b/>
                <w:bCs/>
                <w:color w:val="000000"/>
              </w:rPr>
            </w:pPr>
            <w:r w:rsidRPr="004C63D2">
              <w:rPr>
                <w:b/>
                <w:bCs/>
                <w:color w:val="000000"/>
              </w:rPr>
              <w:t>Possible Data Source</w:t>
            </w:r>
          </w:p>
        </w:tc>
      </w:tr>
      <w:tr w:rsidR="00987B65" w:rsidRPr="004C63D2" w14:paraId="58E23B11" w14:textId="77777777">
        <w:trPr>
          <w:tblCellSpacing w:w="15" w:type="dxa"/>
        </w:trPr>
        <w:tc>
          <w:tcPr>
            <w:tcW w:w="0" w:type="auto"/>
            <w:vAlign w:val="center"/>
            <w:hideMark/>
          </w:tcPr>
          <w:p w14:paraId="70DA373E" w14:textId="77777777" w:rsidR="00987B65" w:rsidRPr="004C63D2" w:rsidRDefault="00987B65" w:rsidP="00383675">
            <w:pPr>
              <w:jc w:val="both"/>
              <w:rPr>
                <w:color w:val="000000"/>
              </w:rPr>
            </w:pPr>
            <w:r w:rsidRPr="004C63D2">
              <w:rPr>
                <w:color w:val="000000"/>
              </w:rPr>
              <w:t>Technological compatibility</w:t>
            </w:r>
          </w:p>
        </w:tc>
        <w:tc>
          <w:tcPr>
            <w:tcW w:w="0" w:type="auto"/>
            <w:vAlign w:val="center"/>
            <w:hideMark/>
          </w:tcPr>
          <w:p w14:paraId="7E864918" w14:textId="77777777" w:rsidR="00987B65" w:rsidRPr="004C63D2" w:rsidRDefault="00987B65" w:rsidP="00383675">
            <w:pPr>
              <w:jc w:val="both"/>
              <w:rPr>
                <w:color w:val="000000"/>
              </w:rPr>
            </w:pPr>
            <w:r w:rsidRPr="004C63D2">
              <w:rPr>
                <w:color w:val="000000"/>
              </w:rPr>
              <w:t>“Telerehabilitation is compatible with existing IT systems/workflows” (Likert scale)</w:t>
            </w:r>
          </w:p>
        </w:tc>
        <w:tc>
          <w:tcPr>
            <w:tcW w:w="0" w:type="auto"/>
            <w:vAlign w:val="center"/>
            <w:hideMark/>
          </w:tcPr>
          <w:p w14:paraId="00AF1C6D" w14:textId="77777777" w:rsidR="00987B65" w:rsidRPr="004C63D2" w:rsidRDefault="00987B65" w:rsidP="00383675">
            <w:pPr>
              <w:jc w:val="both"/>
              <w:rPr>
                <w:color w:val="000000"/>
              </w:rPr>
            </w:pPr>
            <w:r w:rsidRPr="004C63D2">
              <w:rPr>
                <w:color w:val="000000"/>
              </w:rPr>
              <w:t>Manager/clinician survey</w:t>
            </w:r>
          </w:p>
        </w:tc>
      </w:tr>
      <w:tr w:rsidR="00987B65" w:rsidRPr="004C63D2" w14:paraId="2294DF01" w14:textId="77777777">
        <w:trPr>
          <w:tblCellSpacing w:w="15" w:type="dxa"/>
        </w:trPr>
        <w:tc>
          <w:tcPr>
            <w:tcW w:w="0" w:type="auto"/>
            <w:vAlign w:val="center"/>
            <w:hideMark/>
          </w:tcPr>
          <w:p w14:paraId="7A00E13A" w14:textId="77777777" w:rsidR="00987B65" w:rsidRPr="004C63D2" w:rsidRDefault="00987B65" w:rsidP="00383675">
            <w:pPr>
              <w:jc w:val="both"/>
              <w:rPr>
                <w:color w:val="000000"/>
              </w:rPr>
            </w:pPr>
            <w:r w:rsidRPr="004C63D2">
              <w:rPr>
                <w:color w:val="000000"/>
              </w:rPr>
              <w:t>Technological complexity</w:t>
            </w:r>
          </w:p>
        </w:tc>
        <w:tc>
          <w:tcPr>
            <w:tcW w:w="0" w:type="auto"/>
            <w:vAlign w:val="center"/>
            <w:hideMark/>
          </w:tcPr>
          <w:p w14:paraId="0ECD6283" w14:textId="77777777" w:rsidR="00987B65" w:rsidRPr="004C63D2" w:rsidRDefault="00987B65" w:rsidP="00383675">
            <w:pPr>
              <w:jc w:val="both"/>
              <w:rPr>
                <w:color w:val="000000"/>
              </w:rPr>
            </w:pPr>
            <w:r w:rsidRPr="004C63D2">
              <w:rPr>
                <w:color w:val="000000"/>
              </w:rPr>
              <w:t>Perceived ease of integration, need for technical support</w:t>
            </w:r>
          </w:p>
        </w:tc>
        <w:tc>
          <w:tcPr>
            <w:tcW w:w="0" w:type="auto"/>
            <w:vAlign w:val="center"/>
            <w:hideMark/>
          </w:tcPr>
          <w:p w14:paraId="7848F967" w14:textId="77777777" w:rsidR="00987B65" w:rsidRPr="004C63D2" w:rsidRDefault="00987B65" w:rsidP="00383675">
            <w:pPr>
              <w:jc w:val="both"/>
              <w:rPr>
                <w:color w:val="000000"/>
              </w:rPr>
            </w:pPr>
            <w:r w:rsidRPr="004C63D2">
              <w:rPr>
                <w:color w:val="000000"/>
              </w:rPr>
              <w:t>Manager/clinician survey</w:t>
            </w:r>
          </w:p>
        </w:tc>
      </w:tr>
      <w:tr w:rsidR="00987B65" w:rsidRPr="004C63D2" w14:paraId="1E1FD4D6" w14:textId="77777777">
        <w:trPr>
          <w:tblCellSpacing w:w="15" w:type="dxa"/>
        </w:trPr>
        <w:tc>
          <w:tcPr>
            <w:tcW w:w="0" w:type="auto"/>
            <w:vAlign w:val="center"/>
            <w:hideMark/>
          </w:tcPr>
          <w:p w14:paraId="443BE322" w14:textId="77777777" w:rsidR="00987B65" w:rsidRPr="004C63D2" w:rsidRDefault="00987B65" w:rsidP="00383675">
            <w:pPr>
              <w:jc w:val="both"/>
              <w:rPr>
                <w:color w:val="000000"/>
              </w:rPr>
            </w:pPr>
            <w:r w:rsidRPr="004C63D2">
              <w:rPr>
                <w:color w:val="000000"/>
              </w:rPr>
              <w:t>Perceived benefits</w:t>
            </w:r>
          </w:p>
        </w:tc>
        <w:tc>
          <w:tcPr>
            <w:tcW w:w="0" w:type="auto"/>
            <w:vAlign w:val="center"/>
            <w:hideMark/>
          </w:tcPr>
          <w:p w14:paraId="48856AEA" w14:textId="77777777" w:rsidR="00987B65" w:rsidRPr="004C63D2" w:rsidRDefault="00987B65" w:rsidP="00383675">
            <w:pPr>
              <w:jc w:val="both"/>
              <w:rPr>
                <w:color w:val="000000"/>
              </w:rPr>
            </w:pPr>
            <w:r w:rsidRPr="004C63D2">
              <w:rPr>
                <w:color w:val="000000"/>
              </w:rPr>
              <w:t>Expected improvement in patient care, efficiency gains</w:t>
            </w:r>
          </w:p>
        </w:tc>
        <w:tc>
          <w:tcPr>
            <w:tcW w:w="0" w:type="auto"/>
            <w:vAlign w:val="center"/>
            <w:hideMark/>
          </w:tcPr>
          <w:p w14:paraId="41636B80" w14:textId="77777777" w:rsidR="00987B65" w:rsidRPr="004C63D2" w:rsidRDefault="00987B65" w:rsidP="00383675">
            <w:pPr>
              <w:jc w:val="both"/>
              <w:rPr>
                <w:color w:val="000000"/>
              </w:rPr>
            </w:pPr>
            <w:r w:rsidRPr="004C63D2">
              <w:rPr>
                <w:color w:val="000000"/>
              </w:rPr>
              <w:t>Manager/clinician survey/interviews</w:t>
            </w:r>
          </w:p>
        </w:tc>
      </w:tr>
      <w:tr w:rsidR="00987B65" w:rsidRPr="004C63D2" w14:paraId="67A461A8" w14:textId="77777777">
        <w:trPr>
          <w:tblCellSpacing w:w="15" w:type="dxa"/>
        </w:trPr>
        <w:tc>
          <w:tcPr>
            <w:tcW w:w="0" w:type="auto"/>
            <w:vAlign w:val="center"/>
            <w:hideMark/>
          </w:tcPr>
          <w:p w14:paraId="4634C639" w14:textId="77777777" w:rsidR="00987B65" w:rsidRPr="004C63D2" w:rsidRDefault="00987B65" w:rsidP="00383675">
            <w:pPr>
              <w:jc w:val="both"/>
              <w:rPr>
                <w:color w:val="000000"/>
              </w:rPr>
            </w:pPr>
            <w:r w:rsidRPr="004C63D2">
              <w:rPr>
                <w:color w:val="000000"/>
              </w:rPr>
              <w:t>Organizational resources</w:t>
            </w:r>
          </w:p>
        </w:tc>
        <w:tc>
          <w:tcPr>
            <w:tcW w:w="0" w:type="auto"/>
            <w:vAlign w:val="center"/>
            <w:hideMark/>
          </w:tcPr>
          <w:p w14:paraId="71A54030" w14:textId="77777777" w:rsidR="00987B65" w:rsidRPr="004C63D2" w:rsidRDefault="00987B65" w:rsidP="00383675">
            <w:pPr>
              <w:jc w:val="both"/>
              <w:rPr>
                <w:color w:val="000000"/>
              </w:rPr>
            </w:pPr>
            <w:r w:rsidRPr="004C63D2">
              <w:rPr>
                <w:color w:val="000000"/>
              </w:rPr>
              <w:t>Budget allocation, IT infrastructure availability</w:t>
            </w:r>
          </w:p>
        </w:tc>
        <w:tc>
          <w:tcPr>
            <w:tcW w:w="0" w:type="auto"/>
            <w:vAlign w:val="center"/>
            <w:hideMark/>
          </w:tcPr>
          <w:p w14:paraId="6B9C5637" w14:textId="77777777" w:rsidR="00987B65" w:rsidRPr="004C63D2" w:rsidRDefault="00987B65" w:rsidP="00383675">
            <w:pPr>
              <w:jc w:val="both"/>
              <w:rPr>
                <w:color w:val="000000"/>
              </w:rPr>
            </w:pPr>
            <w:r w:rsidRPr="004C63D2">
              <w:rPr>
                <w:color w:val="000000"/>
              </w:rPr>
              <w:t>Organizational records</w:t>
            </w:r>
          </w:p>
        </w:tc>
      </w:tr>
      <w:tr w:rsidR="00987B65" w:rsidRPr="004C63D2" w14:paraId="49D719A6" w14:textId="77777777">
        <w:trPr>
          <w:tblCellSpacing w:w="15" w:type="dxa"/>
        </w:trPr>
        <w:tc>
          <w:tcPr>
            <w:tcW w:w="0" w:type="auto"/>
            <w:vAlign w:val="center"/>
            <w:hideMark/>
          </w:tcPr>
          <w:p w14:paraId="2843569B" w14:textId="77777777" w:rsidR="00987B65" w:rsidRPr="004C63D2" w:rsidRDefault="00987B65" w:rsidP="00383675">
            <w:pPr>
              <w:jc w:val="both"/>
              <w:rPr>
                <w:color w:val="000000"/>
              </w:rPr>
            </w:pPr>
            <w:r w:rsidRPr="004C63D2">
              <w:rPr>
                <w:color w:val="000000"/>
              </w:rPr>
              <w:t>Leadership support</w:t>
            </w:r>
          </w:p>
        </w:tc>
        <w:tc>
          <w:tcPr>
            <w:tcW w:w="0" w:type="auto"/>
            <w:vAlign w:val="center"/>
            <w:hideMark/>
          </w:tcPr>
          <w:p w14:paraId="3A5E335A" w14:textId="77777777" w:rsidR="00987B65" w:rsidRPr="004C63D2" w:rsidRDefault="00987B65" w:rsidP="00383675">
            <w:pPr>
              <w:jc w:val="both"/>
              <w:rPr>
                <w:color w:val="000000"/>
              </w:rPr>
            </w:pPr>
            <w:r w:rsidRPr="004C63D2">
              <w:rPr>
                <w:color w:val="000000"/>
              </w:rPr>
              <w:t>Perceived management commitment to digital health</w:t>
            </w:r>
          </w:p>
        </w:tc>
        <w:tc>
          <w:tcPr>
            <w:tcW w:w="0" w:type="auto"/>
            <w:vAlign w:val="center"/>
            <w:hideMark/>
          </w:tcPr>
          <w:p w14:paraId="4AE4E2A1" w14:textId="77777777" w:rsidR="00987B65" w:rsidRPr="004C63D2" w:rsidRDefault="00987B65" w:rsidP="00383675">
            <w:pPr>
              <w:jc w:val="both"/>
              <w:rPr>
                <w:color w:val="000000"/>
              </w:rPr>
            </w:pPr>
            <w:r w:rsidRPr="004C63D2">
              <w:rPr>
                <w:color w:val="000000"/>
              </w:rPr>
              <w:t>Staff survey / leadership interviews</w:t>
            </w:r>
          </w:p>
        </w:tc>
      </w:tr>
      <w:tr w:rsidR="00987B65" w:rsidRPr="004C63D2" w14:paraId="5D356E8C" w14:textId="77777777">
        <w:trPr>
          <w:tblCellSpacing w:w="15" w:type="dxa"/>
        </w:trPr>
        <w:tc>
          <w:tcPr>
            <w:tcW w:w="0" w:type="auto"/>
            <w:vAlign w:val="center"/>
            <w:hideMark/>
          </w:tcPr>
          <w:p w14:paraId="5BFFC301" w14:textId="77777777" w:rsidR="00987B65" w:rsidRPr="004C63D2" w:rsidRDefault="00987B65" w:rsidP="00383675">
            <w:pPr>
              <w:jc w:val="both"/>
              <w:rPr>
                <w:color w:val="000000"/>
              </w:rPr>
            </w:pPr>
            <w:r w:rsidRPr="004C63D2">
              <w:rPr>
                <w:color w:val="000000"/>
              </w:rPr>
              <w:t>Environmental/regulatory factors</w:t>
            </w:r>
          </w:p>
        </w:tc>
        <w:tc>
          <w:tcPr>
            <w:tcW w:w="0" w:type="auto"/>
            <w:vAlign w:val="center"/>
            <w:hideMark/>
          </w:tcPr>
          <w:p w14:paraId="7DE8E510" w14:textId="77777777" w:rsidR="00987B65" w:rsidRPr="004C63D2" w:rsidRDefault="00987B65" w:rsidP="00383675">
            <w:pPr>
              <w:jc w:val="both"/>
              <w:rPr>
                <w:color w:val="000000"/>
              </w:rPr>
            </w:pPr>
            <w:r w:rsidRPr="004C63D2">
              <w:rPr>
                <w:color w:val="000000"/>
              </w:rPr>
              <w:t>Favorability of reimbursement, compliance requirements</w:t>
            </w:r>
          </w:p>
        </w:tc>
        <w:tc>
          <w:tcPr>
            <w:tcW w:w="0" w:type="auto"/>
            <w:vAlign w:val="center"/>
            <w:hideMark/>
          </w:tcPr>
          <w:p w14:paraId="6AA87FA3" w14:textId="77777777" w:rsidR="00987B65" w:rsidRPr="004C63D2" w:rsidRDefault="00987B65" w:rsidP="00383675">
            <w:pPr>
              <w:jc w:val="both"/>
              <w:rPr>
                <w:color w:val="000000"/>
              </w:rPr>
            </w:pPr>
            <w:r w:rsidRPr="004C63D2">
              <w:rPr>
                <w:color w:val="000000"/>
              </w:rPr>
              <w:t>Policy documents, administrator survey</w:t>
            </w:r>
          </w:p>
        </w:tc>
      </w:tr>
    </w:tbl>
    <w:p w14:paraId="65DEE4FF" w14:textId="77777777" w:rsidR="00987B65" w:rsidRPr="004C63D2" w:rsidRDefault="00572926" w:rsidP="00383675">
      <w:pPr>
        <w:jc w:val="both"/>
      </w:pPr>
      <w:r w:rsidRPr="00572926">
        <w:rPr>
          <w:noProof/>
          <w14:ligatures w14:val="standardContextual"/>
        </w:rPr>
        <w:pict w14:anchorId="048B8507">
          <v:rect id="_x0000_i1025" alt="" style="width:468pt;height:.05pt;mso-width-percent:0;mso-height-percent:0;mso-width-percent:0;mso-height-percent:0" o:hralign="center" o:hrstd="t" o:hr="t" fillcolor="#a0a0a0" stroked="f"/>
        </w:pict>
      </w:r>
    </w:p>
    <w:p w14:paraId="3303F94F" w14:textId="77777777" w:rsidR="00987B65" w:rsidRPr="004C63D2" w:rsidRDefault="00987B65" w:rsidP="00383675">
      <w:pPr>
        <w:spacing w:before="100" w:beforeAutospacing="1" w:after="100" w:afterAutospacing="1"/>
        <w:jc w:val="both"/>
        <w:outlineLvl w:val="2"/>
        <w:rPr>
          <w:b/>
          <w:bCs/>
          <w:color w:val="000000"/>
        </w:rPr>
      </w:pPr>
      <w:r w:rsidRPr="004C63D2">
        <w:rPr>
          <w:b/>
          <w:bCs/>
          <w:color w:val="000000"/>
        </w:rPr>
        <w:t>RQ2 (Institutional Pressures)</w:t>
      </w:r>
    </w:p>
    <w:p w14:paraId="3A800A0A" w14:textId="77777777" w:rsidR="00987B65" w:rsidRPr="004C63D2" w:rsidRDefault="00987B65" w:rsidP="00383675">
      <w:pPr>
        <w:spacing w:before="100" w:beforeAutospacing="1" w:after="100" w:afterAutospacing="1"/>
        <w:jc w:val="both"/>
        <w:rPr>
          <w:color w:val="000000"/>
        </w:rPr>
      </w:pPr>
      <w:r w:rsidRPr="004C63D2">
        <w:rPr>
          <w:i/>
          <w:iCs/>
          <w:color w:val="000000"/>
        </w:rPr>
        <w:t>What role do institutional pressures (coercive, mimetic, normative) play in shaping organizational decisions to adopt telerehabilitation?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4"/>
        <w:gridCol w:w="4257"/>
        <w:gridCol w:w="3399"/>
      </w:tblGrid>
      <w:tr w:rsidR="00987B65" w:rsidRPr="004C63D2" w14:paraId="57B8BA04" w14:textId="77777777">
        <w:trPr>
          <w:tblHeader/>
          <w:tblCellSpacing w:w="15" w:type="dxa"/>
        </w:trPr>
        <w:tc>
          <w:tcPr>
            <w:tcW w:w="0" w:type="auto"/>
            <w:vAlign w:val="center"/>
            <w:hideMark/>
          </w:tcPr>
          <w:p w14:paraId="5D0E0044" w14:textId="77777777" w:rsidR="00987B65" w:rsidRPr="004C63D2" w:rsidRDefault="00987B65" w:rsidP="00383675">
            <w:pPr>
              <w:jc w:val="both"/>
              <w:rPr>
                <w:b/>
                <w:bCs/>
                <w:color w:val="000000"/>
              </w:rPr>
            </w:pPr>
            <w:r w:rsidRPr="004C63D2">
              <w:rPr>
                <w:b/>
                <w:bCs/>
                <w:color w:val="000000"/>
              </w:rPr>
              <w:lastRenderedPageBreak/>
              <w:t>Construct</w:t>
            </w:r>
          </w:p>
        </w:tc>
        <w:tc>
          <w:tcPr>
            <w:tcW w:w="0" w:type="auto"/>
            <w:vAlign w:val="center"/>
            <w:hideMark/>
          </w:tcPr>
          <w:p w14:paraId="7D2D1A59" w14:textId="77777777" w:rsidR="00987B65" w:rsidRPr="004C63D2" w:rsidRDefault="00987B65" w:rsidP="00383675">
            <w:pPr>
              <w:jc w:val="both"/>
              <w:rPr>
                <w:b/>
                <w:bCs/>
                <w:color w:val="000000"/>
              </w:rPr>
            </w:pPr>
            <w:r w:rsidRPr="004C63D2">
              <w:rPr>
                <w:b/>
                <w:bCs/>
                <w:color w:val="000000"/>
              </w:rPr>
              <w:t>Example Indicators / Measures</w:t>
            </w:r>
          </w:p>
        </w:tc>
        <w:tc>
          <w:tcPr>
            <w:tcW w:w="0" w:type="auto"/>
            <w:vAlign w:val="center"/>
            <w:hideMark/>
          </w:tcPr>
          <w:p w14:paraId="4658CCE1" w14:textId="77777777" w:rsidR="00987B65" w:rsidRPr="004C63D2" w:rsidRDefault="00987B65" w:rsidP="00383675">
            <w:pPr>
              <w:jc w:val="both"/>
              <w:rPr>
                <w:b/>
                <w:bCs/>
                <w:color w:val="000000"/>
              </w:rPr>
            </w:pPr>
            <w:r w:rsidRPr="004C63D2">
              <w:rPr>
                <w:b/>
                <w:bCs/>
                <w:color w:val="000000"/>
              </w:rPr>
              <w:t>Possible Data Source</w:t>
            </w:r>
          </w:p>
        </w:tc>
      </w:tr>
      <w:tr w:rsidR="00987B65" w:rsidRPr="004C63D2" w14:paraId="34BC37C8" w14:textId="77777777">
        <w:trPr>
          <w:tblCellSpacing w:w="15" w:type="dxa"/>
        </w:trPr>
        <w:tc>
          <w:tcPr>
            <w:tcW w:w="0" w:type="auto"/>
            <w:vAlign w:val="center"/>
            <w:hideMark/>
          </w:tcPr>
          <w:p w14:paraId="64C502F8" w14:textId="77777777" w:rsidR="00987B65" w:rsidRPr="004C63D2" w:rsidRDefault="00987B65" w:rsidP="00383675">
            <w:pPr>
              <w:jc w:val="both"/>
              <w:rPr>
                <w:color w:val="000000"/>
              </w:rPr>
            </w:pPr>
            <w:r w:rsidRPr="004C63D2">
              <w:rPr>
                <w:color w:val="000000"/>
              </w:rPr>
              <w:t>Coercive pressures</w:t>
            </w:r>
          </w:p>
        </w:tc>
        <w:tc>
          <w:tcPr>
            <w:tcW w:w="0" w:type="auto"/>
            <w:vAlign w:val="center"/>
            <w:hideMark/>
          </w:tcPr>
          <w:p w14:paraId="750FC3ED" w14:textId="77777777" w:rsidR="00987B65" w:rsidRPr="004C63D2" w:rsidRDefault="00987B65" w:rsidP="00383675">
            <w:pPr>
              <w:jc w:val="both"/>
              <w:rPr>
                <w:color w:val="000000"/>
              </w:rPr>
            </w:pPr>
            <w:r w:rsidRPr="004C63D2">
              <w:rPr>
                <w:color w:val="000000"/>
              </w:rPr>
              <w:t>Perceived government mandates, funding agency requirements</w:t>
            </w:r>
          </w:p>
        </w:tc>
        <w:tc>
          <w:tcPr>
            <w:tcW w:w="0" w:type="auto"/>
            <w:vAlign w:val="center"/>
            <w:hideMark/>
          </w:tcPr>
          <w:p w14:paraId="78DC4126" w14:textId="77777777" w:rsidR="00987B65" w:rsidRPr="004C63D2" w:rsidRDefault="00987B65" w:rsidP="00383675">
            <w:pPr>
              <w:jc w:val="both"/>
              <w:rPr>
                <w:color w:val="000000"/>
              </w:rPr>
            </w:pPr>
            <w:r w:rsidRPr="004C63D2">
              <w:rPr>
                <w:color w:val="000000"/>
              </w:rPr>
              <w:t>Policy review, leadership interviews</w:t>
            </w:r>
          </w:p>
        </w:tc>
      </w:tr>
      <w:tr w:rsidR="00987B65" w:rsidRPr="004C63D2" w14:paraId="7FA22124" w14:textId="77777777">
        <w:trPr>
          <w:tblCellSpacing w:w="15" w:type="dxa"/>
        </w:trPr>
        <w:tc>
          <w:tcPr>
            <w:tcW w:w="0" w:type="auto"/>
            <w:vAlign w:val="center"/>
            <w:hideMark/>
          </w:tcPr>
          <w:p w14:paraId="33B4B991" w14:textId="77777777" w:rsidR="00987B65" w:rsidRPr="004C63D2" w:rsidRDefault="00987B65" w:rsidP="00383675">
            <w:pPr>
              <w:jc w:val="both"/>
              <w:rPr>
                <w:color w:val="000000"/>
              </w:rPr>
            </w:pPr>
            <w:r w:rsidRPr="004C63D2">
              <w:rPr>
                <w:color w:val="000000"/>
              </w:rPr>
              <w:t>Mimetic pressures</w:t>
            </w:r>
          </w:p>
        </w:tc>
        <w:tc>
          <w:tcPr>
            <w:tcW w:w="0" w:type="auto"/>
            <w:vAlign w:val="center"/>
            <w:hideMark/>
          </w:tcPr>
          <w:p w14:paraId="373FB536" w14:textId="77777777" w:rsidR="00987B65" w:rsidRPr="004C63D2" w:rsidRDefault="00987B65" w:rsidP="00383675">
            <w:pPr>
              <w:jc w:val="both"/>
              <w:rPr>
                <w:color w:val="000000"/>
              </w:rPr>
            </w:pPr>
            <w:r w:rsidRPr="004C63D2">
              <w:rPr>
                <w:color w:val="000000"/>
              </w:rPr>
              <w:t>Awareness of peer organizations adopting similar technologies</w:t>
            </w:r>
          </w:p>
        </w:tc>
        <w:tc>
          <w:tcPr>
            <w:tcW w:w="0" w:type="auto"/>
            <w:vAlign w:val="center"/>
            <w:hideMark/>
          </w:tcPr>
          <w:p w14:paraId="2217A1AD" w14:textId="77777777" w:rsidR="00987B65" w:rsidRPr="004C63D2" w:rsidRDefault="00987B65" w:rsidP="00383675">
            <w:pPr>
              <w:jc w:val="both"/>
              <w:rPr>
                <w:color w:val="000000"/>
              </w:rPr>
            </w:pPr>
            <w:r w:rsidRPr="004C63D2">
              <w:rPr>
                <w:color w:val="000000"/>
              </w:rPr>
              <w:t>Survey of managers, benchmarking reports</w:t>
            </w:r>
          </w:p>
        </w:tc>
      </w:tr>
      <w:tr w:rsidR="00987B65" w:rsidRPr="004C63D2" w14:paraId="69ABF62B" w14:textId="77777777">
        <w:trPr>
          <w:tblCellSpacing w:w="15" w:type="dxa"/>
        </w:trPr>
        <w:tc>
          <w:tcPr>
            <w:tcW w:w="0" w:type="auto"/>
            <w:vAlign w:val="center"/>
            <w:hideMark/>
          </w:tcPr>
          <w:p w14:paraId="09DE643B" w14:textId="77777777" w:rsidR="00987B65" w:rsidRPr="004C63D2" w:rsidRDefault="00987B65" w:rsidP="00383675">
            <w:pPr>
              <w:jc w:val="both"/>
              <w:rPr>
                <w:color w:val="000000"/>
              </w:rPr>
            </w:pPr>
            <w:r w:rsidRPr="004C63D2">
              <w:rPr>
                <w:color w:val="000000"/>
              </w:rPr>
              <w:t>Normative pressures</w:t>
            </w:r>
          </w:p>
        </w:tc>
        <w:tc>
          <w:tcPr>
            <w:tcW w:w="0" w:type="auto"/>
            <w:vAlign w:val="center"/>
            <w:hideMark/>
          </w:tcPr>
          <w:p w14:paraId="33B7F28B" w14:textId="77777777" w:rsidR="00987B65" w:rsidRPr="004C63D2" w:rsidRDefault="00987B65" w:rsidP="00383675">
            <w:pPr>
              <w:jc w:val="both"/>
              <w:rPr>
                <w:color w:val="000000"/>
              </w:rPr>
            </w:pPr>
            <w:r w:rsidRPr="004C63D2">
              <w:rPr>
                <w:color w:val="000000"/>
              </w:rPr>
              <w:t>Influence of professional bodies, clinical guidelines</w:t>
            </w:r>
          </w:p>
        </w:tc>
        <w:tc>
          <w:tcPr>
            <w:tcW w:w="0" w:type="auto"/>
            <w:vAlign w:val="center"/>
            <w:hideMark/>
          </w:tcPr>
          <w:p w14:paraId="32E0806F" w14:textId="77777777" w:rsidR="00987B65" w:rsidRPr="004C63D2" w:rsidRDefault="00987B65" w:rsidP="00383675">
            <w:pPr>
              <w:jc w:val="both"/>
              <w:rPr>
                <w:color w:val="000000"/>
              </w:rPr>
            </w:pPr>
            <w:r w:rsidRPr="004C63D2">
              <w:rPr>
                <w:color w:val="000000"/>
              </w:rPr>
              <w:t>Interviews with clinicians, document analysis</w:t>
            </w:r>
          </w:p>
        </w:tc>
      </w:tr>
      <w:tr w:rsidR="00987B65" w:rsidRPr="004C63D2" w14:paraId="102EC578" w14:textId="77777777">
        <w:trPr>
          <w:tblCellSpacing w:w="15" w:type="dxa"/>
        </w:trPr>
        <w:tc>
          <w:tcPr>
            <w:tcW w:w="0" w:type="auto"/>
            <w:vAlign w:val="center"/>
            <w:hideMark/>
          </w:tcPr>
          <w:p w14:paraId="050FB348" w14:textId="77777777" w:rsidR="00987B65" w:rsidRPr="004C63D2" w:rsidRDefault="00987B65" w:rsidP="00383675">
            <w:pPr>
              <w:jc w:val="both"/>
              <w:rPr>
                <w:color w:val="000000"/>
              </w:rPr>
            </w:pPr>
            <w:r w:rsidRPr="004C63D2">
              <w:rPr>
                <w:color w:val="000000"/>
              </w:rPr>
              <w:t>Perceived legitimacy</w:t>
            </w:r>
          </w:p>
        </w:tc>
        <w:tc>
          <w:tcPr>
            <w:tcW w:w="0" w:type="auto"/>
            <w:vAlign w:val="center"/>
            <w:hideMark/>
          </w:tcPr>
          <w:p w14:paraId="465D7499" w14:textId="77777777" w:rsidR="00987B65" w:rsidRPr="004C63D2" w:rsidRDefault="00987B65" w:rsidP="00383675">
            <w:pPr>
              <w:jc w:val="both"/>
              <w:rPr>
                <w:color w:val="000000"/>
              </w:rPr>
            </w:pPr>
            <w:r w:rsidRPr="004C63D2">
              <w:rPr>
                <w:color w:val="000000"/>
              </w:rPr>
              <w:t>Belief that adoption enhances organizational legitimacy</w:t>
            </w:r>
          </w:p>
        </w:tc>
        <w:tc>
          <w:tcPr>
            <w:tcW w:w="0" w:type="auto"/>
            <w:vAlign w:val="center"/>
            <w:hideMark/>
          </w:tcPr>
          <w:p w14:paraId="0A4EE834" w14:textId="77777777" w:rsidR="00987B65" w:rsidRPr="004C63D2" w:rsidRDefault="00987B65" w:rsidP="00383675">
            <w:pPr>
              <w:jc w:val="both"/>
              <w:rPr>
                <w:color w:val="000000"/>
              </w:rPr>
            </w:pPr>
            <w:r w:rsidRPr="004C63D2">
              <w:rPr>
                <w:color w:val="000000"/>
              </w:rPr>
              <w:t>Leadership survey/interviews</w:t>
            </w:r>
          </w:p>
        </w:tc>
      </w:tr>
    </w:tbl>
    <w:p w14:paraId="62E8DE8C" w14:textId="77777777" w:rsidR="00C02994" w:rsidRDefault="00C02994" w:rsidP="00383675">
      <w:pPr>
        <w:spacing w:before="100" w:beforeAutospacing="1" w:after="100" w:afterAutospacing="1"/>
        <w:jc w:val="both"/>
        <w:outlineLvl w:val="2"/>
      </w:pPr>
    </w:p>
    <w:p w14:paraId="3DD6BBFE" w14:textId="62EAC087" w:rsidR="00987B65" w:rsidRPr="004C63D2" w:rsidRDefault="00987B65" w:rsidP="00383675">
      <w:pPr>
        <w:spacing w:before="100" w:beforeAutospacing="1" w:after="100" w:afterAutospacing="1"/>
        <w:jc w:val="both"/>
        <w:outlineLvl w:val="2"/>
        <w:rPr>
          <w:b/>
          <w:bCs/>
          <w:color w:val="000000"/>
        </w:rPr>
      </w:pPr>
      <w:r w:rsidRPr="004C63D2">
        <w:rPr>
          <w:b/>
          <w:bCs/>
          <w:color w:val="000000"/>
        </w:rPr>
        <w:t>RQ3 (Socio-Technical Alignment)</w:t>
      </w:r>
    </w:p>
    <w:p w14:paraId="71F6C913" w14:textId="77777777" w:rsidR="00987B65" w:rsidRPr="004C63D2" w:rsidRDefault="00987B65" w:rsidP="00383675">
      <w:pPr>
        <w:spacing w:before="100" w:beforeAutospacing="1" w:after="100" w:afterAutospacing="1"/>
        <w:jc w:val="both"/>
        <w:rPr>
          <w:color w:val="000000"/>
        </w:rPr>
      </w:pPr>
      <w:r w:rsidRPr="004C63D2">
        <w:rPr>
          <w:i/>
          <w:iCs/>
          <w:color w:val="000000"/>
        </w:rPr>
        <w:t>How does the alignment of technology, people, and processes affect the successful implementation and sustainability of telerehabilitation?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9"/>
        <w:gridCol w:w="4624"/>
        <w:gridCol w:w="2627"/>
      </w:tblGrid>
      <w:tr w:rsidR="00987B65" w:rsidRPr="004C63D2" w14:paraId="5BE23168" w14:textId="77777777">
        <w:trPr>
          <w:tblHeader/>
          <w:tblCellSpacing w:w="15" w:type="dxa"/>
        </w:trPr>
        <w:tc>
          <w:tcPr>
            <w:tcW w:w="0" w:type="auto"/>
            <w:vAlign w:val="center"/>
            <w:hideMark/>
          </w:tcPr>
          <w:p w14:paraId="238CDAE3" w14:textId="77777777" w:rsidR="00987B65" w:rsidRPr="004C63D2" w:rsidRDefault="00987B65" w:rsidP="00383675">
            <w:pPr>
              <w:jc w:val="both"/>
              <w:rPr>
                <w:b/>
                <w:bCs/>
                <w:color w:val="000000"/>
              </w:rPr>
            </w:pPr>
            <w:r w:rsidRPr="004C63D2">
              <w:rPr>
                <w:b/>
                <w:bCs/>
                <w:color w:val="000000"/>
              </w:rPr>
              <w:t>Construct</w:t>
            </w:r>
          </w:p>
        </w:tc>
        <w:tc>
          <w:tcPr>
            <w:tcW w:w="0" w:type="auto"/>
            <w:vAlign w:val="center"/>
            <w:hideMark/>
          </w:tcPr>
          <w:p w14:paraId="6DB5E90A" w14:textId="77777777" w:rsidR="00987B65" w:rsidRPr="004C63D2" w:rsidRDefault="00987B65" w:rsidP="00383675">
            <w:pPr>
              <w:jc w:val="both"/>
              <w:rPr>
                <w:b/>
                <w:bCs/>
                <w:color w:val="000000"/>
              </w:rPr>
            </w:pPr>
            <w:r w:rsidRPr="004C63D2">
              <w:rPr>
                <w:b/>
                <w:bCs/>
                <w:color w:val="000000"/>
              </w:rPr>
              <w:t>Example Indicators / Measures</w:t>
            </w:r>
          </w:p>
        </w:tc>
        <w:tc>
          <w:tcPr>
            <w:tcW w:w="0" w:type="auto"/>
            <w:vAlign w:val="center"/>
            <w:hideMark/>
          </w:tcPr>
          <w:p w14:paraId="76BA15C6" w14:textId="77777777" w:rsidR="00987B65" w:rsidRPr="004C63D2" w:rsidRDefault="00987B65" w:rsidP="00383675">
            <w:pPr>
              <w:jc w:val="both"/>
              <w:rPr>
                <w:b/>
                <w:bCs/>
                <w:color w:val="000000"/>
              </w:rPr>
            </w:pPr>
            <w:r w:rsidRPr="004C63D2">
              <w:rPr>
                <w:b/>
                <w:bCs/>
                <w:color w:val="000000"/>
              </w:rPr>
              <w:t>Possible Data Source</w:t>
            </w:r>
          </w:p>
        </w:tc>
      </w:tr>
      <w:tr w:rsidR="00987B65" w:rsidRPr="004C63D2" w14:paraId="0532FF22" w14:textId="77777777">
        <w:trPr>
          <w:tblCellSpacing w:w="15" w:type="dxa"/>
        </w:trPr>
        <w:tc>
          <w:tcPr>
            <w:tcW w:w="0" w:type="auto"/>
            <w:vAlign w:val="center"/>
            <w:hideMark/>
          </w:tcPr>
          <w:p w14:paraId="0F8E52F4" w14:textId="77777777" w:rsidR="00987B65" w:rsidRPr="004C63D2" w:rsidRDefault="00987B65" w:rsidP="00383675">
            <w:pPr>
              <w:jc w:val="both"/>
              <w:rPr>
                <w:color w:val="000000"/>
              </w:rPr>
            </w:pPr>
            <w:r w:rsidRPr="004C63D2">
              <w:rPr>
                <w:color w:val="000000"/>
              </w:rPr>
              <w:t>Workflow alignment</w:t>
            </w:r>
          </w:p>
        </w:tc>
        <w:tc>
          <w:tcPr>
            <w:tcW w:w="0" w:type="auto"/>
            <w:vAlign w:val="center"/>
            <w:hideMark/>
          </w:tcPr>
          <w:p w14:paraId="62110AE5" w14:textId="77777777" w:rsidR="00987B65" w:rsidRPr="004C63D2" w:rsidRDefault="00987B65" w:rsidP="00383675">
            <w:pPr>
              <w:jc w:val="both"/>
              <w:rPr>
                <w:color w:val="000000"/>
              </w:rPr>
            </w:pPr>
            <w:r w:rsidRPr="004C63D2">
              <w:rPr>
                <w:color w:val="000000"/>
              </w:rPr>
              <w:t xml:space="preserve">Degree of fit between </w:t>
            </w:r>
            <w:proofErr w:type="spellStart"/>
            <w:r w:rsidRPr="004C63D2">
              <w:rPr>
                <w:color w:val="000000"/>
              </w:rPr>
              <w:t>telerehab</w:t>
            </w:r>
            <w:proofErr w:type="spellEnd"/>
            <w:r w:rsidRPr="004C63D2">
              <w:rPr>
                <w:color w:val="000000"/>
              </w:rPr>
              <w:t xml:space="preserve"> platform and daily care routines</w:t>
            </w:r>
          </w:p>
        </w:tc>
        <w:tc>
          <w:tcPr>
            <w:tcW w:w="0" w:type="auto"/>
            <w:vAlign w:val="center"/>
            <w:hideMark/>
          </w:tcPr>
          <w:p w14:paraId="42DBCC22" w14:textId="77777777" w:rsidR="00987B65" w:rsidRPr="004C63D2" w:rsidRDefault="00987B65" w:rsidP="00383675">
            <w:pPr>
              <w:jc w:val="both"/>
              <w:rPr>
                <w:color w:val="000000"/>
              </w:rPr>
            </w:pPr>
            <w:r w:rsidRPr="004C63D2">
              <w:rPr>
                <w:color w:val="000000"/>
              </w:rPr>
              <w:t>Staff survey, observation</w:t>
            </w:r>
          </w:p>
        </w:tc>
      </w:tr>
      <w:tr w:rsidR="00987B65" w:rsidRPr="004C63D2" w14:paraId="2C0F8289" w14:textId="77777777">
        <w:trPr>
          <w:tblCellSpacing w:w="15" w:type="dxa"/>
        </w:trPr>
        <w:tc>
          <w:tcPr>
            <w:tcW w:w="0" w:type="auto"/>
            <w:vAlign w:val="center"/>
            <w:hideMark/>
          </w:tcPr>
          <w:p w14:paraId="10727978" w14:textId="77777777" w:rsidR="00987B65" w:rsidRPr="004C63D2" w:rsidRDefault="00987B65" w:rsidP="00383675">
            <w:pPr>
              <w:jc w:val="both"/>
              <w:rPr>
                <w:color w:val="000000"/>
              </w:rPr>
            </w:pPr>
            <w:r w:rsidRPr="004C63D2">
              <w:rPr>
                <w:color w:val="000000"/>
              </w:rPr>
              <w:t>Staff readiness &amp; training</w:t>
            </w:r>
          </w:p>
        </w:tc>
        <w:tc>
          <w:tcPr>
            <w:tcW w:w="0" w:type="auto"/>
            <w:vAlign w:val="center"/>
            <w:hideMark/>
          </w:tcPr>
          <w:p w14:paraId="12AABA54" w14:textId="77777777" w:rsidR="00987B65" w:rsidRPr="004C63D2" w:rsidRDefault="00987B65" w:rsidP="00383675">
            <w:pPr>
              <w:jc w:val="both"/>
              <w:rPr>
                <w:color w:val="000000"/>
              </w:rPr>
            </w:pPr>
            <w:r w:rsidRPr="004C63D2">
              <w:rPr>
                <w:color w:val="000000"/>
              </w:rPr>
              <w:t>Self-reported preparedness, training hours, perceived adequacy of training</w:t>
            </w:r>
          </w:p>
        </w:tc>
        <w:tc>
          <w:tcPr>
            <w:tcW w:w="0" w:type="auto"/>
            <w:vAlign w:val="center"/>
            <w:hideMark/>
          </w:tcPr>
          <w:p w14:paraId="3ABAD1CD" w14:textId="77777777" w:rsidR="00987B65" w:rsidRPr="004C63D2" w:rsidRDefault="00987B65" w:rsidP="00383675">
            <w:pPr>
              <w:jc w:val="both"/>
              <w:rPr>
                <w:color w:val="000000"/>
              </w:rPr>
            </w:pPr>
            <w:r w:rsidRPr="004C63D2">
              <w:rPr>
                <w:color w:val="000000"/>
              </w:rPr>
              <w:t>Survey, HR/training records</w:t>
            </w:r>
          </w:p>
        </w:tc>
      </w:tr>
      <w:tr w:rsidR="00987B65" w:rsidRPr="004C63D2" w14:paraId="04389BF5" w14:textId="77777777">
        <w:trPr>
          <w:tblCellSpacing w:w="15" w:type="dxa"/>
        </w:trPr>
        <w:tc>
          <w:tcPr>
            <w:tcW w:w="0" w:type="auto"/>
            <w:vAlign w:val="center"/>
            <w:hideMark/>
          </w:tcPr>
          <w:p w14:paraId="6A0F8C2C" w14:textId="77777777" w:rsidR="00987B65" w:rsidRPr="004C63D2" w:rsidRDefault="00987B65" w:rsidP="00383675">
            <w:pPr>
              <w:jc w:val="both"/>
              <w:rPr>
                <w:color w:val="000000"/>
              </w:rPr>
            </w:pPr>
            <w:r w:rsidRPr="004C63D2">
              <w:rPr>
                <w:color w:val="000000"/>
              </w:rPr>
              <w:t>Patient engagement</w:t>
            </w:r>
          </w:p>
        </w:tc>
        <w:tc>
          <w:tcPr>
            <w:tcW w:w="0" w:type="auto"/>
            <w:vAlign w:val="center"/>
            <w:hideMark/>
          </w:tcPr>
          <w:p w14:paraId="71815BFB" w14:textId="77777777" w:rsidR="00987B65" w:rsidRPr="004C63D2" w:rsidRDefault="00987B65" w:rsidP="00383675">
            <w:pPr>
              <w:jc w:val="both"/>
              <w:rPr>
                <w:color w:val="000000"/>
              </w:rPr>
            </w:pPr>
            <w:r w:rsidRPr="004C63D2">
              <w:rPr>
                <w:color w:val="000000"/>
              </w:rPr>
              <w:t>Elderly patients’ acceptance and participation rates</w:t>
            </w:r>
          </w:p>
        </w:tc>
        <w:tc>
          <w:tcPr>
            <w:tcW w:w="0" w:type="auto"/>
            <w:vAlign w:val="center"/>
            <w:hideMark/>
          </w:tcPr>
          <w:p w14:paraId="0AB2B0E3" w14:textId="77777777" w:rsidR="00987B65" w:rsidRPr="004C63D2" w:rsidRDefault="00987B65" w:rsidP="00383675">
            <w:pPr>
              <w:jc w:val="both"/>
              <w:rPr>
                <w:color w:val="000000"/>
              </w:rPr>
            </w:pPr>
            <w:r w:rsidRPr="004C63D2">
              <w:rPr>
                <w:color w:val="000000"/>
              </w:rPr>
              <w:t>Patient feedback, usage data</w:t>
            </w:r>
          </w:p>
        </w:tc>
      </w:tr>
      <w:tr w:rsidR="00987B65" w:rsidRPr="004C63D2" w14:paraId="4840C66A" w14:textId="77777777">
        <w:trPr>
          <w:tblCellSpacing w:w="15" w:type="dxa"/>
        </w:trPr>
        <w:tc>
          <w:tcPr>
            <w:tcW w:w="0" w:type="auto"/>
            <w:vAlign w:val="center"/>
            <w:hideMark/>
          </w:tcPr>
          <w:p w14:paraId="0AC3AEEB" w14:textId="77777777" w:rsidR="00987B65" w:rsidRPr="004C63D2" w:rsidRDefault="00987B65" w:rsidP="00383675">
            <w:pPr>
              <w:jc w:val="both"/>
              <w:rPr>
                <w:color w:val="000000"/>
              </w:rPr>
            </w:pPr>
            <w:r w:rsidRPr="004C63D2">
              <w:rPr>
                <w:color w:val="000000"/>
              </w:rPr>
              <w:t>Sustainability of adoption</w:t>
            </w:r>
          </w:p>
        </w:tc>
        <w:tc>
          <w:tcPr>
            <w:tcW w:w="0" w:type="auto"/>
            <w:vAlign w:val="center"/>
            <w:hideMark/>
          </w:tcPr>
          <w:p w14:paraId="101A2798" w14:textId="77777777" w:rsidR="00987B65" w:rsidRPr="004C63D2" w:rsidRDefault="00987B65" w:rsidP="00383675">
            <w:pPr>
              <w:jc w:val="both"/>
              <w:rPr>
                <w:color w:val="000000"/>
              </w:rPr>
            </w:pPr>
            <w:r w:rsidRPr="004C63D2">
              <w:rPr>
                <w:color w:val="000000"/>
              </w:rPr>
              <w:t>Continued use beyond pilot stage, integration into routine operations</w:t>
            </w:r>
          </w:p>
        </w:tc>
        <w:tc>
          <w:tcPr>
            <w:tcW w:w="0" w:type="auto"/>
            <w:vAlign w:val="center"/>
            <w:hideMark/>
          </w:tcPr>
          <w:p w14:paraId="566DAADD" w14:textId="77777777" w:rsidR="00987B65" w:rsidRPr="004C63D2" w:rsidRDefault="00987B65" w:rsidP="00383675">
            <w:pPr>
              <w:jc w:val="both"/>
              <w:rPr>
                <w:color w:val="000000"/>
              </w:rPr>
            </w:pPr>
            <w:r w:rsidRPr="004C63D2">
              <w:rPr>
                <w:color w:val="000000"/>
              </w:rPr>
              <w:t>Longitudinal organizational data</w:t>
            </w:r>
          </w:p>
        </w:tc>
      </w:tr>
      <w:tr w:rsidR="00987B65" w:rsidRPr="004C63D2" w14:paraId="3B1BFB49" w14:textId="77777777">
        <w:trPr>
          <w:tblCellSpacing w:w="15" w:type="dxa"/>
        </w:trPr>
        <w:tc>
          <w:tcPr>
            <w:tcW w:w="0" w:type="auto"/>
            <w:vAlign w:val="center"/>
            <w:hideMark/>
          </w:tcPr>
          <w:p w14:paraId="78089A16" w14:textId="77777777" w:rsidR="00987B65" w:rsidRPr="004C63D2" w:rsidRDefault="00987B65" w:rsidP="00383675">
            <w:pPr>
              <w:jc w:val="both"/>
              <w:rPr>
                <w:color w:val="000000"/>
              </w:rPr>
            </w:pPr>
            <w:r w:rsidRPr="004C63D2">
              <w:rPr>
                <w:color w:val="000000"/>
              </w:rPr>
              <w:t>Barriers (misalignment)</w:t>
            </w:r>
          </w:p>
        </w:tc>
        <w:tc>
          <w:tcPr>
            <w:tcW w:w="0" w:type="auto"/>
            <w:vAlign w:val="center"/>
            <w:hideMark/>
          </w:tcPr>
          <w:p w14:paraId="7D0C2610" w14:textId="77777777" w:rsidR="00987B65" w:rsidRPr="004C63D2" w:rsidRDefault="00987B65" w:rsidP="00383675">
            <w:pPr>
              <w:jc w:val="both"/>
              <w:rPr>
                <w:color w:val="000000"/>
              </w:rPr>
            </w:pPr>
            <w:r w:rsidRPr="004C63D2">
              <w:rPr>
                <w:color w:val="000000"/>
              </w:rPr>
              <w:t>Reports of workflow disruption, duplication, or role conflict</w:t>
            </w:r>
          </w:p>
        </w:tc>
        <w:tc>
          <w:tcPr>
            <w:tcW w:w="0" w:type="auto"/>
            <w:vAlign w:val="center"/>
            <w:hideMark/>
          </w:tcPr>
          <w:p w14:paraId="561D3F8E" w14:textId="77777777" w:rsidR="00987B65" w:rsidRPr="004C63D2" w:rsidRDefault="00987B65" w:rsidP="00383675">
            <w:pPr>
              <w:jc w:val="both"/>
              <w:rPr>
                <w:color w:val="000000"/>
              </w:rPr>
            </w:pPr>
            <w:r w:rsidRPr="004C63D2">
              <w:rPr>
                <w:color w:val="000000"/>
              </w:rPr>
              <w:t>Qualitative interviews, focus groups</w:t>
            </w:r>
          </w:p>
        </w:tc>
      </w:tr>
    </w:tbl>
    <w:p w14:paraId="1D994A35" w14:textId="77777777" w:rsidR="002805B0" w:rsidRPr="004C63D2" w:rsidRDefault="002805B0" w:rsidP="00383675">
      <w:pPr>
        <w:jc w:val="both"/>
        <w:rPr>
          <w:b/>
          <w:bCs/>
          <w:color w:val="000000"/>
          <w:kern w:val="36"/>
        </w:rPr>
      </w:pPr>
    </w:p>
    <w:p w14:paraId="154FAD7C" w14:textId="77777777" w:rsidR="00E86301" w:rsidRDefault="002A0D62" w:rsidP="00E86301">
      <w:pPr>
        <w:jc w:val="both"/>
      </w:pPr>
      <w:r w:rsidRPr="004C63D2">
        <w:rPr>
          <w:color w:val="000000"/>
        </w:rPr>
        <w:t>This study will address its research questions using tailored methodological approaches for each hypothesis. For RQ1/H1, quantitative survey items employing Likert scales and organizational background data will be analyzed to identify patterns in technology adoption. RQ2/H2 will use mixed methods, combining survey responses on perceived institutional pressures with qualitative data from policy documents and interviews to provide multi-perspective insight. RQ3/H3 will integrate survey findings, patient usage statistics, and longitudinal case tracking to capture outcomes and trends over time. This multi-pronged analysis ensures robust evidence and triangulation for a comprehensive understanding of organizational adoption.</w:t>
      </w:r>
    </w:p>
    <w:p w14:paraId="3E224168" w14:textId="77777777" w:rsidR="00E86301" w:rsidRDefault="00E86301" w:rsidP="00E86301">
      <w:pPr>
        <w:jc w:val="both"/>
      </w:pPr>
    </w:p>
    <w:p w14:paraId="3BB30584" w14:textId="77777777" w:rsidR="00E86301" w:rsidRDefault="00E86301" w:rsidP="00E86301">
      <w:pPr>
        <w:jc w:val="both"/>
      </w:pPr>
    </w:p>
    <w:p w14:paraId="6807A457" w14:textId="48F78F6B" w:rsidR="00B125A6" w:rsidRPr="004C63D2" w:rsidRDefault="00E86301" w:rsidP="00E86301">
      <w:pPr>
        <w:jc w:val="both"/>
        <w:rPr>
          <w:b/>
          <w:bCs/>
          <w:color w:val="000000"/>
        </w:rPr>
      </w:pPr>
      <w:r>
        <w:rPr>
          <w:b/>
          <w:bCs/>
          <w:color w:val="000000"/>
        </w:rPr>
        <w:t>3.</w:t>
      </w:r>
      <w:r w:rsidR="008E4FA9">
        <w:rPr>
          <w:b/>
          <w:bCs/>
          <w:color w:val="000000"/>
        </w:rPr>
        <w:t>5</w:t>
      </w:r>
      <w:r>
        <w:rPr>
          <w:b/>
          <w:bCs/>
          <w:color w:val="000000"/>
        </w:rPr>
        <w:t xml:space="preserve"> </w:t>
      </w:r>
      <w:r w:rsidR="00B125A6" w:rsidRPr="004C63D2">
        <w:rPr>
          <w:b/>
          <w:bCs/>
          <w:color w:val="000000"/>
        </w:rPr>
        <w:t>Data Collection</w:t>
      </w:r>
    </w:p>
    <w:p w14:paraId="0838896E" w14:textId="77777777" w:rsidR="00B125A6" w:rsidRPr="004C63D2" w:rsidRDefault="00B125A6" w:rsidP="00383675">
      <w:pPr>
        <w:spacing w:before="100" w:beforeAutospacing="1" w:after="100" w:afterAutospacing="1"/>
        <w:jc w:val="both"/>
        <w:rPr>
          <w:color w:val="000000"/>
        </w:rPr>
      </w:pPr>
      <w:r w:rsidRPr="004C63D2">
        <w:rPr>
          <w:b/>
          <w:bCs/>
          <w:color w:val="000000"/>
        </w:rPr>
        <w:t>Phase 1 – Quantitative Survey</w:t>
      </w:r>
    </w:p>
    <w:p w14:paraId="7BFD030B" w14:textId="2799D084" w:rsidR="00B125A6" w:rsidRPr="004C63D2" w:rsidRDefault="00B125A6" w:rsidP="00383675">
      <w:pPr>
        <w:numPr>
          <w:ilvl w:val="0"/>
          <w:numId w:val="10"/>
        </w:numPr>
        <w:spacing w:before="100" w:beforeAutospacing="1" w:after="100" w:afterAutospacing="1"/>
        <w:jc w:val="both"/>
        <w:rPr>
          <w:color w:val="000000"/>
        </w:rPr>
      </w:pPr>
      <w:r w:rsidRPr="004C63D2">
        <w:rPr>
          <w:b/>
          <w:bCs/>
          <w:color w:val="000000"/>
        </w:rPr>
        <w:lastRenderedPageBreak/>
        <w:t>Target population:</w:t>
      </w:r>
      <w:r w:rsidRPr="004C63D2">
        <w:rPr>
          <w:color w:val="000000"/>
        </w:rPr>
        <w:t xml:space="preserve"> Senior managers, clinical leaders, and IT/operations staff in elderly community care organizations </w:t>
      </w:r>
      <w:r w:rsidR="007C6442" w:rsidRPr="004C63D2">
        <w:rPr>
          <w:color w:val="000000"/>
        </w:rPr>
        <w:t xml:space="preserve">in Hong Kong </w:t>
      </w:r>
      <w:r w:rsidRPr="004C63D2">
        <w:rPr>
          <w:color w:val="000000"/>
        </w:rPr>
        <w:t>(e.g., rehabilitation centers, community clinics, eldercare NGOs).</w:t>
      </w:r>
    </w:p>
    <w:p w14:paraId="346AC524" w14:textId="77777777" w:rsidR="00B125A6" w:rsidRPr="004C63D2" w:rsidRDefault="00B125A6" w:rsidP="00383675">
      <w:pPr>
        <w:numPr>
          <w:ilvl w:val="0"/>
          <w:numId w:val="10"/>
        </w:numPr>
        <w:spacing w:before="100" w:beforeAutospacing="1" w:after="100" w:afterAutospacing="1"/>
        <w:jc w:val="both"/>
        <w:rPr>
          <w:color w:val="000000"/>
        </w:rPr>
      </w:pPr>
      <w:r w:rsidRPr="004C63D2">
        <w:rPr>
          <w:b/>
          <w:bCs/>
          <w:color w:val="000000"/>
        </w:rPr>
        <w:t>Instrument:</w:t>
      </w:r>
      <w:r w:rsidRPr="004C63D2">
        <w:rPr>
          <w:color w:val="000000"/>
        </w:rPr>
        <w:t> Structured questionnaire with Likert-scale items mapped to TOE dimensions (technology, organization, environment), institutional pressures (coercive, mimetic, normative), and initial perceptions of adoption.</w:t>
      </w:r>
    </w:p>
    <w:p w14:paraId="7F19D190" w14:textId="77777777" w:rsidR="00B125A6" w:rsidRPr="004C63D2" w:rsidRDefault="00B125A6" w:rsidP="00383675">
      <w:pPr>
        <w:numPr>
          <w:ilvl w:val="0"/>
          <w:numId w:val="10"/>
        </w:numPr>
        <w:spacing w:before="100" w:beforeAutospacing="1" w:after="100" w:afterAutospacing="1"/>
        <w:jc w:val="both"/>
        <w:rPr>
          <w:color w:val="000000"/>
        </w:rPr>
      </w:pPr>
      <w:r w:rsidRPr="004C63D2">
        <w:rPr>
          <w:b/>
          <w:bCs/>
          <w:color w:val="000000"/>
        </w:rPr>
        <w:t>Sample size:</w:t>
      </w:r>
      <w:r w:rsidRPr="004C63D2">
        <w:rPr>
          <w:color w:val="000000"/>
        </w:rPr>
        <w:t> Approx. 150–200 organizational respondents to enable robust statistical analysis (e.g., SEM or PLS).</w:t>
      </w:r>
    </w:p>
    <w:p w14:paraId="1C897933" w14:textId="77777777" w:rsidR="00B125A6" w:rsidRPr="004C63D2" w:rsidRDefault="00B125A6" w:rsidP="00383675">
      <w:pPr>
        <w:spacing w:before="100" w:beforeAutospacing="1" w:after="100" w:afterAutospacing="1"/>
        <w:jc w:val="both"/>
        <w:rPr>
          <w:color w:val="000000"/>
        </w:rPr>
      </w:pPr>
      <w:r w:rsidRPr="004C63D2">
        <w:rPr>
          <w:b/>
          <w:bCs/>
          <w:color w:val="000000"/>
        </w:rPr>
        <w:t>Phase 2 – Qualitative Case Studies &amp; Interviews</w:t>
      </w:r>
    </w:p>
    <w:p w14:paraId="60FB64FA" w14:textId="77777777" w:rsidR="00B125A6" w:rsidRPr="004C63D2" w:rsidRDefault="00B125A6" w:rsidP="00383675">
      <w:pPr>
        <w:numPr>
          <w:ilvl w:val="0"/>
          <w:numId w:val="11"/>
        </w:numPr>
        <w:spacing w:before="100" w:beforeAutospacing="1" w:after="100" w:afterAutospacing="1"/>
        <w:jc w:val="both"/>
        <w:rPr>
          <w:color w:val="000000"/>
        </w:rPr>
      </w:pPr>
      <w:r w:rsidRPr="004C63D2">
        <w:rPr>
          <w:b/>
          <w:bCs/>
          <w:color w:val="000000"/>
        </w:rPr>
        <w:t>Participants:</w:t>
      </w:r>
      <w:r w:rsidRPr="004C63D2">
        <w:rPr>
          <w:color w:val="000000"/>
        </w:rPr>
        <w:t> A purposive sample of 4–6 organizations selected from survey respondents (both adopters and non-adopters).</w:t>
      </w:r>
    </w:p>
    <w:p w14:paraId="275DC7A7" w14:textId="77777777" w:rsidR="00B125A6" w:rsidRPr="004C63D2" w:rsidRDefault="00B125A6" w:rsidP="00383675">
      <w:pPr>
        <w:numPr>
          <w:ilvl w:val="0"/>
          <w:numId w:val="11"/>
        </w:numPr>
        <w:spacing w:before="100" w:beforeAutospacing="1" w:after="100" w:afterAutospacing="1"/>
        <w:jc w:val="both"/>
        <w:rPr>
          <w:color w:val="000000"/>
        </w:rPr>
      </w:pPr>
      <w:r w:rsidRPr="004C63D2">
        <w:rPr>
          <w:b/>
          <w:bCs/>
          <w:color w:val="000000"/>
        </w:rPr>
        <w:t>Methods:</w:t>
      </w:r>
      <w:r w:rsidRPr="004C63D2">
        <w:rPr>
          <w:color w:val="000000"/>
        </w:rPr>
        <w:t> Semi-structured interviews with managers and clinicians, document analysis, and limited observation of workflows.</w:t>
      </w:r>
    </w:p>
    <w:p w14:paraId="53C11CAC" w14:textId="77777777" w:rsidR="00B125A6" w:rsidRPr="004C63D2" w:rsidRDefault="00B125A6" w:rsidP="00383675">
      <w:pPr>
        <w:numPr>
          <w:ilvl w:val="0"/>
          <w:numId w:val="11"/>
        </w:numPr>
        <w:spacing w:before="100" w:beforeAutospacing="1" w:after="100" w:afterAutospacing="1"/>
        <w:jc w:val="both"/>
        <w:rPr>
          <w:color w:val="000000"/>
        </w:rPr>
      </w:pPr>
      <w:r w:rsidRPr="004C63D2">
        <w:rPr>
          <w:b/>
          <w:bCs/>
          <w:color w:val="000000"/>
        </w:rPr>
        <w:t>Focus:</w:t>
      </w:r>
      <w:r w:rsidRPr="004C63D2">
        <w:rPr>
          <w:color w:val="000000"/>
        </w:rPr>
        <w:t> Exploring socio-technical alignment, barriers, enablers, and sustainability of telerehabilitation.</w:t>
      </w:r>
    </w:p>
    <w:p w14:paraId="6B26C997" w14:textId="7FC54609" w:rsidR="00B125A6" w:rsidRPr="004C63D2" w:rsidRDefault="00D1554F" w:rsidP="00383675">
      <w:pPr>
        <w:spacing w:before="100" w:beforeAutospacing="1" w:after="100" w:afterAutospacing="1"/>
        <w:jc w:val="both"/>
        <w:outlineLvl w:val="2"/>
        <w:rPr>
          <w:b/>
          <w:bCs/>
          <w:color w:val="000000"/>
        </w:rPr>
      </w:pPr>
      <w:r>
        <w:rPr>
          <w:b/>
          <w:bCs/>
          <w:color w:val="000000"/>
        </w:rPr>
        <w:t>3.</w:t>
      </w:r>
      <w:r w:rsidR="008E4FA9">
        <w:rPr>
          <w:b/>
          <w:bCs/>
          <w:color w:val="000000"/>
        </w:rPr>
        <w:t>6</w:t>
      </w:r>
      <w:r>
        <w:rPr>
          <w:b/>
          <w:bCs/>
          <w:color w:val="000000"/>
        </w:rPr>
        <w:t xml:space="preserve"> </w:t>
      </w:r>
      <w:r w:rsidR="00B125A6" w:rsidRPr="004C63D2">
        <w:rPr>
          <w:b/>
          <w:bCs/>
          <w:color w:val="000000"/>
        </w:rPr>
        <w:t>Data Analysis</w:t>
      </w:r>
    </w:p>
    <w:p w14:paraId="33185F83" w14:textId="77777777" w:rsidR="00AC4C0A" w:rsidRPr="004C63D2" w:rsidRDefault="00AC4C0A" w:rsidP="00383675">
      <w:pPr>
        <w:spacing w:before="100" w:beforeAutospacing="1" w:after="100" w:afterAutospacing="1"/>
        <w:jc w:val="both"/>
        <w:outlineLvl w:val="1"/>
        <w:rPr>
          <w:color w:val="000000"/>
        </w:rPr>
      </w:pPr>
      <w:r w:rsidRPr="004C63D2">
        <w:rPr>
          <w:color w:val="000000"/>
        </w:rPr>
        <w:t>The proposed study will employ both quantitative and qualitative approaches to achieve a comprehensive analysis of organizational adoption behaviors in telerehabilitation for elderly community settings. Quantitative analysis will start with descriptive statistics, profiling organizational characteristics and examining participant demographics to establish contextual relevance. Next, reliability and validity of key constructs—such as Technology, Organization, and Environment (TOE) factors and institutional pressures—will be assessed using established psychometric techniques. Hypothesis testing will be conducted through Structural Equation Modeling (SEM) or Partial Least Squares (PLS), enabling the evaluation of direct and indirect relationships between TOE dimensions, institutional pressures, and adoption outcomes. These advanced modeling methods will facilitate the identification of key determinants and mediators in the adoption process.</w:t>
      </w:r>
    </w:p>
    <w:p w14:paraId="595B483D" w14:textId="77777777" w:rsidR="00AC4C0A" w:rsidRPr="004C63D2" w:rsidRDefault="00AC4C0A" w:rsidP="00383675">
      <w:pPr>
        <w:spacing w:before="100" w:beforeAutospacing="1" w:after="100" w:afterAutospacing="1"/>
        <w:jc w:val="both"/>
        <w:outlineLvl w:val="1"/>
        <w:rPr>
          <w:color w:val="000000"/>
        </w:rPr>
      </w:pPr>
      <w:r w:rsidRPr="004C63D2">
        <w:rPr>
          <w:color w:val="000000"/>
        </w:rPr>
        <w:t>The qualitative analysis will consist of a thematic examination of interview transcripts and organizational documents using NVivo or a comparable software package. Key themes and patterns will be extracted and triangulated with quantitative results for richer interpretation. This triangulation will allow for the identification of socio-technical adoption themes, explain variations, and highlight critical misalignments and organizational success factors. Ultimately, integrating both data streams will enable a nuanced understanding of the organizational context, factors influencing adoption, and actionable areas for optimizing telerehabilitation implementation in elderly care.</w:t>
      </w:r>
    </w:p>
    <w:p w14:paraId="7CF8C3FE" w14:textId="77777777" w:rsidR="00AC4C0A" w:rsidRPr="004C63D2" w:rsidRDefault="00AC4C0A" w:rsidP="00383675">
      <w:pPr>
        <w:spacing w:before="100" w:beforeAutospacing="1" w:after="100" w:afterAutospacing="1"/>
        <w:jc w:val="both"/>
        <w:outlineLvl w:val="1"/>
        <w:rPr>
          <w:b/>
          <w:bCs/>
          <w:color w:val="000000"/>
        </w:rPr>
      </w:pPr>
    </w:p>
    <w:p w14:paraId="5C391276" w14:textId="77777777" w:rsidR="00E12C1D" w:rsidRDefault="00E12C1D" w:rsidP="00383675">
      <w:pPr>
        <w:spacing w:before="100" w:beforeAutospacing="1" w:after="100" w:afterAutospacing="1"/>
        <w:jc w:val="both"/>
        <w:outlineLvl w:val="1"/>
        <w:rPr>
          <w:b/>
          <w:bCs/>
          <w:color w:val="000000"/>
        </w:rPr>
      </w:pPr>
    </w:p>
    <w:p w14:paraId="762F5F6F" w14:textId="77777777" w:rsidR="00E12C1D" w:rsidRDefault="00E12C1D" w:rsidP="00383675">
      <w:pPr>
        <w:spacing w:before="100" w:beforeAutospacing="1" w:after="100" w:afterAutospacing="1"/>
        <w:jc w:val="both"/>
        <w:outlineLvl w:val="1"/>
        <w:rPr>
          <w:b/>
          <w:bCs/>
          <w:color w:val="000000"/>
        </w:rPr>
      </w:pPr>
    </w:p>
    <w:p w14:paraId="6DCA379C" w14:textId="14861063" w:rsidR="00A52E81" w:rsidRPr="004C63D2" w:rsidRDefault="00D1554F" w:rsidP="00383675">
      <w:pPr>
        <w:spacing w:before="100" w:beforeAutospacing="1" w:after="100" w:afterAutospacing="1"/>
        <w:jc w:val="both"/>
        <w:outlineLvl w:val="1"/>
        <w:rPr>
          <w:b/>
          <w:bCs/>
          <w:color w:val="000000"/>
        </w:rPr>
      </w:pPr>
      <w:r>
        <w:rPr>
          <w:b/>
          <w:bCs/>
          <w:color w:val="000000"/>
        </w:rPr>
        <w:lastRenderedPageBreak/>
        <w:t xml:space="preserve">4. </w:t>
      </w:r>
      <w:r w:rsidR="00A52E81" w:rsidRPr="004C63D2">
        <w:rPr>
          <w:b/>
          <w:bCs/>
          <w:color w:val="000000"/>
        </w:rPr>
        <w:t>Ethical Considerations</w:t>
      </w:r>
    </w:p>
    <w:p w14:paraId="01C43EE2" w14:textId="6EB5CD84" w:rsidR="00A52E81" w:rsidRPr="004C63D2" w:rsidRDefault="00A52E81" w:rsidP="00383675">
      <w:pPr>
        <w:spacing w:before="100" w:beforeAutospacing="1" w:after="100" w:afterAutospacing="1"/>
        <w:jc w:val="both"/>
        <w:rPr>
          <w:color w:val="000000"/>
        </w:rPr>
      </w:pPr>
      <w:r w:rsidRPr="004C63D2">
        <w:rPr>
          <w:color w:val="000000"/>
        </w:rPr>
        <w:t>Prior to commencing the study, </w:t>
      </w:r>
      <w:r w:rsidRPr="004C63D2">
        <w:rPr>
          <w:b/>
          <w:bCs/>
          <w:color w:val="000000"/>
        </w:rPr>
        <w:t>institutional ethics approval</w:t>
      </w:r>
      <w:r w:rsidRPr="004C63D2">
        <w:rPr>
          <w:color w:val="000000"/>
        </w:rPr>
        <w:t> will be sought from a recognized Institutional Review Board (IRB) in the United States</w:t>
      </w:r>
      <w:r w:rsidR="00F06E14" w:rsidRPr="004C63D2">
        <w:rPr>
          <w:color w:val="000000"/>
        </w:rPr>
        <w:t xml:space="preserve"> or Hong Kong</w:t>
      </w:r>
      <w:r w:rsidRPr="004C63D2">
        <w:rPr>
          <w:color w:val="000000"/>
        </w:rPr>
        <w:t>. This step ensures that the research design, procedures, and participant involvement comply with established international ethical standards. Approval will serve as a formal assurance that the rights, dignity, and welfare of all study participants—both organizational stakeholders and elderly community members—are safeguarded.</w:t>
      </w:r>
    </w:p>
    <w:p w14:paraId="60AD0418" w14:textId="77777777" w:rsidR="00A52E81" w:rsidRPr="004C63D2" w:rsidRDefault="00A52E81" w:rsidP="00383675">
      <w:pPr>
        <w:spacing w:before="100" w:beforeAutospacing="1" w:after="100" w:afterAutospacing="1"/>
        <w:jc w:val="both"/>
        <w:rPr>
          <w:color w:val="000000"/>
        </w:rPr>
      </w:pPr>
      <w:r w:rsidRPr="004C63D2">
        <w:rPr>
          <w:b/>
          <w:bCs/>
          <w:color w:val="000000"/>
        </w:rPr>
        <w:t>Informed consent</w:t>
      </w:r>
      <w:r w:rsidRPr="004C63D2">
        <w:rPr>
          <w:color w:val="000000"/>
        </w:rPr>
        <w:t> will be obtained from all participants before data collection begins. Information sheets will provide clear explanations of the study’s aims, methodology, potential risks, and expected benefits. Participants will be given opportunities to ask questions and will be reminded of their right to withdraw at any stage without penalty. Written consent will be collected to confirm voluntary participation and ensure transparency throughout the process.</w:t>
      </w:r>
    </w:p>
    <w:p w14:paraId="6882FC10" w14:textId="77777777" w:rsidR="00A52E81" w:rsidRPr="004C63D2" w:rsidRDefault="00A52E81" w:rsidP="00383675">
      <w:pPr>
        <w:spacing w:before="100" w:beforeAutospacing="1" w:after="100" w:afterAutospacing="1"/>
        <w:jc w:val="both"/>
        <w:rPr>
          <w:color w:val="000000"/>
        </w:rPr>
      </w:pPr>
      <w:r w:rsidRPr="004C63D2">
        <w:rPr>
          <w:color w:val="000000"/>
        </w:rPr>
        <w:t>To protect privacy, strict </w:t>
      </w:r>
      <w:r w:rsidRPr="004C63D2">
        <w:rPr>
          <w:b/>
          <w:bCs/>
          <w:color w:val="000000"/>
        </w:rPr>
        <w:t>anonymization protocols</w:t>
      </w:r>
      <w:r w:rsidRPr="004C63D2">
        <w:rPr>
          <w:color w:val="000000"/>
        </w:rPr>
        <w:t> will be implemented. All identifying details of organizations and respondents, such as names, positions, or institutional affiliations, will be replaced with codes or pseudonyms. Findings will be reported only in aggregate form, preventing the identification of individuals or organizations. This commitment to confidentiality minimizes risk and fosters open and honest participation.</w:t>
      </w:r>
    </w:p>
    <w:p w14:paraId="040CDF83" w14:textId="77777777" w:rsidR="00A52E81" w:rsidRPr="004C63D2" w:rsidRDefault="00A52E81" w:rsidP="00383675">
      <w:pPr>
        <w:spacing w:before="100" w:beforeAutospacing="1" w:after="100" w:afterAutospacing="1"/>
        <w:jc w:val="both"/>
        <w:rPr>
          <w:color w:val="000000"/>
        </w:rPr>
      </w:pPr>
      <w:r w:rsidRPr="004C63D2">
        <w:rPr>
          <w:color w:val="000000"/>
        </w:rPr>
        <w:t>All collected data will be handled in line with institutional and IRB-approved </w:t>
      </w:r>
      <w:r w:rsidRPr="004C63D2">
        <w:rPr>
          <w:b/>
          <w:bCs/>
          <w:color w:val="000000"/>
        </w:rPr>
        <w:t>secure storage procedures</w:t>
      </w:r>
      <w:r w:rsidRPr="004C63D2">
        <w:rPr>
          <w:color w:val="000000"/>
        </w:rPr>
        <w:t>. Electronic data will be encrypted and stored on password-protected platforms accessible only to the core research team. Hard-copy materials, if generated, will be locked in secure cabinets within restricted-access offices. Data will be retained only for the duration specified by the IRB and will be securely destroyed thereafter, ensuring compliance with data protection and privacy standards.</w:t>
      </w:r>
    </w:p>
    <w:p w14:paraId="7CE75511" w14:textId="77777777" w:rsidR="00A52E81" w:rsidRPr="004C63D2" w:rsidRDefault="00A52E81" w:rsidP="00383675">
      <w:pPr>
        <w:spacing w:before="100" w:beforeAutospacing="1" w:after="100" w:afterAutospacing="1"/>
        <w:jc w:val="both"/>
        <w:rPr>
          <w:color w:val="000000"/>
        </w:rPr>
      </w:pPr>
      <w:r w:rsidRPr="004C63D2">
        <w:rPr>
          <w:color w:val="000000"/>
        </w:rPr>
        <w:t>Recognizing the involvement of elderly participants, a specific focus will be placed on </w:t>
      </w:r>
      <w:r w:rsidRPr="004C63D2">
        <w:rPr>
          <w:b/>
          <w:bCs/>
          <w:color w:val="000000"/>
        </w:rPr>
        <w:t>cultural sensitivity and the needs of older adults</w:t>
      </w:r>
      <w:r w:rsidRPr="004C63D2">
        <w:rPr>
          <w:color w:val="000000"/>
        </w:rPr>
        <w:t> in Hong Kong. Consent forms, questionnaires, and study-related materials will be provided in Chinese and explained verbally in Cantonese or Putonghua to accommodate linguistic and literacy differences. Researchers will use clear, respectful communication approaches and will consider cultural values such as family involvement in healthcare decisions and trust in medical authority. Where needed, family members or caregivers may be engaged to support the informed consent process. Safeguards will be established to prevent coercion, ensuring that participation remains voluntary and respectful of the participants’ dignity.</w:t>
      </w:r>
    </w:p>
    <w:p w14:paraId="39500FBC" w14:textId="77777777" w:rsidR="00EE7C30" w:rsidRPr="004C63D2" w:rsidRDefault="00EE7C30" w:rsidP="00383675">
      <w:pPr>
        <w:spacing w:before="100" w:beforeAutospacing="1" w:after="100" w:afterAutospacing="1"/>
        <w:jc w:val="both"/>
        <w:outlineLvl w:val="2"/>
        <w:rPr>
          <w:b/>
          <w:bCs/>
          <w:color w:val="000000"/>
        </w:rPr>
      </w:pPr>
    </w:p>
    <w:p w14:paraId="51B75B05" w14:textId="4C113B48" w:rsidR="00A52E81" w:rsidRPr="004C63D2" w:rsidRDefault="00D1554F" w:rsidP="00383675">
      <w:pPr>
        <w:spacing w:before="100" w:beforeAutospacing="1" w:after="100" w:afterAutospacing="1"/>
        <w:jc w:val="both"/>
        <w:outlineLvl w:val="2"/>
        <w:rPr>
          <w:b/>
          <w:bCs/>
          <w:color w:val="000000"/>
        </w:rPr>
      </w:pPr>
      <w:r>
        <w:rPr>
          <w:b/>
          <w:bCs/>
          <w:color w:val="000000"/>
        </w:rPr>
        <w:t xml:space="preserve">5. </w:t>
      </w:r>
      <w:r w:rsidR="00A52E81" w:rsidRPr="004C63D2">
        <w:rPr>
          <w:b/>
          <w:bCs/>
          <w:color w:val="000000"/>
        </w:rPr>
        <w:t>Risk Management</w:t>
      </w:r>
    </w:p>
    <w:p w14:paraId="62C1018A" w14:textId="76F85BE5" w:rsidR="00A72CC7" w:rsidRPr="004C63D2" w:rsidRDefault="00A52E81" w:rsidP="00383675">
      <w:pPr>
        <w:spacing w:before="100" w:beforeAutospacing="1" w:after="100" w:afterAutospacing="1"/>
        <w:jc w:val="both"/>
        <w:rPr>
          <w:color w:val="000000"/>
        </w:rPr>
      </w:pPr>
      <w:r w:rsidRPr="004C63D2">
        <w:rPr>
          <w:color w:val="000000"/>
        </w:rPr>
        <w:t>To minimize risks, proactive strategies will be employed throughout the study. For elderly participants, the possibility of </w:t>
      </w:r>
      <w:r w:rsidRPr="004C63D2">
        <w:rPr>
          <w:b/>
          <w:bCs/>
          <w:color w:val="000000"/>
        </w:rPr>
        <w:t>physical or psychological strain</w:t>
      </w:r>
      <w:r w:rsidRPr="004C63D2">
        <w:rPr>
          <w:color w:val="000000"/>
        </w:rPr>
        <w:t xml:space="preserve"> during rehabilitation activities will be addressed by ensuring medical supervision, monitoring participants’ comfort levels, and allowing them to pause or withdraw at any point. Any adverse events will be reported promptly </w:t>
      </w:r>
      <w:r w:rsidRPr="004C63D2">
        <w:rPr>
          <w:color w:val="000000"/>
        </w:rPr>
        <w:lastRenderedPageBreak/>
        <w:t>and managed according to established clinical protocols. For organizational respondents, the risk of </w:t>
      </w:r>
      <w:r w:rsidRPr="004C63D2">
        <w:rPr>
          <w:b/>
          <w:bCs/>
          <w:color w:val="000000"/>
        </w:rPr>
        <w:t>reputational harm</w:t>
      </w:r>
      <w:r w:rsidRPr="004C63D2">
        <w:rPr>
          <w:color w:val="000000"/>
        </w:rPr>
        <w:t> will be mitigated by strict anonymization and secure handling of sensitive information. To reduce </w:t>
      </w:r>
      <w:r w:rsidRPr="004C63D2">
        <w:rPr>
          <w:b/>
          <w:bCs/>
          <w:color w:val="000000"/>
        </w:rPr>
        <w:t>dropout risk</w:t>
      </w:r>
      <w:r w:rsidRPr="004C63D2">
        <w:rPr>
          <w:color w:val="000000"/>
        </w:rPr>
        <w:t>, flexible scheduling, regular communication, and culturally appropriate engagement strategies will be used. These measures ensure participant safety, data integrity, and organizational trust, thereby strengthening both the validity and ethical robustness of the study.</w:t>
      </w:r>
    </w:p>
    <w:p w14:paraId="3BFAD938" w14:textId="77777777" w:rsidR="00A72CC7" w:rsidRPr="004C63D2" w:rsidRDefault="00A72CC7" w:rsidP="00383675">
      <w:pPr>
        <w:spacing w:before="100" w:beforeAutospacing="1" w:after="100" w:afterAutospacing="1"/>
        <w:jc w:val="both"/>
        <w:outlineLvl w:val="2"/>
      </w:pPr>
    </w:p>
    <w:p w14:paraId="4223C987" w14:textId="75F1616A" w:rsidR="00B125A6" w:rsidRPr="004C63D2" w:rsidRDefault="00D1554F" w:rsidP="00383675">
      <w:pPr>
        <w:spacing w:before="100" w:beforeAutospacing="1" w:after="100" w:afterAutospacing="1"/>
        <w:jc w:val="both"/>
        <w:outlineLvl w:val="2"/>
        <w:rPr>
          <w:b/>
          <w:bCs/>
          <w:color w:val="000000"/>
        </w:rPr>
      </w:pPr>
      <w:r>
        <w:rPr>
          <w:b/>
          <w:bCs/>
          <w:color w:val="000000"/>
        </w:rPr>
        <w:t xml:space="preserve">6. </w:t>
      </w:r>
      <w:r w:rsidR="00B125A6" w:rsidRPr="004C63D2">
        <w:rPr>
          <w:b/>
          <w:bCs/>
          <w:color w:val="000000"/>
        </w:rPr>
        <w:t>Expected Contribution</w:t>
      </w:r>
    </w:p>
    <w:p w14:paraId="71F705A6" w14:textId="77777777" w:rsidR="00B125A6" w:rsidRPr="004C63D2" w:rsidRDefault="00B125A6" w:rsidP="00383675">
      <w:pPr>
        <w:spacing w:before="100" w:beforeAutospacing="1" w:after="100" w:afterAutospacing="1"/>
        <w:jc w:val="both"/>
        <w:rPr>
          <w:color w:val="000000"/>
        </w:rPr>
      </w:pPr>
      <w:r w:rsidRPr="004C63D2">
        <w:rPr>
          <w:color w:val="000000"/>
        </w:rPr>
        <w:t>Methodologically, the mixed-methods design strengthens the study’s validity by integrating breadth (survey) and depth (case studies). Substantively, findings will advance theoretical understanding of organizational adoption behavior (extending TOE with Institutional and Socio-Technical perspectives) and provide actionable insights for healthcare managers and policymakers to scale up telerehabilitation sustainably.</w:t>
      </w:r>
    </w:p>
    <w:p w14:paraId="02035D60" w14:textId="77777777" w:rsidR="00B125A6" w:rsidRPr="004C63D2" w:rsidRDefault="00B125A6" w:rsidP="00383675">
      <w:pPr>
        <w:jc w:val="both"/>
      </w:pPr>
    </w:p>
    <w:p w14:paraId="48D7722D" w14:textId="6D4002CA" w:rsidR="00B125A6" w:rsidRPr="004C63D2" w:rsidRDefault="00D1554F" w:rsidP="00383675">
      <w:pPr>
        <w:spacing w:before="100" w:beforeAutospacing="1" w:after="100" w:afterAutospacing="1"/>
        <w:jc w:val="both"/>
        <w:outlineLvl w:val="1"/>
        <w:rPr>
          <w:b/>
          <w:bCs/>
          <w:color w:val="000000"/>
        </w:rPr>
      </w:pPr>
      <w:r>
        <w:rPr>
          <w:b/>
          <w:bCs/>
          <w:color w:val="000000"/>
        </w:rPr>
        <w:t xml:space="preserve">7. </w:t>
      </w:r>
      <w:r w:rsidR="00B125A6" w:rsidRPr="004C63D2">
        <w:rPr>
          <w:b/>
          <w:bCs/>
          <w:color w:val="000000"/>
        </w:rPr>
        <w:t>Work Plan</w:t>
      </w:r>
    </w:p>
    <w:p w14:paraId="0C441047" w14:textId="77777777" w:rsidR="00B125A6" w:rsidRPr="004C63D2" w:rsidRDefault="00B125A6" w:rsidP="00383675">
      <w:pPr>
        <w:spacing w:before="100" w:beforeAutospacing="1" w:after="100" w:afterAutospacing="1"/>
        <w:jc w:val="both"/>
        <w:rPr>
          <w:color w:val="000000"/>
        </w:rPr>
      </w:pPr>
      <w:r w:rsidRPr="004C63D2">
        <w:rPr>
          <w:color w:val="000000"/>
        </w:rPr>
        <w:t>The proposed study will be conducted over a twelve-month period, divided into eight key phases.</w:t>
      </w:r>
    </w:p>
    <w:p w14:paraId="2A3124CC" w14:textId="77777777" w:rsidR="00B125A6" w:rsidRPr="004C63D2" w:rsidRDefault="00B125A6" w:rsidP="00383675">
      <w:pPr>
        <w:spacing w:before="100" w:beforeAutospacing="1" w:after="100" w:afterAutospacing="1"/>
        <w:jc w:val="both"/>
        <w:rPr>
          <w:color w:val="000000"/>
        </w:rPr>
      </w:pPr>
      <w:r w:rsidRPr="004C63D2">
        <w:rPr>
          <w:b/>
          <w:bCs/>
          <w:color w:val="000000"/>
        </w:rPr>
        <w:t>Months 1–2: Literature Review and Framework Development</w:t>
      </w:r>
      <w:r w:rsidRPr="004C63D2">
        <w:rPr>
          <w:color w:val="000000"/>
        </w:rPr>
        <w:br/>
        <w:t>The study will begin with a comprehensive review of the literature on technology adoption, organizational behavior, and telerehabilitation. This will inform the development of the theoretical framework, integrating the TOE, Institutional, and Socio-Technical perspectives, and will guide the formulation of survey items and interview protocols.</w:t>
      </w:r>
    </w:p>
    <w:p w14:paraId="3A5D7802" w14:textId="77777777" w:rsidR="00B125A6" w:rsidRPr="004C63D2" w:rsidRDefault="00B125A6" w:rsidP="00383675">
      <w:pPr>
        <w:spacing w:before="100" w:beforeAutospacing="1" w:after="100" w:afterAutospacing="1"/>
        <w:jc w:val="both"/>
        <w:rPr>
          <w:color w:val="000000"/>
        </w:rPr>
      </w:pPr>
      <w:r w:rsidRPr="004C63D2">
        <w:rPr>
          <w:b/>
          <w:bCs/>
          <w:color w:val="000000"/>
        </w:rPr>
        <w:t>Months 2–3: Survey Instrument Design and Pilot Testing</w:t>
      </w:r>
      <w:r w:rsidRPr="004C63D2">
        <w:rPr>
          <w:color w:val="000000"/>
        </w:rPr>
        <w:br/>
        <w:t>A structured survey will be developed to measure constructs relating to technological, organizational, and environmental factors, as well as institutional pressures. The instrument will be pilot tested with a small group of participants to refine question clarity, reliability, and validity before large-scale distribution.</w:t>
      </w:r>
    </w:p>
    <w:p w14:paraId="2ED1ACA9" w14:textId="77777777" w:rsidR="00B125A6" w:rsidRPr="004C63D2" w:rsidRDefault="00B125A6" w:rsidP="00383675">
      <w:pPr>
        <w:spacing w:before="100" w:beforeAutospacing="1" w:after="100" w:afterAutospacing="1"/>
        <w:jc w:val="both"/>
        <w:rPr>
          <w:color w:val="000000"/>
        </w:rPr>
      </w:pPr>
      <w:r w:rsidRPr="004C63D2">
        <w:rPr>
          <w:b/>
          <w:bCs/>
          <w:color w:val="000000"/>
        </w:rPr>
        <w:t>Months 3–5: Quantitative Data Collection</w:t>
      </w:r>
      <w:r w:rsidRPr="004C63D2">
        <w:rPr>
          <w:color w:val="000000"/>
        </w:rPr>
        <w:br/>
        <w:t>The finalized survey will be distributed to managers, clinical leaders, and staff across elderly community care organizations. Responses will provide data for testing the study’s hypotheses using structural equation modeling or equivalent quantitative techniques.</w:t>
      </w:r>
    </w:p>
    <w:p w14:paraId="3CD99142" w14:textId="77777777" w:rsidR="00B125A6" w:rsidRPr="004C63D2" w:rsidRDefault="00B125A6" w:rsidP="00383675">
      <w:pPr>
        <w:spacing w:before="100" w:beforeAutospacing="1" w:after="100" w:afterAutospacing="1"/>
        <w:jc w:val="both"/>
        <w:rPr>
          <w:color w:val="000000"/>
        </w:rPr>
      </w:pPr>
      <w:r w:rsidRPr="004C63D2">
        <w:rPr>
          <w:b/>
          <w:bCs/>
          <w:color w:val="000000"/>
        </w:rPr>
        <w:t>Months 5–6: Quantitative Data Analysis</w:t>
      </w:r>
      <w:r w:rsidRPr="004C63D2">
        <w:rPr>
          <w:color w:val="000000"/>
        </w:rPr>
        <w:br/>
        <w:t>Survey responses will be analyzed to assess the relationships between TOE constructs, institutional pressures, and adoption outcomes. This analysis will establish the quantitative foundation of the study and highlight areas for deeper exploration in the qualitative phase.</w:t>
      </w:r>
    </w:p>
    <w:p w14:paraId="01A65DDB" w14:textId="77777777" w:rsidR="00B125A6" w:rsidRPr="004C63D2" w:rsidRDefault="00B125A6" w:rsidP="00383675">
      <w:pPr>
        <w:spacing w:before="100" w:beforeAutospacing="1" w:after="100" w:afterAutospacing="1"/>
        <w:jc w:val="both"/>
        <w:rPr>
          <w:color w:val="000000"/>
        </w:rPr>
      </w:pPr>
      <w:r w:rsidRPr="004C63D2">
        <w:rPr>
          <w:b/>
          <w:bCs/>
          <w:color w:val="000000"/>
        </w:rPr>
        <w:lastRenderedPageBreak/>
        <w:t>Months 6–8: Qualitative Case Selection and Interviews</w:t>
      </w:r>
      <w:r w:rsidRPr="004C63D2">
        <w:rPr>
          <w:color w:val="000000"/>
        </w:rPr>
        <w:br/>
        <w:t>Based on survey responses, a purposive sample of 4–6 organizations (including both adopters and non-adopters of telerehabilitation) will be selected for case studies. Semi-structured interviews will be conducted with managers and clinicians to explore socio-technical alignment, barriers, and enablers.</w:t>
      </w:r>
    </w:p>
    <w:p w14:paraId="666B5BF8" w14:textId="77777777" w:rsidR="00B125A6" w:rsidRPr="004C63D2" w:rsidRDefault="00B125A6" w:rsidP="00383675">
      <w:pPr>
        <w:spacing w:before="100" w:beforeAutospacing="1" w:after="100" w:afterAutospacing="1"/>
        <w:jc w:val="both"/>
        <w:rPr>
          <w:color w:val="000000"/>
        </w:rPr>
      </w:pPr>
      <w:r w:rsidRPr="004C63D2">
        <w:rPr>
          <w:b/>
          <w:bCs/>
          <w:color w:val="000000"/>
        </w:rPr>
        <w:t>Months 8–9: Qualitative Data Analysis</w:t>
      </w:r>
      <w:r w:rsidRPr="004C63D2">
        <w:rPr>
          <w:color w:val="000000"/>
        </w:rPr>
        <w:br/>
        <w:t>Interview transcripts and organizational documents will be analyzed thematically, using NVivo or equivalent software, to identify themes relating to socio-technical alignment and sustainability of adoption.</w:t>
      </w:r>
    </w:p>
    <w:p w14:paraId="3FB428E3" w14:textId="77777777" w:rsidR="00B125A6" w:rsidRPr="004C63D2" w:rsidRDefault="00B125A6" w:rsidP="00383675">
      <w:pPr>
        <w:spacing w:before="100" w:beforeAutospacing="1" w:after="100" w:afterAutospacing="1"/>
        <w:jc w:val="both"/>
        <w:rPr>
          <w:color w:val="000000"/>
        </w:rPr>
      </w:pPr>
      <w:r w:rsidRPr="004C63D2">
        <w:rPr>
          <w:b/>
          <w:bCs/>
          <w:color w:val="000000"/>
        </w:rPr>
        <w:t>Months 9–10: Integration of Findings</w:t>
      </w:r>
      <w:r w:rsidRPr="004C63D2">
        <w:rPr>
          <w:color w:val="000000"/>
        </w:rPr>
        <w:br/>
        <w:t>Findings from the quantitative and qualitative phases will be integrated to provide a holistic understanding of organizational adoption behavior. The integration will validate and enrich theoretical insights while identifying practical implications.</w:t>
      </w:r>
    </w:p>
    <w:p w14:paraId="7D917210" w14:textId="77777777" w:rsidR="00B125A6" w:rsidRPr="004C63D2" w:rsidRDefault="00B125A6" w:rsidP="00383675">
      <w:pPr>
        <w:spacing w:before="100" w:beforeAutospacing="1" w:after="100" w:afterAutospacing="1"/>
        <w:jc w:val="both"/>
        <w:rPr>
          <w:color w:val="000000"/>
        </w:rPr>
      </w:pPr>
      <w:r w:rsidRPr="004C63D2">
        <w:rPr>
          <w:b/>
          <w:bCs/>
          <w:color w:val="000000"/>
        </w:rPr>
        <w:t>Months 10–12: Writing and Submission</w:t>
      </w:r>
      <w:r w:rsidRPr="004C63D2">
        <w:rPr>
          <w:color w:val="000000"/>
        </w:rPr>
        <w:br/>
        <w:t>The final stage will involve the preparation of the research report or thesis, synthesizing findings, discussing contributions, and offering recommendations for practice and policy. The completed work will then be submitted for review and evaluation.</w:t>
      </w:r>
    </w:p>
    <w:p w14:paraId="2B1B0FD3" w14:textId="275C1412" w:rsidR="00755850" w:rsidRPr="004C63D2" w:rsidRDefault="00B125A6" w:rsidP="00383675">
      <w:pPr>
        <w:jc w:val="both"/>
      </w:pPr>
      <w:r w:rsidRPr="004C63D2">
        <w:fldChar w:fldCharType="begin"/>
      </w:r>
      <w:r w:rsidRPr="004C63D2">
        <w:instrText xml:space="preserve"> INCLUDEPICTURE "/Users/yvonnelai/Library/Group Containers/UBF8T346G9.ms/WebArchiveCopyPasteTempFiles/com.microsoft.Word/content?id=file-8JX5ZU5JWexeoYbTQPCdee&amp;ts=488026&amp;p=fs&amp;cid=1&amp;sig=7e2b7acc882a799dfe819d7f5483b6c91c1fe43e730a51149637d427b3996a5b" \* MERGEFORMATINET </w:instrText>
      </w:r>
      <w:r w:rsidRPr="004C63D2">
        <w:fldChar w:fldCharType="separate"/>
      </w:r>
      <w:r w:rsidRPr="004C63D2">
        <w:rPr>
          <w:noProof/>
        </w:rPr>
        <w:drawing>
          <wp:inline distT="0" distB="0" distL="0" distR="0" wp14:anchorId="0AA31AAB" wp14:editId="15A68C80">
            <wp:extent cx="5943600" cy="2948305"/>
            <wp:effectExtent l="0" t="0" r="0" b="0"/>
            <wp:docPr id="726663590"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Output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948305"/>
                    </a:xfrm>
                    <a:prstGeom prst="rect">
                      <a:avLst/>
                    </a:prstGeom>
                    <a:noFill/>
                    <a:ln>
                      <a:noFill/>
                    </a:ln>
                  </pic:spPr>
                </pic:pic>
              </a:graphicData>
            </a:graphic>
          </wp:inline>
        </w:drawing>
      </w:r>
      <w:r w:rsidRPr="004C63D2">
        <w:fldChar w:fldCharType="end"/>
      </w:r>
    </w:p>
    <w:p w14:paraId="08C4B704" w14:textId="77777777" w:rsidR="00B125A6" w:rsidRPr="004C63D2" w:rsidRDefault="00B125A6" w:rsidP="00383675">
      <w:pPr>
        <w:jc w:val="both"/>
      </w:pPr>
    </w:p>
    <w:p w14:paraId="1031AA52" w14:textId="1345602C" w:rsidR="00177878" w:rsidRPr="004C63D2" w:rsidRDefault="00177878" w:rsidP="00383675">
      <w:pPr>
        <w:pStyle w:val="NormalWeb"/>
        <w:jc w:val="both"/>
      </w:pPr>
      <w:r w:rsidRPr="004C63D2">
        <w:rPr>
          <w:rStyle w:val="Strong"/>
          <w:rFonts w:eastAsiaTheme="majorEastAsia"/>
        </w:rPr>
        <w:t>Months 1–2:</w:t>
      </w:r>
      <w:r w:rsidRPr="004C63D2">
        <w:rPr>
          <w:rStyle w:val="apple-converted-space"/>
          <w:rFonts w:eastAsiaTheme="majorEastAsia"/>
        </w:rPr>
        <w:t> </w:t>
      </w:r>
      <w:r w:rsidRPr="004C63D2">
        <w:t>Literature review &amp; framework development</w:t>
      </w:r>
    </w:p>
    <w:p w14:paraId="5C5FD36B" w14:textId="6787265D" w:rsidR="00177878" w:rsidRPr="004C63D2" w:rsidRDefault="00177878" w:rsidP="00383675">
      <w:pPr>
        <w:pStyle w:val="NormalWeb"/>
        <w:jc w:val="both"/>
      </w:pPr>
      <w:r w:rsidRPr="004C63D2">
        <w:rPr>
          <w:rStyle w:val="Strong"/>
          <w:rFonts w:eastAsiaTheme="majorEastAsia"/>
        </w:rPr>
        <w:t>Months 2–3:</w:t>
      </w:r>
      <w:r w:rsidRPr="004C63D2">
        <w:rPr>
          <w:rStyle w:val="apple-converted-space"/>
          <w:rFonts w:eastAsiaTheme="majorEastAsia"/>
        </w:rPr>
        <w:t> </w:t>
      </w:r>
      <w:r w:rsidRPr="004C63D2">
        <w:t>Survey instrument design &amp; pilot</w:t>
      </w:r>
    </w:p>
    <w:p w14:paraId="633EA296" w14:textId="0623FC37" w:rsidR="00177878" w:rsidRPr="004C63D2" w:rsidRDefault="00177878" w:rsidP="00383675">
      <w:pPr>
        <w:pStyle w:val="NormalWeb"/>
        <w:jc w:val="both"/>
      </w:pPr>
      <w:r w:rsidRPr="004C63D2">
        <w:rPr>
          <w:rStyle w:val="Strong"/>
          <w:rFonts w:eastAsiaTheme="majorEastAsia"/>
        </w:rPr>
        <w:t>Months 3–5:</w:t>
      </w:r>
      <w:r w:rsidRPr="004C63D2">
        <w:rPr>
          <w:rStyle w:val="apple-converted-space"/>
          <w:rFonts w:eastAsiaTheme="majorEastAsia"/>
        </w:rPr>
        <w:t> </w:t>
      </w:r>
      <w:r w:rsidRPr="004C63D2">
        <w:t>Quantitative data collection (survey)</w:t>
      </w:r>
    </w:p>
    <w:p w14:paraId="74F031DA" w14:textId="3E7413AF" w:rsidR="00177878" w:rsidRPr="004C63D2" w:rsidRDefault="00177878" w:rsidP="00383675">
      <w:pPr>
        <w:pStyle w:val="NormalWeb"/>
        <w:jc w:val="both"/>
      </w:pPr>
      <w:r w:rsidRPr="004C63D2">
        <w:rPr>
          <w:rStyle w:val="Strong"/>
          <w:rFonts w:eastAsiaTheme="majorEastAsia"/>
        </w:rPr>
        <w:t>Months 5–6:</w:t>
      </w:r>
      <w:r w:rsidRPr="004C63D2">
        <w:rPr>
          <w:rStyle w:val="apple-converted-space"/>
          <w:rFonts w:eastAsiaTheme="majorEastAsia"/>
        </w:rPr>
        <w:t> </w:t>
      </w:r>
      <w:r w:rsidRPr="004C63D2">
        <w:t>Quantitative data analysis</w:t>
      </w:r>
    </w:p>
    <w:p w14:paraId="3DB55E79" w14:textId="7F320EF0" w:rsidR="00177878" w:rsidRPr="004C63D2" w:rsidRDefault="00177878" w:rsidP="00383675">
      <w:pPr>
        <w:pStyle w:val="NormalWeb"/>
        <w:jc w:val="both"/>
      </w:pPr>
      <w:r w:rsidRPr="004C63D2">
        <w:rPr>
          <w:rStyle w:val="Strong"/>
          <w:rFonts w:eastAsiaTheme="majorEastAsia"/>
        </w:rPr>
        <w:lastRenderedPageBreak/>
        <w:t>Months 6–8:</w:t>
      </w:r>
      <w:r w:rsidRPr="004C63D2">
        <w:rPr>
          <w:rStyle w:val="apple-converted-space"/>
          <w:rFonts w:eastAsiaTheme="majorEastAsia"/>
        </w:rPr>
        <w:t> </w:t>
      </w:r>
      <w:r w:rsidRPr="004C63D2">
        <w:t>Qualitative case selection &amp; interviews</w:t>
      </w:r>
    </w:p>
    <w:p w14:paraId="71F61F8C" w14:textId="6FC1F71D" w:rsidR="00177878" w:rsidRPr="004C63D2" w:rsidRDefault="00177878" w:rsidP="00383675">
      <w:pPr>
        <w:pStyle w:val="NormalWeb"/>
        <w:jc w:val="both"/>
      </w:pPr>
      <w:r w:rsidRPr="004C63D2">
        <w:rPr>
          <w:rStyle w:val="Strong"/>
          <w:rFonts w:eastAsiaTheme="majorEastAsia"/>
        </w:rPr>
        <w:t>Months 8–9:</w:t>
      </w:r>
      <w:r w:rsidRPr="004C63D2">
        <w:rPr>
          <w:rStyle w:val="apple-converted-space"/>
          <w:rFonts w:eastAsiaTheme="majorEastAsia"/>
        </w:rPr>
        <w:t> </w:t>
      </w:r>
      <w:r w:rsidRPr="004C63D2">
        <w:t>Qualitative data analysis</w:t>
      </w:r>
    </w:p>
    <w:p w14:paraId="0A2524AA" w14:textId="5A61A9F5" w:rsidR="00177878" w:rsidRPr="004C63D2" w:rsidRDefault="00177878" w:rsidP="00383675">
      <w:pPr>
        <w:pStyle w:val="NormalWeb"/>
        <w:jc w:val="both"/>
      </w:pPr>
      <w:r w:rsidRPr="004C63D2">
        <w:rPr>
          <w:rStyle w:val="Strong"/>
          <w:rFonts w:eastAsiaTheme="majorEastAsia"/>
        </w:rPr>
        <w:t>Months 9–10:</w:t>
      </w:r>
      <w:r w:rsidRPr="004C63D2">
        <w:rPr>
          <w:rStyle w:val="apple-converted-space"/>
          <w:rFonts w:eastAsiaTheme="majorEastAsia"/>
        </w:rPr>
        <w:t> </w:t>
      </w:r>
      <w:r w:rsidRPr="004C63D2">
        <w:t>Integration of findings</w:t>
      </w:r>
    </w:p>
    <w:p w14:paraId="4DFC4953" w14:textId="46D7A855" w:rsidR="00177878" w:rsidRPr="004C63D2" w:rsidRDefault="00177878" w:rsidP="00383675">
      <w:pPr>
        <w:pStyle w:val="NormalWeb"/>
        <w:jc w:val="both"/>
      </w:pPr>
      <w:r w:rsidRPr="004C63D2">
        <w:rPr>
          <w:rStyle w:val="Strong"/>
          <w:rFonts w:eastAsiaTheme="majorEastAsia"/>
        </w:rPr>
        <w:t>Months 10–12:</w:t>
      </w:r>
      <w:r w:rsidRPr="004C63D2">
        <w:rPr>
          <w:rStyle w:val="apple-converted-space"/>
          <w:rFonts w:eastAsiaTheme="majorEastAsia"/>
        </w:rPr>
        <w:t> </w:t>
      </w:r>
      <w:r w:rsidRPr="004C63D2">
        <w:t>Writing &amp; submission of proposal/thesis</w:t>
      </w:r>
    </w:p>
    <w:p w14:paraId="0CAB405B" w14:textId="77777777" w:rsidR="00B125A6" w:rsidRPr="004C63D2" w:rsidRDefault="00B125A6" w:rsidP="00383675">
      <w:pPr>
        <w:jc w:val="both"/>
      </w:pPr>
    </w:p>
    <w:p w14:paraId="6DDC56A7" w14:textId="28D9EC8A" w:rsidR="00F249C4" w:rsidRPr="004C63D2" w:rsidRDefault="00D1554F" w:rsidP="00383675">
      <w:pPr>
        <w:spacing w:before="100" w:beforeAutospacing="1" w:after="100" w:afterAutospacing="1"/>
        <w:jc w:val="both"/>
        <w:outlineLvl w:val="1"/>
        <w:rPr>
          <w:b/>
          <w:bCs/>
          <w:color w:val="000000"/>
        </w:rPr>
      </w:pPr>
      <w:r>
        <w:rPr>
          <w:b/>
          <w:bCs/>
          <w:color w:val="000000"/>
        </w:rPr>
        <w:t xml:space="preserve">8. </w:t>
      </w:r>
      <w:r w:rsidR="00F249C4" w:rsidRPr="004C63D2">
        <w:rPr>
          <w:b/>
          <w:bCs/>
          <w:color w:val="000000"/>
        </w:rPr>
        <w:t>Significance of the Study</w:t>
      </w:r>
    </w:p>
    <w:p w14:paraId="38F53D74" w14:textId="77777777" w:rsidR="00F249C4" w:rsidRPr="004C63D2" w:rsidRDefault="00F249C4" w:rsidP="00383675">
      <w:pPr>
        <w:spacing w:before="100" w:beforeAutospacing="1" w:after="100" w:afterAutospacing="1"/>
        <w:jc w:val="both"/>
        <w:rPr>
          <w:color w:val="000000"/>
        </w:rPr>
      </w:pPr>
      <w:r w:rsidRPr="004C63D2">
        <w:rPr>
          <w:color w:val="000000"/>
        </w:rPr>
        <w:t>This study makes important contributions at both theoretical and practical levels.</w:t>
      </w:r>
    </w:p>
    <w:p w14:paraId="66CA7273" w14:textId="77777777" w:rsidR="004A366A" w:rsidRPr="004C63D2" w:rsidRDefault="00F249C4" w:rsidP="008E5929">
      <w:pPr>
        <w:spacing w:before="100" w:beforeAutospacing="1" w:after="100" w:afterAutospacing="1"/>
        <w:rPr>
          <w:color w:val="000000"/>
        </w:rPr>
      </w:pPr>
      <w:r w:rsidRPr="004C63D2">
        <w:rPr>
          <w:b/>
          <w:bCs/>
          <w:color w:val="000000"/>
        </w:rPr>
        <w:t>Theoretical Significance</w:t>
      </w:r>
      <w:r w:rsidRPr="004C63D2">
        <w:rPr>
          <w:color w:val="000000"/>
        </w:rPr>
        <w:br/>
      </w:r>
    </w:p>
    <w:p w14:paraId="33435D7D" w14:textId="1201B6B1" w:rsidR="00F249C4" w:rsidRPr="004C63D2" w:rsidRDefault="00F249C4" w:rsidP="00383675">
      <w:pPr>
        <w:spacing w:before="100" w:beforeAutospacing="1" w:after="100" w:afterAutospacing="1"/>
        <w:jc w:val="both"/>
        <w:rPr>
          <w:color w:val="000000"/>
        </w:rPr>
      </w:pPr>
      <w:r w:rsidRPr="004C63D2">
        <w:rPr>
          <w:color w:val="000000"/>
        </w:rPr>
        <w:t>Most prior research on telerehabilitation adoption has focused on individual user acceptance, often drawing on models such as UTAUT2. While valuable, this perspective overlooks the organizational and environmental dimensions that are critical in healthcare decision-making. By integrating the </w:t>
      </w:r>
      <w:r w:rsidRPr="004C63D2">
        <w:rPr>
          <w:b/>
          <w:bCs/>
          <w:color w:val="000000"/>
        </w:rPr>
        <w:t>Technology–Organization–Environment (TOE) framework</w:t>
      </w:r>
      <w:r w:rsidR="00B125A6" w:rsidRPr="004C63D2">
        <w:rPr>
          <w:b/>
          <w:bCs/>
          <w:color w:val="000000"/>
        </w:rPr>
        <w:t xml:space="preserve"> </w:t>
      </w:r>
      <w:r w:rsidRPr="004C63D2">
        <w:rPr>
          <w:color w:val="000000"/>
        </w:rPr>
        <w:t>with </w:t>
      </w:r>
      <w:r w:rsidRPr="004C63D2">
        <w:rPr>
          <w:b/>
          <w:bCs/>
          <w:color w:val="000000"/>
        </w:rPr>
        <w:t>Institutional Theory</w:t>
      </w:r>
      <w:r w:rsidRPr="004C63D2">
        <w:rPr>
          <w:color w:val="000000"/>
        </w:rPr>
        <w:t> and the </w:t>
      </w:r>
      <w:r w:rsidRPr="004C63D2">
        <w:rPr>
          <w:b/>
          <w:bCs/>
          <w:color w:val="000000"/>
        </w:rPr>
        <w:t>Socio-Technical Systems perspective</w:t>
      </w:r>
      <w:r w:rsidRPr="004C63D2">
        <w:rPr>
          <w:color w:val="000000"/>
        </w:rPr>
        <w:t>, this study advances understanding of organizational behavior in digital health adoption. It contributes to the literature by explaining not only the internal determinants of adoption (technological readiness, organizational resources) but also the external pressures (coercive, mimetic, normative) and the alignment challenges between technology, people, and processes. The framework developed in this research may be extended to other digital health innovations beyond telerehabilitation, enhancing its generalizability.</w:t>
      </w:r>
    </w:p>
    <w:p w14:paraId="35AD29A0" w14:textId="77777777" w:rsidR="008E5929" w:rsidRDefault="008E5929" w:rsidP="00383675">
      <w:pPr>
        <w:spacing w:before="100" w:beforeAutospacing="1" w:after="100" w:afterAutospacing="1"/>
        <w:jc w:val="both"/>
        <w:rPr>
          <w:b/>
          <w:bCs/>
          <w:color w:val="000000"/>
        </w:rPr>
      </w:pPr>
    </w:p>
    <w:p w14:paraId="27E5A433" w14:textId="511BE1AA" w:rsidR="004A366A" w:rsidRPr="004C63D2" w:rsidRDefault="00F249C4" w:rsidP="008E5929">
      <w:pPr>
        <w:spacing w:before="100" w:beforeAutospacing="1" w:after="100" w:afterAutospacing="1"/>
        <w:rPr>
          <w:color w:val="000000"/>
        </w:rPr>
      </w:pPr>
      <w:r w:rsidRPr="004C63D2">
        <w:rPr>
          <w:b/>
          <w:bCs/>
          <w:color w:val="000000"/>
        </w:rPr>
        <w:t>Practical Significance</w:t>
      </w:r>
      <w:r w:rsidRPr="004C63D2">
        <w:rPr>
          <w:color w:val="000000"/>
        </w:rPr>
        <w:br/>
      </w:r>
    </w:p>
    <w:p w14:paraId="3A664FCA" w14:textId="7F9590EC" w:rsidR="00F249C4" w:rsidRPr="004C63D2" w:rsidRDefault="00F249C4" w:rsidP="00383675">
      <w:pPr>
        <w:spacing w:before="100" w:beforeAutospacing="1" w:after="100" w:afterAutospacing="1"/>
        <w:jc w:val="both"/>
        <w:rPr>
          <w:color w:val="000000"/>
        </w:rPr>
      </w:pPr>
      <w:r w:rsidRPr="004C63D2">
        <w:rPr>
          <w:color w:val="000000"/>
        </w:rPr>
        <w:t>At a practical level, the study provides actionable insights for healthcare managers, community organizations, and policymakers seeking to implement telerehabilitation for elderly populations. Findings will help organizations identify key enablers and barriers to adoption, including leadership commitment, staff readiness, workflow integration, and sustainability factors. For policymakers and funders, the research highlights how regulatory frameworks, reimbursement models, and professional norms shape organizational decisions. By offering evidence-based recommendations, the study will support more effective scaling and integration of telerehabilitation services, contributing to improved accessibility, efficiency, and quality of care for elderly communities.</w:t>
      </w:r>
    </w:p>
    <w:p w14:paraId="5132101D" w14:textId="77777777" w:rsidR="00F249C4" w:rsidRPr="004C63D2" w:rsidRDefault="00F249C4" w:rsidP="00383675">
      <w:pPr>
        <w:jc w:val="both"/>
      </w:pPr>
    </w:p>
    <w:p w14:paraId="7500C339" w14:textId="5D353481" w:rsidR="000059D6" w:rsidRDefault="008E5929" w:rsidP="00383675">
      <w:pPr>
        <w:spacing w:before="100" w:beforeAutospacing="1" w:after="100" w:afterAutospacing="1"/>
        <w:jc w:val="both"/>
        <w:outlineLvl w:val="1"/>
        <w:rPr>
          <w:b/>
          <w:bCs/>
          <w:color w:val="000000"/>
        </w:rPr>
      </w:pPr>
      <w:r>
        <w:rPr>
          <w:b/>
          <w:bCs/>
          <w:color w:val="000000"/>
        </w:rPr>
        <w:t xml:space="preserve">9. </w:t>
      </w:r>
      <w:r w:rsidR="000059D6" w:rsidRPr="004C63D2">
        <w:rPr>
          <w:b/>
          <w:bCs/>
          <w:color w:val="000000"/>
        </w:rPr>
        <w:t>Limitations of the Study</w:t>
      </w:r>
    </w:p>
    <w:p w14:paraId="02895DB4" w14:textId="24507090" w:rsidR="00034DD3" w:rsidRPr="00034DD3" w:rsidRDefault="00CE25FD" w:rsidP="00383675">
      <w:pPr>
        <w:spacing w:before="100" w:beforeAutospacing="1" w:after="100" w:afterAutospacing="1"/>
        <w:jc w:val="both"/>
        <w:outlineLvl w:val="1"/>
        <w:rPr>
          <w:color w:val="000000"/>
        </w:rPr>
      </w:pPr>
      <w:r>
        <w:rPr>
          <w:color w:val="000000"/>
        </w:rPr>
        <w:lastRenderedPageBreak/>
        <w:t>It is important to observe s</w:t>
      </w:r>
      <w:r w:rsidR="00034DD3">
        <w:rPr>
          <w:color w:val="000000"/>
        </w:rPr>
        <w:t xml:space="preserve">everal limitations </w:t>
      </w:r>
      <w:r>
        <w:rPr>
          <w:color w:val="000000"/>
        </w:rPr>
        <w:t xml:space="preserve">of the study. </w:t>
      </w:r>
    </w:p>
    <w:p w14:paraId="2691581A" w14:textId="0EF56164" w:rsidR="00034DD3" w:rsidRPr="004C63D2" w:rsidRDefault="00034DD3" w:rsidP="00383675">
      <w:pPr>
        <w:spacing w:before="100" w:beforeAutospacing="1" w:after="100" w:afterAutospacing="1"/>
        <w:jc w:val="both"/>
        <w:outlineLvl w:val="1"/>
        <w:rPr>
          <w:b/>
          <w:bCs/>
          <w:color w:val="000000"/>
        </w:rPr>
      </w:pPr>
    </w:p>
    <w:p w14:paraId="394E5B64" w14:textId="77777777" w:rsidR="000059D6" w:rsidRPr="004C63D2" w:rsidRDefault="000059D6" w:rsidP="00383675">
      <w:pPr>
        <w:numPr>
          <w:ilvl w:val="0"/>
          <w:numId w:val="12"/>
        </w:numPr>
        <w:spacing w:before="100" w:beforeAutospacing="1" w:after="100" w:afterAutospacing="1"/>
        <w:jc w:val="both"/>
        <w:rPr>
          <w:color w:val="000000"/>
        </w:rPr>
      </w:pPr>
      <w:r w:rsidRPr="004C63D2">
        <w:rPr>
          <w:b/>
          <w:bCs/>
          <w:color w:val="000000"/>
        </w:rPr>
        <w:t>Self-reported data bias</w:t>
      </w:r>
      <w:r w:rsidRPr="004C63D2">
        <w:rPr>
          <w:color w:val="000000"/>
        </w:rPr>
        <w:t> – The survey phase relies on self-reported responses from managers and staff, which may be subject to social desirability bias or selective recall. This could influence the accuracy of reported perceptions and practices.</w:t>
      </w:r>
    </w:p>
    <w:p w14:paraId="0E14E492" w14:textId="77777777" w:rsidR="000059D6" w:rsidRPr="004C63D2" w:rsidRDefault="000059D6" w:rsidP="00383675">
      <w:pPr>
        <w:numPr>
          <w:ilvl w:val="0"/>
          <w:numId w:val="12"/>
        </w:numPr>
        <w:spacing w:before="100" w:beforeAutospacing="1" w:after="100" w:afterAutospacing="1"/>
        <w:jc w:val="both"/>
        <w:rPr>
          <w:color w:val="000000"/>
        </w:rPr>
      </w:pPr>
      <w:r w:rsidRPr="004C63D2">
        <w:rPr>
          <w:b/>
          <w:bCs/>
          <w:color w:val="000000"/>
        </w:rPr>
        <w:t>Contextual generalizability</w:t>
      </w:r>
      <w:r w:rsidRPr="004C63D2">
        <w:rPr>
          <w:color w:val="000000"/>
        </w:rPr>
        <w:t> – The study is focused on elderly community care settings, which may limit the generalizability of findings to other healthcare contexts such as hospitals or private rehabilitation centers. Results may also vary across regions due to differences in policy, infrastructure, and cultural attitudes toward digital health.</w:t>
      </w:r>
    </w:p>
    <w:p w14:paraId="52917554" w14:textId="77777777" w:rsidR="000059D6" w:rsidRPr="004C63D2" w:rsidRDefault="000059D6" w:rsidP="00383675">
      <w:pPr>
        <w:numPr>
          <w:ilvl w:val="0"/>
          <w:numId w:val="12"/>
        </w:numPr>
        <w:spacing w:before="100" w:beforeAutospacing="1" w:after="100" w:afterAutospacing="1"/>
        <w:jc w:val="both"/>
        <w:rPr>
          <w:color w:val="000000"/>
        </w:rPr>
      </w:pPr>
      <w:r w:rsidRPr="004C63D2">
        <w:rPr>
          <w:b/>
          <w:bCs/>
          <w:color w:val="000000"/>
        </w:rPr>
        <w:t>Case study scope</w:t>
      </w:r>
      <w:r w:rsidRPr="004C63D2">
        <w:rPr>
          <w:color w:val="000000"/>
        </w:rPr>
        <w:t> – Due to resource and time constraints, the number of organizations included in the qualitative case studies will be limited. While offering depth of insight, this may restrict the diversity of perspectives captured.</w:t>
      </w:r>
    </w:p>
    <w:p w14:paraId="314EEB83" w14:textId="77777777" w:rsidR="000059D6" w:rsidRPr="004C63D2" w:rsidRDefault="000059D6" w:rsidP="00383675">
      <w:pPr>
        <w:numPr>
          <w:ilvl w:val="0"/>
          <w:numId w:val="12"/>
        </w:numPr>
        <w:spacing w:before="100" w:beforeAutospacing="1" w:after="100" w:afterAutospacing="1"/>
        <w:jc w:val="both"/>
        <w:rPr>
          <w:color w:val="000000"/>
        </w:rPr>
      </w:pPr>
      <w:r w:rsidRPr="004C63D2">
        <w:rPr>
          <w:b/>
          <w:bCs/>
          <w:color w:val="000000"/>
        </w:rPr>
        <w:t>Dynamic environment</w:t>
      </w:r>
      <w:r w:rsidRPr="004C63D2">
        <w:rPr>
          <w:color w:val="000000"/>
        </w:rPr>
        <w:t> – Telerehabilitation is an evolving field, influenced by rapidly changing technology and regulatory policies. Findings may reflect the situation at the time of study but could shift as innovations and policies advance.</w:t>
      </w:r>
    </w:p>
    <w:p w14:paraId="464AA11C" w14:textId="77777777" w:rsidR="00755850" w:rsidRPr="004C63D2" w:rsidRDefault="00755850" w:rsidP="00383675">
      <w:pPr>
        <w:jc w:val="both"/>
      </w:pPr>
    </w:p>
    <w:p w14:paraId="3D50793B" w14:textId="6E5620E5" w:rsidR="00DC47B3" w:rsidRPr="004C63D2" w:rsidRDefault="008E5929" w:rsidP="00383675">
      <w:pPr>
        <w:spacing w:before="100" w:beforeAutospacing="1" w:after="100" w:afterAutospacing="1"/>
        <w:jc w:val="both"/>
        <w:outlineLvl w:val="1"/>
        <w:rPr>
          <w:b/>
          <w:bCs/>
          <w:color w:val="000000"/>
        </w:rPr>
      </w:pPr>
      <w:r>
        <w:rPr>
          <w:b/>
          <w:bCs/>
          <w:color w:val="000000"/>
        </w:rPr>
        <w:t xml:space="preserve">10. </w:t>
      </w:r>
      <w:r w:rsidR="00DC47B3" w:rsidRPr="004C63D2">
        <w:rPr>
          <w:b/>
          <w:bCs/>
          <w:color w:val="000000"/>
        </w:rPr>
        <w:t>Future Research Opportunities</w:t>
      </w:r>
    </w:p>
    <w:p w14:paraId="53479A5C" w14:textId="77777777" w:rsidR="00DC47B3" w:rsidRPr="004C63D2" w:rsidRDefault="00DC47B3" w:rsidP="00383675">
      <w:pPr>
        <w:spacing w:before="100" w:beforeAutospacing="1" w:after="100" w:afterAutospacing="1"/>
        <w:jc w:val="both"/>
        <w:rPr>
          <w:color w:val="000000"/>
        </w:rPr>
      </w:pPr>
      <w:r w:rsidRPr="004C63D2">
        <w:rPr>
          <w:color w:val="000000"/>
        </w:rPr>
        <w:t>While this study is designed to provide valuable insights into organizational adoption of telerehabilitation in elderly community settings, several avenues remain open for future research:</w:t>
      </w:r>
    </w:p>
    <w:p w14:paraId="7CF991A9"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Longitudinal Studies</w:t>
      </w:r>
      <w:r w:rsidRPr="004C63D2">
        <w:rPr>
          <w:color w:val="000000"/>
        </w:rPr>
        <w:t> – Future research could track organizations over time to assess how adoption decisions evolve and how telerehabilitation practices are sustained or adapted in the long run.</w:t>
      </w:r>
    </w:p>
    <w:p w14:paraId="0D560339"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Cross-Country Comparisons</w:t>
      </w:r>
      <w:r w:rsidRPr="004C63D2">
        <w:rPr>
          <w:color w:val="000000"/>
        </w:rPr>
        <w:t> – Comparative studies across different healthcare systems and cultural contexts could shed light on how regulatory, funding, and societal factors influence organizational behavior.</w:t>
      </w:r>
    </w:p>
    <w:p w14:paraId="37C65ABA"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Integration with Clinical Outcomes</w:t>
      </w:r>
      <w:r w:rsidRPr="004C63D2">
        <w:rPr>
          <w:color w:val="000000"/>
        </w:rPr>
        <w:t> – Further research may link organizational adoption decisions with patient-level clinical outcomes, satisfaction, and cost-effectiveness, providing a holistic view of telerehabilitation’s impact.</w:t>
      </w:r>
    </w:p>
    <w:p w14:paraId="4F93742D"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Expanding Beyond Community Settings</w:t>
      </w:r>
      <w:r w:rsidRPr="004C63D2">
        <w:rPr>
          <w:color w:val="000000"/>
        </w:rPr>
        <w:t> – While this study focuses on elderly community care, future work could examine adoption dynamics in hospitals, rehabilitation clinics, or home-based care, offering broader generalizability.</w:t>
      </w:r>
    </w:p>
    <w:p w14:paraId="66DCBDAF"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Exploring Alternative Theoretical Models</w:t>
      </w:r>
      <w:r w:rsidRPr="004C63D2">
        <w:rPr>
          <w:color w:val="000000"/>
        </w:rPr>
        <w:t> – Scholars could test additional frameworks such as </w:t>
      </w:r>
      <w:r w:rsidRPr="004C63D2">
        <w:rPr>
          <w:b/>
          <w:bCs/>
          <w:color w:val="000000"/>
        </w:rPr>
        <w:t>Dynamic Capabilities Theory</w:t>
      </w:r>
      <w:r w:rsidRPr="004C63D2">
        <w:rPr>
          <w:color w:val="000000"/>
        </w:rPr>
        <w:t>, </w:t>
      </w:r>
      <w:r w:rsidRPr="004C63D2">
        <w:rPr>
          <w:b/>
          <w:bCs/>
          <w:color w:val="000000"/>
        </w:rPr>
        <w:t>Resource-Based View (RBV)</w:t>
      </w:r>
      <w:r w:rsidRPr="004C63D2">
        <w:rPr>
          <w:color w:val="000000"/>
        </w:rPr>
        <w:t>, or </w:t>
      </w:r>
      <w:r w:rsidRPr="004C63D2">
        <w:rPr>
          <w:b/>
          <w:bCs/>
          <w:color w:val="000000"/>
        </w:rPr>
        <w:t>Change Management models</w:t>
      </w:r>
      <w:r w:rsidRPr="004C63D2">
        <w:rPr>
          <w:color w:val="000000"/>
        </w:rPr>
        <w:t> to complement and extend the TOE–Institutional–Socio-Technical approach.</w:t>
      </w:r>
    </w:p>
    <w:p w14:paraId="3D65CC86" w14:textId="77777777" w:rsidR="00DC47B3" w:rsidRPr="004C63D2" w:rsidRDefault="00DC47B3" w:rsidP="00383675">
      <w:pPr>
        <w:numPr>
          <w:ilvl w:val="0"/>
          <w:numId w:val="13"/>
        </w:numPr>
        <w:spacing w:before="100" w:beforeAutospacing="1" w:after="100" w:afterAutospacing="1"/>
        <w:jc w:val="both"/>
        <w:rPr>
          <w:color w:val="000000"/>
        </w:rPr>
      </w:pPr>
      <w:r w:rsidRPr="004C63D2">
        <w:rPr>
          <w:b/>
          <w:bCs/>
          <w:color w:val="000000"/>
        </w:rPr>
        <w:t>Digital Health Ecosystems</w:t>
      </w:r>
      <w:r w:rsidRPr="004C63D2">
        <w:rPr>
          <w:color w:val="000000"/>
        </w:rPr>
        <w:t> – Further research could explore how telerehabilitation adoption interacts with other digital health tools (e.g., telemedicine, AI-based monitoring), assessing synergies and integration challenges.</w:t>
      </w:r>
    </w:p>
    <w:p w14:paraId="2E190684" w14:textId="77777777" w:rsidR="00755850" w:rsidRPr="004C63D2" w:rsidRDefault="00755850" w:rsidP="00383675">
      <w:pPr>
        <w:jc w:val="both"/>
      </w:pPr>
    </w:p>
    <w:p w14:paraId="1AAEDEB1" w14:textId="77777777" w:rsidR="00C24F3B" w:rsidRPr="004C63D2" w:rsidRDefault="00C24F3B" w:rsidP="00383675">
      <w:pPr>
        <w:jc w:val="both"/>
      </w:pPr>
    </w:p>
    <w:p w14:paraId="7A746291" w14:textId="3E588D8C" w:rsidR="00C24F3B" w:rsidRPr="00034DD3" w:rsidRDefault="00034DD3" w:rsidP="00383675">
      <w:pPr>
        <w:jc w:val="both"/>
        <w:rPr>
          <w:b/>
          <w:bCs/>
        </w:rPr>
      </w:pPr>
      <w:r>
        <w:rPr>
          <w:b/>
          <w:bCs/>
        </w:rPr>
        <w:t xml:space="preserve">11. </w:t>
      </w:r>
      <w:r w:rsidR="00C24F3B" w:rsidRPr="00034DD3">
        <w:rPr>
          <w:b/>
          <w:bCs/>
        </w:rPr>
        <w:t>Conclusion</w:t>
      </w:r>
    </w:p>
    <w:p w14:paraId="12F59577" w14:textId="77777777" w:rsidR="00225C37" w:rsidRDefault="00225C37" w:rsidP="00383675">
      <w:pPr>
        <w:jc w:val="both"/>
      </w:pPr>
    </w:p>
    <w:p w14:paraId="3C9AD663" w14:textId="77777777" w:rsidR="00034DD3" w:rsidRDefault="00034DD3" w:rsidP="00E50A99">
      <w:pPr>
        <w:pStyle w:val="NormalWeb"/>
        <w:jc w:val="both"/>
        <w:rPr>
          <w:color w:val="000000"/>
        </w:rPr>
      </w:pPr>
      <w:r>
        <w:rPr>
          <w:color w:val="000000"/>
        </w:rPr>
        <w:t>This study proposes a comprehensive investigation into the organizational adoption of telerehabilitation in elderly community settings, drawing on the TOE framework, Institutional Theory, and Socio-Technical Systems Theory. By employing a sequential explanatory mixed-methods design, it integrates the breadth of quantitative analysis with the depth of qualitative inquiry, ensuring both rigor and contextual relevance. The findings will provide actionable insights into the technological, organizational, institutional, and socio-technical factors that shape adoption, offering guidance for policymakers, healthcare providers, and technology developers. Ultimately, the study aims to enhance the sustainable integration of telerehabilitation in Hong Kong’s aging society.</w:t>
      </w:r>
    </w:p>
    <w:p w14:paraId="5D7E312E" w14:textId="77777777" w:rsidR="00225C37" w:rsidRPr="004C63D2" w:rsidRDefault="00225C37" w:rsidP="00383675">
      <w:pPr>
        <w:jc w:val="both"/>
      </w:pPr>
    </w:p>
    <w:p w14:paraId="72741401" w14:textId="77777777" w:rsidR="00C24F3B" w:rsidRPr="004C63D2" w:rsidRDefault="00C24F3B" w:rsidP="00383675">
      <w:pPr>
        <w:jc w:val="both"/>
      </w:pPr>
    </w:p>
    <w:p w14:paraId="5A789C42" w14:textId="77777777" w:rsidR="00C24F3B" w:rsidRPr="004C63D2" w:rsidRDefault="00C24F3B" w:rsidP="00383675">
      <w:pPr>
        <w:jc w:val="both"/>
      </w:pPr>
    </w:p>
    <w:p w14:paraId="424D90DD" w14:textId="77777777" w:rsidR="00755850" w:rsidRPr="004C63D2" w:rsidRDefault="00755850" w:rsidP="00383675">
      <w:pPr>
        <w:jc w:val="both"/>
      </w:pPr>
      <w:r w:rsidRPr="004C63D2">
        <w:t>References</w:t>
      </w:r>
    </w:p>
    <w:p w14:paraId="0E101937" w14:textId="77777777" w:rsidR="00755850" w:rsidRPr="004C63D2" w:rsidRDefault="00755850" w:rsidP="00383675">
      <w:pPr>
        <w:jc w:val="both"/>
      </w:pPr>
    </w:p>
    <w:p w14:paraId="0F4A6AC4" w14:textId="77777777" w:rsidR="00556692" w:rsidRPr="00556692" w:rsidRDefault="00556692" w:rsidP="00556692">
      <w:pPr>
        <w:pStyle w:val="Bibliography"/>
        <w:rPr>
          <w:rFonts w:eastAsiaTheme="minorEastAsia"/>
        </w:rPr>
      </w:pPr>
      <w:r>
        <w:fldChar w:fldCharType="begin"/>
      </w:r>
      <w:r>
        <w:instrText xml:space="preserve"> ADDIN ZOTERO_BIBL {"uncited":[],"omitted":[],"custom":[]} CSL_BIBLIOGRAPHY </w:instrText>
      </w:r>
      <w:r>
        <w:fldChar w:fldCharType="separate"/>
      </w:r>
      <w:proofErr w:type="spellStart"/>
      <w:r w:rsidRPr="00556692">
        <w:rPr>
          <w:rFonts w:eastAsiaTheme="minorEastAsia"/>
        </w:rPr>
        <w:t>Alawiye</w:t>
      </w:r>
      <w:proofErr w:type="spellEnd"/>
      <w:r w:rsidRPr="00556692">
        <w:rPr>
          <w:rFonts w:eastAsiaTheme="minorEastAsia"/>
        </w:rPr>
        <w:t xml:space="preserve">, T.R. (2024) “The Impact of Digital Technology on Healthcare Delivery and Patient Outcomes,” </w:t>
      </w:r>
      <w:r w:rsidRPr="00556692">
        <w:rPr>
          <w:rFonts w:eastAsiaTheme="minorEastAsia"/>
          <w:i/>
          <w:iCs/>
        </w:rPr>
        <w:t>E-Health Telecommunication Systems and Networks</w:t>
      </w:r>
      <w:r w:rsidRPr="00556692">
        <w:rPr>
          <w:rFonts w:eastAsiaTheme="minorEastAsia"/>
        </w:rPr>
        <w:t>, 13(2), pp. 13–22. Available at: https://doi.org/10.4236/etsn.2024.132002.</w:t>
      </w:r>
    </w:p>
    <w:p w14:paraId="34EEA444" w14:textId="77777777" w:rsidR="00556692" w:rsidRPr="00556692" w:rsidRDefault="00556692" w:rsidP="00556692">
      <w:pPr>
        <w:pStyle w:val="Bibliography"/>
        <w:rPr>
          <w:rFonts w:eastAsiaTheme="minorEastAsia"/>
        </w:rPr>
      </w:pPr>
      <w:proofErr w:type="spellStart"/>
      <w:r w:rsidRPr="00556692">
        <w:rPr>
          <w:rFonts w:eastAsiaTheme="minorEastAsia"/>
        </w:rPr>
        <w:t>Alruwaili</w:t>
      </w:r>
      <w:proofErr w:type="spellEnd"/>
      <w:r w:rsidRPr="00556692">
        <w:rPr>
          <w:rFonts w:eastAsiaTheme="minorEastAsia"/>
        </w:rPr>
        <w:t xml:space="preserve">, M.M. 1 </w:t>
      </w:r>
      <w:r w:rsidRPr="00556692">
        <w:rPr>
          <w:rFonts w:eastAsiaTheme="minorEastAsia"/>
          <w:i/>
          <w:iCs/>
        </w:rPr>
        <w:t>et al.</w:t>
      </w:r>
      <w:r w:rsidRPr="00556692">
        <w:rPr>
          <w:rFonts w:eastAsiaTheme="minorEastAsia"/>
        </w:rPr>
        <w:t xml:space="preserve"> (2023) “Digital Health Interventions for Promoting Healthy Aging: A Systematic Review of Adoption Patterns, Efficacy, and User Experience,” p. 16503. Available at: https://doi.org/10.3390/su152316503.</w:t>
      </w:r>
    </w:p>
    <w:p w14:paraId="42208DFC" w14:textId="77777777" w:rsidR="00556692" w:rsidRPr="00556692" w:rsidRDefault="00556692" w:rsidP="00556692">
      <w:pPr>
        <w:pStyle w:val="Bibliography"/>
        <w:rPr>
          <w:rFonts w:eastAsiaTheme="minorEastAsia"/>
        </w:rPr>
      </w:pPr>
      <w:proofErr w:type="spellStart"/>
      <w:r w:rsidRPr="00556692">
        <w:rPr>
          <w:rFonts w:eastAsiaTheme="minorEastAsia"/>
        </w:rPr>
        <w:t>Ammenwerth</w:t>
      </w:r>
      <w:proofErr w:type="spellEnd"/>
      <w:r w:rsidRPr="00556692">
        <w:rPr>
          <w:rFonts w:eastAsiaTheme="minorEastAsia"/>
        </w:rPr>
        <w:t xml:space="preserve"> Elske (2019) “Technology Acceptance Models in Health Informatics: TAM and UTAUT,” in </w:t>
      </w:r>
      <w:r w:rsidRPr="00556692">
        <w:rPr>
          <w:rFonts w:eastAsiaTheme="minorEastAsia"/>
          <w:i/>
          <w:iCs/>
        </w:rPr>
        <w:t>Studies in Health Technology and Informatics</w:t>
      </w:r>
      <w:r w:rsidRPr="00556692">
        <w:rPr>
          <w:rFonts w:eastAsiaTheme="minorEastAsia"/>
        </w:rPr>
        <w:t>. IOS Press. Available at: https://doi.org/10.3233/SHTI190111.</w:t>
      </w:r>
    </w:p>
    <w:p w14:paraId="75F3C8BF" w14:textId="77777777" w:rsidR="00556692" w:rsidRPr="00556692" w:rsidRDefault="00556692" w:rsidP="00556692">
      <w:pPr>
        <w:pStyle w:val="Bibliography"/>
        <w:rPr>
          <w:rFonts w:eastAsiaTheme="minorEastAsia"/>
        </w:rPr>
      </w:pPr>
      <w:r w:rsidRPr="00556692">
        <w:rPr>
          <w:rFonts w:eastAsiaTheme="minorEastAsia"/>
        </w:rPr>
        <w:t xml:space="preserve">Appelbaum, S.H. (1997) “Socio‐technical systems theory: an intervention strategy for organizational development,” </w:t>
      </w:r>
      <w:r w:rsidRPr="00556692">
        <w:rPr>
          <w:rFonts w:eastAsiaTheme="minorEastAsia"/>
          <w:i/>
          <w:iCs/>
        </w:rPr>
        <w:t>Management Decision</w:t>
      </w:r>
      <w:r w:rsidRPr="00556692">
        <w:rPr>
          <w:rFonts w:eastAsiaTheme="minorEastAsia"/>
        </w:rPr>
        <w:t>, 35(6), pp. 452–463. Available at: https://doi.org/10.1108/00251749710173823.</w:t>
      </w:r>
    </w:p>
    <w:p w14:paraId="24693D2D" w14:textId="77777777" w:rsidR="00556692" w:rsidRPr="00556692" w:rsidRDefault="00556692" w:rsidP="00556692">
      <w:pPr>
        <w:pStyle w:val="Bibliography"/>
        <w:rPr>
          <w:rFonts w:eastAsiaTheme="minorEastAsia"/>
        </w:rPr>
      </w:pPr>
      <w:r w:rsidRPr="00556692">
        <w:rPr>
          <w:rFonts w:eastAsiaTheme="minorEastAsia"/>
        </w:rPr>
        <w:t xml:space="preserve">Arntz, A. </w:t>
      </w:r>
      <w:r w:rsidRPr="00556692">
        <w:rPr>
          <w:rFonts w:eastAsiaTheme="minorEastAsia"/>
          <w:i/>
          <w:iCs/>
        </w:rPr>
        <w:t>et al.</w:t>
      </w:r>
      <w:r w:rsidRPr="00556692">
        <w:rPr>
          <w:rFonts w:eastAsiaTheme="minorEastAsia"/>
        </w:rPr>
        <w:t xml:space="preserve"> (2023) “Technologies in Home-Based Digital Rehabilitation: Scoping Review,” </w:t>
      </w:r>
      <w:r w:rsidRPr="00556692">
        <w:rPr>
          <w:rFonts w:eastAsiaTheme="minorEastAsia"/>
          <w:i/>
          <w:iCs/>
        </w:rPr>
        <w:t>JMIR Rehabilitation and Assistive Technologies</w:t>
      </w:r>
      <w:r w:rsidRPr="00556692">
        <w:rPr>
          <w:rFonts w:eastAsiaTheme="minorEastAsia"/>
        </w:rPr>
        <w:t>, 10, p. e43615. Available at: https://doi.org/10.2196/43615.</w:t>
      </w:r>
    </w:p>
    <w:p w14:paraId="745CAF80" w14:textId="77777777" w:rsidR="00556692" w:rsidRPr="00556692" w:rsidRDefault="00556692" w:rsidP="00556692">
      <w:pPr>
        <w:pStyle w:val="Bibliography"/>
        <w:rPr>
          <w:rFonts w:eastAsiaTheme="minorEastAsia"/>
        </w:rPr>
      </w:pPr>
      <w:r w:rsidRPr="00556692">
        <w:rPr>
          <w:rFonts w:eastAsiaTheme="minorEastAsia"/>
        </w:rPr>
        <w:t xml:space="preserve">Beier, M. and </w:t>
      </w:r>
      <w:proofErr w:type="spellStart"/>
      <w:r w:rsidRPr="00556692">
        <w:rPr>
          <w:rFonts w:eastAsiaTheme="minorEastAsia"/>
        </w:rPr>
        <w:t>Früh</w:t>
      </w:r>
      <w:proofErr w:type="spellEnd"/>
      <w:r w:rsidRPr="00556692">
        <w:rPr>
          <w:rFonts w:eastAsiaTheme="minorEastAsia"/>
        </w:rPr>
        <w:t xml:space="preserve">, S. (2020) “Technological, Organizational, and Environmental Factors Influencing Social Media Adoption by Hospitals in Switzerland: Cross-Sectional Study,” </w:t>
      </w:r>
      <w:r w:rsidRPr="00556692">
        <w:rPr>
          <w:rFonts w:eastAsiaTheme="minorEastAsia"/>
          <w:i/>
          <w:iCs/>
        </w:rPr>
        <w:t>Journal of Medical Internet Research</w:t>
      </w:r>
      <w:r w:rsidRPr="00556692">
        <w:rPr>
          <w:rFonts w:eastAsiaTheme="minorEastAsia"/>
        </w:rPr>
        <w:t>, 22(3), p. e16995. Available at: https://doi.org/10.2196/16995.</w:t>
      </w:r>
    </w:p>
    <w:p w14:paraId="22C5BEA2" w14:textId="77777777" w:rsidR="00556692" w:rsidRPr="00556692" w:rsidRDefault="00556692" w:rsidP="00556692">
      <w:pPr>
        <w:pStyle w:val="Bibliography"/>
        <w:rPr>
          <w:rFonts w:eastAsiaTheme="minorEastAsia"/>
        </w:rPr>
      </w:pPr>
      <w:r w:rsidRPr="00556692">
        <w:rPr>
          <w:rFonts w:eastAsiaTheme="minorEastAsia"/>
        </w:rPr>
        <w:t xml:space="preserve">Chen, Y. </w:t>
      </w:r>
      <w:r w:rsidRPr="00556692">
        <w:rPr>
          <w:rFonts w:eastAsiaTheme="minorEastAsia"/>
          <w:i/>
          <w:iCs/>
        </w:rPr>
        <w:t>et al.</w:t>
      </w:r>
      <w:r w:rsidRPr="00556692">
        <w:rPr>
          <w:rFonts w:eastAsiaTheme="minorEastAsia"/>
        </w:rPr>
        <w:t xml:space="preserve"> (2024) “Understanding the Role of Technology Anxiety in the Adoption of Digital Health Technologies (DHTs) by Older Adults with Chronic Diseases in Shanghai: An </w:t>
      </w:r>
      <w:r w:rsidRPr="00556692">
        <w:rPr>
          <w:rFonts w:eastAsiaTheme="minorEastAsia"/>
        </w:rPr>
        <w:lastRenderedPageBreak/>
        <w:t xml:space="preserve">Extension of the Unified Theory of Acceptance and Use of Technology (UTAUT) Model,” </w:t>
      </w:r>
      <w:r w:rsidRPr="00556692">
        <w:rPr>
          <w:rFonts w:eastAsiaTheme="minorEastAsia"/>
          <w:i/>
          <w:iCs/>
        </w:rPr>
        <w:t>Healthcare</w:t>
      </w:r>
      <w:r w:rsidRPr="00556692">
        <w:rPr>
          <w:rFonts w:eastAsiaTheme="minorEastAsia"/>
        </w:rPr>
        <w:t>, 12(14), p. 1421. Available at: https://doi.org/10.3390/healthcare12141421.</w:t>
      </w:r>
    </w:p>
    <w:p w14:paraId="172F0D5E" w14:textId="77777777" w:rsidR="00556692" w:rsidRPr="00556692" w:rsidRDefault="00556692" w:rsidP="00556692">
      <w:pPr>
        <w:pStyle w:val="Bibliography"/>
        <w:rPr>
          <w:rFonts w:eastAsiaTheme="minorEastAsia"/>
        </w:rPr>
      </w:pPr>
      <w:r w:rsidRPr="00556692">
        <w:rPr>
          <w:rFonts w:eastAsiaTheme="minorEastAsia"/>
        </w:rPr>
        <w:t xml:space="preserve">Choy, M.A. </w:t>
      </w:r>
      <w:r w:rsidRPr="00556692">
        <w:rPr>
          <w:rFonts w:eastAsiaTheme="minorEastAsia"/>
          <w:i/>
          <w:iCs/>
        </w:rPr>
        <w:t>et al.</w:t>
      </w:r>
      <w:r w:rsidRPr="00556692">
        <w:rPr>
          <w:rFonts w:eastAsiaTheme="minorEastAsia"/>
        </w:rPr>
        <w:t xml:space="preserve"> (2024) “Evaluating the Digital Health Experience for Patients in Primary Care: Mixed Methods Study,” </w:t>
      </w:r>
      <w:r w:rsidRPr="00556692">
        <w:rPr>
          <w:rFonts w:eastAsiaTheme="minorEastAsia"/>
          <w:i/>
          <w:iCs/>
        </w:rPr>
        <w:t>Journal of Medical Internet Research</w:t>
      </w:r>
      <w:r w:rsidRPr="00556692">
        <w:rPr>
          <w:rFonts w:eastAsiaTheme="minorEastAsia"/>
        </w:rPr>
        <w:t>, 26, p. e50410. Available at: https://doi.org/10.2196/50410.</w:t>
      </w:r>
    </w:p>
    <w:p w14:paraId="032091B0" w14:textId="77777777" w:rsidR="00556692" w:rsidRPr="00556692" w:rsidRDefault="00556692" w:rsidP="00556692">
      <w:pPr>
        <w:pStyle w:val="Bibliography"/>
        <w:rPr>
          <w:rFonts w:eastAsiaTheme="minorEastAsia"/>
        </w:rPr>
      </w:pPr>
      <w:r w:rsidRPr="00556692">
        <w:rPr>
          <w:rFonts w:eastAsiaTheme="minorEastAsia"/>
        </w:rPr>
        <w:t xml:space="preserve">Davis, F.D. (1989) “Perceived Usefulness, Perceived Ease of Use, and User Acceptance of Information Technology,” </w:t>
      </w:r>
      <w:r w:rsidRPr="00556692">
        <w:rPr>
          <w:rFonts w:eastAsiaTheme="minorEastAsia"/>
          <w:i/>
          <w:iCs/>
        </w:rPr>
        <w:t>MIS Quarterly</w:t>
      </w:r>
      <w:r w:rsidRPr="00556692">
        <w:rPr>
          <w:rFonts w:eastAsiaTheme="minorEastAsia"/>
        </w:rPr>
        <w:t>, 13(3), pp. 319–340. Available at: https://doi.org/10.2307/249008.</w:t>
      </w:r>
    </w:p>
    <w:p w14:paraId="1381CBCE" w14:textId="77777777" w:rsidR="00556692" w:rsidRPr="00556692" w:rsidRDefault="00556692" w:rsidP="00556692">
      <w:pPr>
        <w:pStyle w:val="Bibliography"/>
        <w:rPr>
          <w:rFonts w:eastAsiaTheme="minorEastAsia"/>
        </w:rPr>
      </w:pPr>
      <w:r w:rsidRPr="00556692">
        <w:rPr>
          <w:rFonts w:eastAsiaTheme="minorEastAsia"/>
        </w:rPr>
        <w:t xml:space="preserve">DiMaggio, P.J. and Powell, W.W. (1983) “The Iron Cage Revisited: Institutional Isomorphism and Collective Rationality in Organizational Fields,” </w:t>
      </w:r>
      <w:r w:rsidRPr="00556692">
        <w:rPr>
          <w:rFonts w:eastAsiaTheme="minorEastAsia"/>
          <w:i/>
          <w:iCs/>
        </w:rPr>
        <w:t>American Sociological Review</w:t>
      </w:r>
      <w:r w:rsidRPr="00556692">
        <w:rPr>
          <w:rFonts w:eastAsiaTheme="minorEastAsia"/>
        </w:rPr>
        <w:t>, 48(2), pp. 147–160. Available at: https://doi.org/10.2307/2095101.</w:t>
      </w:r>
    </w:p>
    <w:p w14:paraId="75746086" w14:textId="77777777" w:rsidR="00556692" w:rsidRPr="00556692" w:rsidRDefault="00556692" w:rsidP="00556692">
      <w:pPr>
        <w:pStyle w:val="Bibliography"/>
        <w:rPr>
          <w:rFonts w:eastAsiaTheme="minorEastAsia"/>
        </w:rPr>
      </w:pPr>
      <w:proofErr w:type="spellStart"/>
      <w:r w:rsidRPr="00556692">
        <w:rPr>
          <w:rFonts w:eastAsiaTheme="minorEastAsia"/>
        </w:rPr>
        <w:t>Ewoh</w:t>
      </w:r>
      <w:proofErr w:type="spellEnd"/>
      <w:r w:rsidRPr="00556692">
        <w:rPr>
          <w:rFonts w:eastAsiaTheme="minorEastAsia"/>
        </w:rPr>
        <w:t xml:space="preserve">, P. and Vartiainen, T. (2024) “Vulnerability to Cyberattacks and Sociotechnical Solutions for Health Care Systems: Systematic Review,” </w:t>
      </w:r>
      <w:r w:rsidRPr="00556692">
        <w:rPr>
          <w:rFonts w:eastAsiaTheme="minorEastAsia"/>
          <w:i/>
          <w:iCs/>
        </w:rPr>
        <w:t>Journal of Medical Internet Research</w:t>
      </w:r>
      <w:r w:rsidRPr="00556692">
        <w:rPr>
          <w:rFonts w:eastAsiaTheme="minorEastAsia"/>
        </w:rPr>
        <w:t>, 26, p. e46904. Available at: https://doi.org/10.2196/46904.</w:t>
      </w:r>
    </w:p>
    <w:p w14:paraId="0CA7D87D" w14:textId="77777777" w:rsidR="00556692" w:rsidRPr="00556692" w:rsidRDefault="00556692" w:rsidP="00556692">
      <w:pPr>
        <w:pStyle w:val="Bibliography"/>
        <w:rPr>
          <w:rFonts w:eastAsiaTheme="minorEastAsia"/>
        </w:rPr>
      </w:pPr>
      <w:r w:rsidRPr="00556692">
        <w:rPr>
          <w:rFonts w:eastAsiaTheme="minorEastAsia"/>
        </w:rPr>
        <w:t xml:space="preserve">Fang, S.-C. and Yang, C.-W. (2024) “A Multi-Level Model of Institutional Innovation and Knowledge Creation Capabilities: Insights </w:t>
      </w:r>
      <w:proofErr w:type="gramStart"/>
      <w:r w:rsidRPr="00556692">
        <w:rPr>
          <w:rFonts w:eastAsiaTheme="minorEastAsia"/>
        </w:rPr>
        <w:t>From</w:t>
      </w:r>
      <w:proofErr w:type="gramEnd"/>
      <w:r w:rsidRPr="00556692">
        <w:rPr>
          <w:rFonts w:eastAsiaTheme="minorEastAsia"/>
        </w:rPr>
        <w:t xml:space="preserve"> the Development of Taiwan’s Nation Health Insurance,” </w:t>
      </w:r>
      <w:r w:rsidRPr="00556692">
        <w:rPr>
          <w:rFonts w:eastAsiaTheme="minorEastAsia"/>
          <w:i/>
          <w:iCs/>
        </w:rPr>
        <w:t>Inquiry: A Journal of Medical Care Organization, Provision and Financing</w:t>
      </w:r>
      <w:r w:rsidRPr="00556692">
        <w:rPr>
          <w:rFonts w:eastAsiaTheme="minorEastAsia"/>
        </w:rPr>
        <w:t>, 61, p. 469580241258902. Available at: https://doi.org/10.1177/00469580241258902.</w:t>
      </w:r>
    </w:p>
    <w:p w14:paraId="1E28E4CA" w14:textId="77777777" w:rsidR="00556692" w:rsidRPr="00556692" w:rsidRDefault="00556692" w:rsidP="00556692">
      <w:pPr>
        <w:pStyle w:val="Bibliography"/>
        <w:rPr>
          <w:rFonts w:eastAsiaTheme="minorEastAsia"/>
        </w:rPr>
      </w:pPr>
      <w:proofErr w:type="spellStart"/>
      <w:r w:rsidRPr="00556692">
        <w:rPr>
          <w:rFonts w:eastAsiaTheme="minorEastAsia"/>
        </w:rPr>
        <w:t>Fayoumi</w:t>
      </w:r>
      <w:proofErr w:type="spellEnd"/>
      <w:r w:rsidRPr="00556692">
        <w:rPr>
          <w:rFonts w:eastAsiaTheme="minorEastAsia"/>
        </w:rPr>
        <w:t xml:space="preserve">, A. and Williams, R. (2021) “An integrated socio-technical enterprise modelling: A scenario of healthcare system analysis and design,” </w:t>
      </w:r>
      <w:r w:rsidRPr="00556692">
        <w:rPr>
          <w:rFonts w:eastAsiaTheme="minorEastAsia"/>
          <w:i/>
          <w:iCs/>
        </w:rPr>
        <w:t>Journal of Industrial Information Integration</w:t>
      </w:r>
      <w:r w:rsidRPr="00556692">
        <w:rPr>
          <w:rFonts w:eastAsiaTheme="minorEastAsia"/>
        </w:rPr>
        <w:t>, 23, p. 100221. Available at: https://doi.org/10.1016/j.jii.2021.100221.</w:t>
      </w:r>
    </w:p>
    <w:p w14:paraId="21DDE7C3" w14:textId="77777777" w:rsidR="00556692" w:rsidRPr="00556692" w:rsidRDefault="00556692" w:rsidP="00556692">
      <w:pPr>
        <w:pStyle w:val="Bibliography"/>
        <w:rPr>
          <w:rFonts w:eastAsiaTheme="minorEastAsia"/>
        </w:rPr>
      </w:pPr>
      <w:r w:rsidRPr="00556692">
        <w:rPr>
          <w:rFonts w:eastAsiaTheme="minorEastAsia"/>
        </w:rPr>
        <w:t xml:space="preserve">Gamble, C. </w:t>
      </w:r>
      <w:r w:rsidRPr="00556692">
        <w:rPr>
          <w:rFonts w:eastAsiaTheme="minorEastAsia"/>
          <w:i/>
          <w:iCs/>
        </w:rPr>
        <w:t>et al.</w:t>
      </w:r>
      <w:r w:rsidRPr="00556692">
        <w:rPr>
          <w:rFonts w:eastAsiaTheme="minorEastAsia"/>
        </w:rPr>
        <w:t xml:space="preserve"> (2024) “Effectiveness of guided telerehabilitation on functional performance in community-dwelling older adults: A systematic review,” </w:t>
      </w:r>
      <w:r w:rsidRPr="00556692">
        <w:rPr>
          <w:rFonts w:eastAsiaTheme="minorEastAsia"/>
          <w:i/>
          <w:iCs/>
        </w:rPr>
        <w:t>Clinical Rehabilitation</w:t>
      </w:r>
      <w:r w:rsidRPr="00556692">
        <w:rPr>
          <w:rFonts w:eastAsiaTheme="minorEastAsia"/>
        </w:rPr>
        <w:t>, 38(4), pp. 457–477. Available at: https://doi.org/10.1177/02692155231217411.</w:t>
      </w:r>
    </w:p>
    <w:p w14:paraId="5910D72A" w14:textId="77777777" w:rsidR="00556692" w:rsidRPr="00556692" w:rsidRDefault="00556692" w:rsidP="00556692">
      <w:pPr>
        <w:pStyle w:val="Bibliography"/>
        <w:rPr>
          <w:rFonts w:eastAsiaTheme="minorEastAsia"/>
        </w:rPr>
      </w:pPr>
      <w:r w:rsidRPr="00556692">
        <w:rPr>
          <w:rFonts w:eastAsiaTheme="minorEastAsia"/>
        </w:rPr>
        <w:t xml:space="preserve">Greenhalgh, T. </w:t>
      </w:r>
      <w:r w:rsidRPr="00556692">
        <w:rPr>
          <w:rFonts w:eastAsiaTheme="minorEastAsia"/>
          <w:i/>
          <w:iCs/>
        </w:rPr>
        <w:t>et al.</w:t>
      </w:r>
      <w:r w:rsidRPr="00556692">
        <w:rPr>
          <w:rFonts w:eastAsiaTheme="minorEastAsia"/>
        </w:rPr>
        <w:t xml:space="preserve"> (2017) “Beyond Adoption: A New Framework for Theorizing and Evaluating </w:t>
      </w:r>
      <w:proofErr w:type="spellStart"/>
      <w:r w:rsidRPr="00556692">
        <w:rPr>
          <w:rFonts w:eastAsiaTheme="minorEastAsia"/>
        </w:rPr>
        <w:t>Nonadoption</w:t>
      </w:r>
      <w:proofErr w:type="spellEnd"/>
      <w:r w:rsidRPr="00556692">
        <w:rPr>
          <w:rFonts w:eastAsiaTheme="minorEastAsia"/>
        </w:rPr>
        <w:t xml:space="preserve">, Abandonment, and Challenges to the Scale-Up, Spread, and Sustainability of Health and Care Technologies,” </w:t>
      </w:r>
      <w:r w:rsidRPr="00556692">
        <w:rPr>
          <w:rFonts w:eastAsiaTheme="minorEastAsia"/>
          <w:i/>
          <w:iCs/>
        </w:rPr>
        <w:t>Journal of Medical Internet Research</w:t>
      </w:r>
      <w:r w:rsidRPr="00556692">
        <w:rPr>
          <w:rFonts w:eastAsiaTheme="minorEastAsia"/>
        </w:rPr>
        <w:t>, 19(11), p. e367. Available at: https://doi.org/10.2196/jmir.8775.</w:t>
      </w:r>
    </w:p>
    <w:p w14:paraId="761B505A" w14:textId="77777777" w:rsidR="00556692" w:rsidRPr="00556692" w:rsidRDefault="00556692" w:rsidP="00556692">
      <w:pPr>
        <w:pStyle w:val="Bibliography"/>
        <w:rPr>
          <w:rFonts w:eastAsiaTheme="minorEastAsia"/>
        </w:rPr>
      </w:pPr>
      <w:r w:rsidRPr="00556692">
        <w:rPr>
          <w:rFonts w:eastAsiaTheme="minorEastAsia"/>
        </w:rPr>
        <w:t xml:space="preserve">Hendy, J. </w:t>
      </w:r>
      <w:r w:rsidRPr="00556692">
        <w:rPr>
          <w:rFonts w:eastAsiaTheme="minorEastAsia"/>
          <w:i/>
          <w:iCs/>
        </w:rPr>
        <w:t>et al.</w:t>
      </w:r>
      <w:r w:rsidRPr="00556692">
        <w:rPr>
          <w:rFonts w:eastAsiaTheme="minorEastAsia"/>
        </w:rPr>
        <w:t xml:space="preserve"> (2012) “An </w:t>
      </w:r>
      <w:proofErr w:type="spellStart"/>
      <w:r w:rsidRPr="00556692">
        <w:rPr>
          <w:rFonts w:eastAsiaTheme="minorEastAsia"/>
        </w:rPr>
        <w:t>organisational</w:t>
      </w:r>
      <w:proofErr w:type="spellEnd"/>
      <w:r w:rsidRPr="00556692">
        <w:rPr>
          <w:rFonts w:eastAsiaTheme="minorEastAsia"/>
        </w:rPr>
        <w:t xml:space="preserve"> analysis of the implementation of telecare and telehealth: the whole systems demonstrator,” </w:t>
      </w:r>
      <w:r w:rsidRPr="00556692">
        <w:rPr>
          <w:rFonts w:eastAsiaTheme="minorEastAsia"/>
          <w:i/>
          <w:iCs/>
        </w:rPr>
        <w:t>BMC Health Services Research</w:t>
      </w:r>
      <w:r w:rsidRPr="00556692">
        <w:rPr>
          <w:rFonts w:eastAsiaTheme="minorEastAsia"/>
        </w:rPr>
        <w:t>, 12(1), p. 403. Available at: https://doi.org/10.1186/1472-6963-12-403.</w:t>
      </w:r>
    </w:p>
    <w:p w14:paraId="10E694B2" w14:textId="77777777" w:rsidR="00556692" w:rsidRPr="00556692" w:rsidRDefault="00556692" w:rsidP="00556692">
      <w:pPr>
        <w:pStyle w:val="Bibliography"/>
        <w:rPr>
          <w:rFonts w:eastAsiaTheme="minorEastAsia"/>
        </w:rPr>
      </w:pPr>
      <w:r w:rsidRPr="00556692">
        <w:rPr>
          <w:rFonts w:eastAsiaTheme="minorEastAsia"/>
          <w:i/>
          <w:iCs/>
        </w:rPr>
        <w:t>Hong Kong population projections for 2022-2046 released</w:t>
      </w:r>
      <w:r w:rsidRPr="00556692">
        <w:rPr>
          <w:rFonts w:eastAsiaTheme="minorEastAsia"/>
        </w:rPr>
        <w:t xml:space="preserve"> (no date). Available at: https://www.info.gov.hk/gia/general/202308/15/P2023081500308.htm?utm_source=chatgpt.com (Accessed: September 8, 2025).</w:t>
      </w:r>
    </w:p>
    <w:p w14:paraId="78E317D9" w14:textId="77777777" w:rsidR="00556692" w:rsidRPr="00556692" w:rsidRDefault="00556692" w:rsidP="00556692">
      <w:pPr>
        <w:pStyle w:val="Bibliography"/>
        <w:rPr>
          <w:rFonts w:eastAsiaTheme="minorEastAsia"/>
        </w:rPr>
      </w:pPr>
      <w:r w:rsidRPr="00556692">
        <w:rPr>
          <w:rFonts w:eastAsiaTheme="minorEastAsia"/>
        </w:rPr>
        <w:t xml:space="preserve">Hospital Authority Hong Kong (2021) </w:t>
      </w:r>
      <w:r w:rsidRPr="00556692">
        <w:rPr>
          <w:rFonts w:eastAsiaTheme="minorEastAsia"/>
          <w:i/>
          <w:iCs/>
        </w:rPr>
        <w:t>HA Strategic Plan 2022-2027</w:t>
      </w:r>
      <w:r w:rsidRPr="00556692">
        <w:rPr>
          <w:rFonts w:eastAsiaTheme="minorEastAsia"/>
        </w:rPr>
        <w:t>. Hospital Authority Hong Kong.</w:t>
      </w:r>
    </w:p>
    <w:p w14:paraId="3B16DFF6" w14:textId="77777777" w:rsidR="00556692" w:rsidRPr="00556692" w:rsidRDefault="00556692" w:rsidP="00556692">
      <w:pPr>
        <w:pStyle w:val="Bibliography"/>
        <w:rPr>
          <w:rFonts w:eastAsiaTheme="minorEastAsia"/>
        </w:rPr>
      </w:pPr>
      <w:proofErr w:type="spellStart"/>
      <w:r w:rsidRPr="00556692">
        <w:rPr>
          <w:rFonts w:eastAsiaTheme="minorEastAsia"/>
        </w:rPr>
        <w:lastRenderedPageBreak/>
        <w:t>Ikwunne</w:t>
      </w:r>
      <w:proofErr w:type="spellEnd"/>
      <w:r w:rsidRPr="00556692">
        <w:rPr>
          <w:rFonts w:eastAsiaTheme="minorEastAsia"/>
        </w:rPr>
        <w:t xml:space="preserve">, T., Hederman, L. and Wall, P.J. (2023) “DECENT: A sociotechnical approach for developing mobile health apps in underserved settings,” </w:t>
      </w:r>
      <w:r w:rsidRPr="00556692">
        <w:rPr>
          <w:rFonts w:eastAsiaTheme="minorEastAsia"/>
          <w:i/>
          <w:iCs/>
        </w:rPr>
        <w:t>DIGITAL HEALTH</w:t>
      </w:r>
      <w:r w:rsidRPr="00556692">
        <w:rPr>
          <w:rFonts w:eastAsiaTheme="minorEastAsia"/>
        </w:rPr>
        <w:t>, 9, p. 20552076231203595. Available at: https://doi.org/10.1177/20552076231203595.</w:t>
      </w:r>
    </w:p>
    <w:p w14:paraId="779AAB11" w14:textId="77777777" w:rsidR="00556692" w:rsidRPr="00556692" w:rsidRDefault="00556692" w:rsidP="00556692">
      <w:pPr>
        <w:pStyle w:val="Bibliography"/>
        <w:rPr>
          <w:rFonts w:eastAsiaTheme="minorEastAsia"/>
        </w:rPr>
      </w:pPr>
      <w:r w:rsidRPr="00556692">
        <w:rPr>
          <w:rFonts w:eastAsiaTheme="minorEastAsia"/>
        </w:rPr>
        <w:t xml:space="preserve">Jeilani, A. and Hussein, A. (2025) “Impact of digital health technologies adoption on healthcare workers’ performance and workload: perspective with DOI and TOE models,” </w:t>
      </w:r>
      <w:r w:rsidRPr="00556692">
        <w:rPr>
          <w:rFonts w:eastAsiaTheme="minorEastAsia"/>
          <w:i/>
          <w:iCs/>
        </w:rPr>
        <w:t>BMC health services research</w:t>
      </w:r>
      <w:r w:rsidRPr="00556692">
        <w:rPr>
          <w:rFonts w:eastAsiaTheme="minorEastAsia"/>
        </w:rPr>
        <w:t>, 25(1), p. 271. Available at: https://doi.org/10.1186/s12913-025-12414-4.</w:t>
      </w:r>
    </w:p>
    <w:p w14:paraId="03A1AF0E" w14:textId="77777777" w:rsidR="00556692" w:rsidRPr="00556692" w:rsidRDefault="00556692" w:rsidP="00556692">
      <w:pPr>
        <w:pStyle w:val="Bibliography"/>
        <w:rPr>
          <w:rFonts w:eastAsiaTheme="minorEastAsia"/>
        </w:rPr>
      </w:pPr>
      <w:proofErr w:type="spellStart"/>
      <w:r w:rsidRPr="00556692">
        <w:rPr>
          <w:rFonts w:eastAsiaTheme="minorEastAsia"/>
        </w:rPr>
        <w:t>Jianxun</w:t>
      </w:r>
      <w:proofErr w:type="spellEnd"/>
      <w:r w:rsidRPr="00556692">
        <w:rPr>
          <w:rFonts w:eastAsiaTheme="minorEastAsia"/>
        </w:rPr>
        <w:t xml:space="preserve">, C., </w:t>
      </w:r>
      <w:proofErr w:type="spellStart"/>
      <w:r w:rsidRPr="00556692">
        <w:rPr>
          <w:rFonts w:eastAsiaTheme="minorEastAsia"/>
        </w:rPr>
        <w:t>Arkorful</w:t>
      </w:r>
      <w:proofErr w:type="spellEnd"/>
      <w:r w:rsidRPr="00556692">
        <w:rPr>
          <w:rFonts w:eastAsiaTheme="minorEastAsia"/>
        </w:rPr>
        <w:t xml:space="preserve">, V.E. and </w:t>
      </w:r>
      <w:proofErr w:type="spellStart"/>
      <w:r w:rsidRPr="00556692">
        <w:rPr>
          <w:rFonts w:eastAsiaTheme="minorEastAsia"/>
        </w:rPr>
        <w:t>Shuliang</w:t>
      </w:r>
      <w:proofErr w:type="spellEnd"/>
      <w:r w:rsidRPr="00556692">
        <w:rPr>
          <w:rFonts w:eastAsiaTheme="minorEastAsia"/>
        </w:rPr>
        <w:t xml:space="preserve">, Z. (2021) “Electronic health records adoption: Do institutional pressures and organizational culture </w:t>
      </w:r>
      <w:proofErr w:type="gramStart"/>
      <w:r w:rsidRPr="00556692">
        <w:rPr>
          <w:rFonts w:eastAsiaTheme="minorEastAsia"/>
        </w:rPr>
        <w:t>matter?,</w:t>
      </w:r>
      <w:proofErr w:type="gramEnd"/>
      <w:r w:rsidRPr="00556692">
        <w:rPr>
          <w:rFonts w:eastAsiaTheme="minorEastAsia"/>
        </w:rPr>
        <w:t xml:space="preserve">” </w:t>
      </w:r>
      <w:r w:rsidRPr="00556692">
        <w:rPr>
          <w:rFonts w:eastAsiaTheme="minorEastAsia"/>
          <w:i/>
          <w:iCs/>
        </w:rPr>
        <w:t>Technology in Society</w:t>
      </w:r>
      <w:r w:rsidRPr="00556692">
        <w:rPr>
          <w:rFonts w:eastAsiaTheme="minorEastAsia"/>
        </w:rPr>
        <w:t>, 65(C). Available at: https://doi.org/10.1016/j.techsoc.2021.101531.</w:t>
      </w:r>
    </w:p>
    <w:p w14:paraId="6CC55392" w14:textId="77777777" w:rsidR="00556692" w:rsidRPr="00556692" w:rsidRDefault="00556692" w:rsidP="00556692">
      <w:pPr>
        <w:pStyle w:val="Bibliography"/>
        <w:rPr>
          <w:rFonts w:eastAsiaTheme="minorEastAsia"/>
        </w:rPr>
      </w:pPr>
      <w:r w:rsidRPr="00556692">
        <w:rPr>
          <w:rFonts w:eastAsiaTheme="minorEastAsia"/>
        </w:rPr>
        <w:t xml:space="preserve">Jones, L., Lee, M. and Gomes, R.S. (2024) “Remote rehabilitation (telerehabilitation) in the sight loss sector: Reflections on challenges and opportunities from service providers in the United Kingdom,” </w:t>
      </w:r>
      <w:r w:rsidRPr="00556692">
        <w:rPr>
          <w:rFonts w:eastAsiaTheme="minorEastAsia"/>
          <w:i/>
          <w:iCs/>
        </w:rPr>
        <w:t>British Journal of Visual Impairment</w:t>
      </w:r>
      <w:r w:rsidRPr="00556692">
        <w:rPr>
          <w:rFonts w:eastAsiaTheme="minorEastAsia"/>
        </w:rPr>
        <w:t>, 42(3), pp. 816–831. Available at: https://doi.org/10.1177/02646196231188634.</w:t>
      </w:r>
    </w:p>
    <w:p w14:paraId="6923FDAD" w14:textId="77777777" w:rsidR="00556692" w:rsidRPr="00556692" w:rsidRDefault="00556692" w:rsidP="00556692">
      <w:pPr>
        <w:pStyle w:val="Bibliography"/>
        <w:rPr>
          <w:rFonts w:eastAsiaTheme="minorEastAsia"/>
        </w:rPr>
      </w:pPr>
      <w:r w:rsidRPr="00556692">
        <w:rPr>
          <w:rFonts w:eastAsiaTheme="minorEastAsia"/>
        </w:rPr>
        <w:t xml:space="preserve">King, R. </w:t>
      </w:r>
      <w:r w:rsidRPr="00556692">
        <w:rPr>
          <w:rFonts w:eastAsiaTheme="minorEastAsia"/>
          <w:i/>
          <w:iCs/>
        </w:rPr>
        <w:t>et al.</w:t>
      </w:r>
      <w:r w:rsidRPr="00556692">
        <w:rPr>
          <w:rFonts w:eastAsiaTheme="minorEastAsia"/>
        </w:rPr>
        <w:t xml:space="preserve"> (2022) “Institutional Logics, Technology Affordances and Hybrid Professionals: Developing a Billing App for Hospital Physicians,” in T. </w:t>
      </w:r>
      <w:proofErr w:type="spellStart"/>
      <w:r w:rsidRPr="00556692">
        <w:rPr>
          <w:rFonts w:eastAsiaTheme="minorEastAsia"/>
        </w:rPr>
        <w:t>Gegenhuber</w:t>
      </w:r>
      <w:proofErr w:type="spellEnd"/>
      <w:r w:rsidRPr="00556692">
        <w:rPr>
          <w:rFonts w:eastAsiaTheme="minorEastAsia"/>
        </w:rPr>
        <w:t xml:space="preserve"> et al. (eds.) </w:t>
      </w:r>
      <w:r w:rsidRPr="00556692">
        <w:rPr>
          <w:rFonts w:eastAsiaTheme="minorEastAsia"/>
          <w:i/>
          <w:iCs/>
        </w:rPr>
        <w:t>Digital Transformation and Institutional Theory</w:t>
      </w:r>
      <w:r w:rsidRPr="00556692">
        <w:rPr>
          <w:rFonts w:eastAsiaTheme="minorEastAsia"/>
        </w:rPr>
        <w:t>. Emerald Publishing Limited, p. 0. Available at: https://doi.org/10.1108/S0733-558X20220000083002.</w:t>
      </w:r>
    </w:p>
    <w:p w14:paraId="24C7B66F" w14:textId="77777777" w:rsidR="00556692" w:rsidRPr="00556692" w:rsidRDefault="00556692" w:rsidP="00556692">
      <w:pPr>
        <w:pStyle w:val="Bibliography"/>
        <w:rPr>
          <w:rFonts w:eastAsiaTheme="minorEastAsia"/>
        </w:rPr>
      </w:pPr>
      <w:r w:rsidRPr="00556692">
        <w:rPr>
          <w:rFonts w:eastAsiaTheme="minorEastAsia"/>
        </w:rPr>
        <w:t xml:space="preserve">Ku, B.P.S. </w:t>
      </w:r>
      <w:r w:rsidRPr="00556692">
        <w:rPr>
          <w:rFonts w:eastAsiaTheme="minorEastAsia"/>
          <w:i/>
          <w:iCs/>
        </w:rPr>
        <w:t>et al.</w:t>
      </w:r>
      <w:r w:rsidRPr="00556692">
        <w:rPr>
          <w:rFonts w:eastAsiaTheme="minorEastAsia"/>
        </w:rPr>
        <w:t xml:space="preserve"> (2021) “Tele-Rehabilitation to Combat Rehabilitation Service Disruption During COVID-19 in Hong Kong: Observational Study,” </w:t>
      </w:r>
      <w:r w:rsidRPr="00556692">
        <w:rPr>
          <w:rFonts w:eastAsiaTheme="minorEastAsia"/>
          <w:i/>
          <w:iCs/>
        </w:rPr>
        <w:t>JMIR Rehabilitation and Assistive Technologies</w:t>
      </w:r>
      <w:r w:rsidRPr="00556692">
        <w:rPr>
          <w:rFonts w:eastAsiaTheme="minorEastAsia"/>
        </w:rPr>
        <w:t>, 8(3), p. e19946. Available at: https://doi.org/10.2196/19946.</w:t>
      </w:r>
    </w:p>
    <w:p w14:paraId="1CAE78F9" w14:textId="77777777" w:rsidR="00556692" w:rsidRPr="00556692" w:rsidRDefault="00556692" w:rsidP="00556692">
      <w:pPr>
        <w:pStyle w:val="Bibliography"/>
        <w:rPr>
          <w:rFonts w:eastAsiaTheme="minorEastAsia"/>
        </w:rPr>
      </w:pPr>
      <w:r w:rsidRPr="00556692">
        <w:rPr>
          <w:rFonts w:eastAsiaTheme="minorEastAsia"/>
        </w:rPr>
        <w:t xml:space="preserve">Lau, A.Y. </w:t>
      </w:r>
      <w:r w:rsidRPr="00556692">
        <w:rPr>
          <w:rFonts w:eastAsiaTheme="minorEastAsia"/>
          <w:i/>
          <w:iCs/>
        </w:rPr>
        <w:t>et al.</w:t>
      </w:r>
      <w:r w:rsidRPr="00556692">
        <w:rPr>
          <w:rFonts w:eastAsiaTheme="minorEastAsia"/>
        </w:rPr>
        <w:t xml:space="preserve"> (2017) “Challenges During Implementation of a Patient-Facing Mobile App for Surgical Rehabilitation: Feasibility Study,” </w:t>
      </w:r>
      <w:r w:rsidRPr="00556692">
        <w:rPr>
          <w:rFonts w:eastAsiaTheme="minorEastAsia"/>
          <w:i/>
          <w:iCs/>
        </w:rPr>
        <w:t>JMIR Human Factors</w:t>
      </w:r>
      <w:r w:rsidRPr="00556692">
        <w:rPr>
          <w:rFonts w:eastAsiaTheme="minorEastAsia"/>
        </w:rPr>
        <w:t>, 4(4), p. e31. Available at: https://doi.org/10.2196/humanfactors.8096.</w:t>
      </w:r>
    </w:p>
    <w:p w14:paraId="6C63A838" w14:textId="77777777" w:rsidR="00556692" w:rsidRPr="00556692" w:rsidRDefault="00556692" w:rsidP="00556692">
      <w:pPr>
        <w:pStyle w:val="Bibliography"/>
        <w:rPr>
          <w:rFonts w:eastAsiaTheme="minorEastAsia"/>
        </w:rPr>
      </w:pPr>
      <w:r w:rsidRPr="00556692">
        <w:rPr>
          <w:rFonts w:eastAsiaTheme="minorEastAsia"/>
          <w:i/>
          <w:iCs/>
        </w:rPr>
        <w:t>LCQ2: Leveraging smart healthcare to improve public healthcare services</w:t>
      </w:r>
      <w:r w:rsidRPr="00556692">
        <w:rPr>
          <w:rFonts w:eastAsiaTheme="minorEastAsia"/>
        </w:rPr>
        <w:t xml:space="preserve"> (2022). Available at: https://www.info.gov.hk/gia/general/202204/06/P2022040600401.htm?utm_source=chatgpt.com (Accessed: September 7, 2025).</w:t>
      </w:r>
    </w:p>
    <w:p w14:paraId="46395C49" w14:textId="77777777" w:rsidR="00556692" w:rsidRPr="00556692" w:rsidRDefault="00556692" w:rsidP="00556692">
      <w:pPr>
        <w:pStyle w:val="Bibliography"/>
        <w:rPr>
          <w:rFonts w:eastAsiaTheme="minorEastAsia"/>
        </w:rPr>
      </w:pPr>
      <w:r w:rsidRPr="00556692">
        <w:rPr>
          <w:rFonts w:eastAsiaTheme="minorEastAsia"/>
        </w:rPr>
        <w:t xml:space="preserve">Li, M. (2024) “The Impact of Telerehabilitation on Physical Therapy Services in Rural Communities,” </w:t>
      </w:r>
      <w:r w:rsidRPr="00556692">
        <w:rPr>
          <w:rFonts w:eastAsiaTheme="minorEastAsia"/>
          <w:i/>
          <w:iCs/>
        </w:rPr>
        <w:t>Journal of Novel Physiotherapy and Rehabilitation</w:t>
      </w:r>
      <w:r w:rsidRPr="00556692">
        <w:rPr>
          <w:rFonts w:eastAsiaTheme="minorEastAsia"/>
        </w:rPr>
        <w:t>, 8(1), pp. 014–016. Available at: https://doi.org/10.29328/journal.jnpr.1001058.</w:t>
      </w:r>
    </w:p>
    <w:p w14:paraId="21964499" w14:textId="77777777" w:rsidR="00556692" w:rsidRPr="00556692" w:rsidRDefault="00556692" w:rsidP="00556692">
      <w:pPr>
        <w:pStyle w:val="Bibliography"/>
        <w:rPr>
          <w:rFonts w:eastAsiaTheme="minorEastAsia"/>
        </w:rPr>
      </w:pPr>
      <w:r w:rsidRPr="00556692">
        <w:rPr>
          <w:rFonts w:eastAsiaTheme="minorEastAsia"/>
        </w:rPr>
        <w:t xml:space="preserve">Ma, Q., Chan, A.H.S. and Teh, P.-L. (2020) “Bridging the Digital Divide for Older Adults via Observational Training: Effects of Model Identity from a Generational Perspective,” </w:t>
      </w:r>
      <w:r w:rsidRPr="00556692">
        <w:rPr>
          <w:rFonts w:eastAsiaTheme="minorEastAsia"/>
          <w:i/>
          <w:iCs/>
        </w:rPr>
        <w:t>Sustainability</w:t>
      </w:r>
      <w:r w:rsidRPr="00556692">
        <w:rPr>
          <w:rFonts w:eastAsiaTheme="minorEastAsia"/>
        </w:rPr>
        <w:t>, 12(11), p. 4555. Available at: https://doi.org/10.3390/su12114555.</w:t>
      </w:r>
    </w:p>
    <w:p w14:paraId="1CD26086" w14:textId="77777777" w:rsidR="00556692" w:rsidRPr="00556692" w:rsidRDefault="00556692" w:rsidP="00556692">
      <w:pPr>
        <w:pStyle w:val="Bibliography"/>
        <w:rPr>
          <w:rFonts w:eastAsiaTheme="minorEastAsia"/>
        </w:rPr>
      </w:pPr>
      <w:r w:rsidRPr="00556692">
        <w:rPr>
          <w:rFonts w:eastAsiaTheme="minorEastAsia"/>
        </w:rPr>
        <w:t xml:space="preserve">Marques, I.C.P. and Ferreira, J.J.M. (2020) “Digital transformation in the area of health: systematic review of 45 years of evolution,” </w:t>
      </w:r>
      <w:r w:rsidRPr="00556692">
        <w:rPr>
          <w:rFonts w:eastAsiaTheme="minorEastAsia"/>
          <w:i/>
          <w:iCs/>
        </w:rPr>
        <w:t>Health and Technology</w:t>
      </w:r>
      <w:r w:rsidRPr="00556692">
        <w:rPr>
          <w:rFonts w:eastAsiaTheme="minorEastAsia"/>
        </w:rPr>
        <w:t>, 10(3), pp. 575–586. Available at: https://doi.org/10.1007/s12553-019-00402-8.</w:t>
      </w:r>
    </w:p>
    <w:p w14:paraId="4DCDBE55" w14:textId="77777777" w:rsidR="00556692" w:rsidRPr="00556692" w:rsidRDefault="00556692" w:rsidP="00556692">
      <w:pPr>
        <w:pStyle w:val="Bibliography"/>
        <w:rPr>
          <w:rFonts w:eastAsiaTheme="minorEastAsia"/>
        </w:rPr>
      </w:pPr>
      <w:r w:rsidRPr="00556692">
        <w:rPr>
          <w:rFonts w:eastAsiaTheme="minorEastAsia"/>
        </w:rPr>
        <w:lastRenderedPageBreak/>
        <w:t xml:space="preserve">Meyer, J.W. and Rowan, B. (1977) “Institutionalized Organizations: Formal Structure as Myth and Ceremony,” </w:t>
      </w:r>
      <w:r w:rsidRPr="00556692">
        <w:rPr>
          <w:rFonts w:eastAsiaTheme="minorEastAsia"/>
          <w:i/>
          <w:iCs/>
        </w:rPr>
        <w:t>American Journal of Sociology</w:t>
      </w:r>
      <w:r w:rsidRPr="00556692">
        <w:rPr>
          <w:rFonts w:eastAsiaTheme="minorEastAsia"/>
        </w:rPr>
        <w:t>, 83(2), pp. 340–363. Available at: https://doi.org/10.1086/226550.</w:t>
      </w:r>
    </w:p>
    <w:p w14:paraId="690BB1EC" w14:textId="77777777" w:rsidR="00556692" w:rsidRPr="00556692" w:rsidRDefault="00556692" w:rsidP="00556692">
      <w:pPr>
        <w:pStyle w:val="Bibliography"/>
        <w:rPr>
          <w:rFonts w:eastAsiaTheme="minorEastAsia"/>
        </w:rPr>
      </w:pPr>
      <w:r w:rsidRPr="00556692">
        <w:rPr>
          <w:rFonts w:eastAsiaTheme="minorEastAsia"/>
        </w:rPr>
        <w:t xml:space="preserve">Munce, S. (2025) “The Importance of Telerehabilitation and Future Directions for the Field,” </w:t>
      </w:r>
      <w:r w:rsidRPr="00556692">
        <w:rPr>
          <w:rFonts w:eastAsiaTheme="minorEastAsia"/>
          <w:i/>
          <w:iCs/>
        </w:rPr>
        <w:t>JMIR Rehabilitation and Assistive Technologies</w:t>
      </w:r>
      <w:r w:rsidRPr="00556692">
        <w:rPr>
          <w:rFonts w:eastAsiaTheme="minorEastAsia"/>
        </w:rPr>
        <w:t>, 12, p. e76153. Available at: https://doi.org/10.2196/76153.</w:t>
      </w:r>
    </w:p>
    <w:p w14:paraId="00B58BEC" w14:textId="77777777" w:rsidR="00556692" w:rsidRPr="00556692" w:rsidRDefault="00556692" w:rsidP="00556692">
      <w:pPr>
        <w:pStyle w:val="Bibliography"/>
        <w:rPr>
          <w:rFonts w:eastAsiaTheme="minorEastAsia"/>
        </w:rPr>
      </w:pPr>
      <w:r w:rsidRPr="00556692">
        <w:rPr>
          <w:rFonts w:eastAsiaTheme="minorEastAsia"/>
        </w:rPr>
        <w:t xml:space="preserve">N’Dri, A.B. and Su, Z. (2024) “Successful configurations of technology–organization–environment factors in digital transformation: Evidence from exporting small and medium-sized enterprises in the manufacturing industry,” </w:t>
      </w:r>
      <w:r w:rsidRPr="00556692">
        <w:rPr>
          <w:rFonts w:eastAsiaTheme="minorEastAsia"/>
          <w:i/>
          <w:iCs/>
        </w:rPr>
        <w:t>Information &amp; Management</w:t>
      </w:r>
      <w:r w:rsidRPr="00556692">
        <w:rPr>
          <w:rFonts w:eastAsiaTheme="minorEastAsia"/>
        </w:rPr>
        <w:t>, 61(7), p. 104030. Available at: https://doi.org/10.1016/j.im.2024.104030.</w:t>
      </w:r>
    </w:p>
    <w:p w14:paraId="4FC58066" w14:textId="77777777" w:rsidR="00556692" w:rsidRPr="00556692" w:rsidRDefault="00556692" w:rsidP="00556692">
      <w:pPr>
        <w:pStyle w:val="Bibliography"/>
        <w:rPr>
          <w:rFonts w:eastAsiaTheme="minorEastAsia"/>
        </w:rPr>
      </w:pPr>
      <w:r w:rsidRPr="00556692">
        <w:rPr>
          <w:rFonts w:eastAsiaTheme="minorEastAsia"/>
        </w:rPr>
        <w:t xml:space="preserve">Neumann, A.V. </w:t>
      </w:r>
      <w:r w:rsidRPr="00556692">
        <w:rPr>
          <w:rFonts w:eastAsiaTheme="minorEastAsia"/>
          <w:i/>
          <w:iCs/>
        </w:rPr>
        <w:t>et al.</w:t>
      </w:r>
      <w:r w:rsidRPr="00556692">
        <w:rPr>
          <w:rFonts w:eastAsiaTheme="minorEastAsia"/>
        </w:rPr>
        <w:t xml:space="preserve"> (2023) “Improving older adults’ telehealth through a novel community–academic partnership: Preliminary data,” </w:t>
      </w:r>
      <w:r w:rsidRPr="00556692">
        <w:rPr>
          <w:rFonts w:eastAsiaTheme="minorEastAsia"/>
          <w:i/>
          <w:iCs/>
        </w:rPr>
        <w:t>Journal of the American Geriatrics Society</w:t>
      </w:r>
      <w:r w:rsidRPr="00556692">
        <w:rPr>
          <w:rFonts w:eastAsiaTheme="minorEastAsia"/>
        </w:rPr>
        <w:t>, 71(12), pp. 3886–3895. Available at: https://doi.org/10.1111/jgs.18556.</w:t>
      </w:r>
    </w:p>
    <w:p w14:paraId="66DBB493" w14:textId="77777777" w:rsidR="00556692" w:rsidRPr="00556692" w:rsidRDefault="00556692" w:rsidP="00556692">
      <w:pPr>
        <w:pStyle w:val="Bibliography"/>
        <w:rPr>
          <w:rFonts w:eastAsiaTheme="minorEastAsia"/>
        </w:rPr>
      </w:pPr>
      <w:r w:rsidRPr="00556692">
        <w:rPr>
          <w:rFonts w:eastAsiaTheme="minorEastAsia"/>
        </w:rPr>
        <w:t xml:space="preserve">Ngongo, B.P. </w:t>
      </w:r>
      <w:r w:rsidRPr="00556692">
        <w:rPr>
          <w:rFonts w:eastAsiaTheme="minorEastAsia"/>
          <w:i/>
          <w:iCs/>
        </w:rPr>
        <w:t>et al.</w:t>
      </w:r>
      <w:r w:rsidRPr="00556692">
        <w:rPr>
          <w:rFonts w:eastAsiaTheme="minorEastAsia"/>
        </w:rPr>
        <w:t xml:space="preserve"> (2019) “The technological, organizational and environmental determinants of adoption of mobile health applications (m-health) by hospitals in Kenya,” </w:t>
      </w:r>
      <w:r w:rsidRPr="00556692">
        <w:rPr>
          <w:rFonts w:eastAsiaTheme="minorEastAsia"/>
          <w:i/>
          <w:iCs/>
        </w:rPr>
        <w:t>PLOS ONE</w:t>
      </w:r>
      <w:r w:rsidRPr="00556692">
        <w:rPr>
          <w:rFonts w:eastAsiaTheme="minorEastAsia"/>
        </w:rPr>
        <w:t xml:space="preserve">. Edited by H. </w:t>
      </w:r>
      <w:proofErr w:type="spellStart"/>
      <w:r w:rsidRPr="00556692">
        <w:rPr>
          <w:rFonts w:eastAsiaTheme="minorEastAsia"/>
        </w:rPr>
        <w:t>Legido</w:t>
      </w:r>
      <w:proofErr w:type="spellEnd"/>
      <w:r w:rsidRPr="00556692">
        <w:rPr>
          <w:rFonts w:eastAsiaTheme="minorEastAsia"/>
        </w:rPr>
        <w:t>-Quigley, 14(12), p. e0225167. Available at: https://doi.org/10.1371/journal.pone.0225167.</w:t>
      </w:r>
    </w:p>
    <w:p w14:paraId="15AB69CF" w14:textId="77777777" w:rsidR="00556692" w:rsidRPr="00556692" w:rsidRDefault="00556692" w:rsidP="00556692">
      <w:pPr>
        <w:pStyle w:val="Bibliography"/>
        <w:rPr>
          <w:rFonts w:eastAsiaTheme="minorEastAsia"/>
        </w:rPr>
      </w:pPr>
      <w:r w:rsidRPr="00556692">
        <w:rPr>
          <w:rFonts w:eastAsiaTheme="minorEastAsia"/>
        </w:rPr>
        <w:t xml:space="preserve">Office of the Government </w:t>
      </w:r>
      <w:proofErr w:type="gramStart"/>
      <w:r w:rsidRPr="00556692">
        <w:rPr>
          <w:rFonts w:eastAsiaTheme="minorEastAsia"/>
        </w:rPr>
        <w:t>Economist  The</w:t>
      </w:r>
      <w:proofErr w:type="gramEnd"/>
      <w:r w:rsidRPr="00556692">
        <w:rPr>
          <w:rFonts w:eastAsiaTheme="minorEastAsia"/>
        </w:rPr>
        <w:t xml:space="preserve"> Government of the Hong Kong Special Administrative Region (2019) “Population ageing trend of Hong Kong,” </w:t>
      </w:r>
      <w:r w:rsidRPr="00556692">
        <w:rPr>
          <w:rFonts w:eastAsiaTheme="minorEastAsia"/>
          <w:i/>
          <w:iCs/>
        </w:rPr>
        <w:t>Economic Letter</w:t>
      </w:r>
      <w:r w:rsidRPr="00556692">
        <w:rPr>
          <w:rFonts w:eastAsiaTheme="minorEastAsia"/>
        </w:rPr>
        <w:t>, 2019(2).</w:t>
      </w:r>
    </w:p>
    <w:p w14:paraId="6C06EE15" w14:textId="77777777" w:rsidR="00556692" w:rsidRPr="00556692" w:rsidRDefault="00556692" w:rsidP="00556692">
      <w:pPr>
        <w:pStyle w:val="Bibliography"/>
        <w:rPr>
          <w:rFonts w:eastAsiaTheme="minorEastAsia"/>
        </w:rPr>
      </w:pPr>
      <w:r w:rsidRPr="00556692">
        <w:rPr>
          <w:rFonts w:eastAsiaTheme="minorEastAsia"/>
        </w:rPr>
        <w:t xml:space="preserve">Ouédraogo, F. 1 </w:t>
      </w:r>
      <w:r w:rsidRPr="00556692">
        <w:rPr>
          <w:rFonts w:eastAsiaTheme="minorEastAsia"/>
          <w:i/>
          <w:iCs/>
        </w:rPr>
        <w:t>et al.</w:t>
      </w:r>
      <w:r w:rsidRPr="00556692">
        <w:rPr>
          <w:rFonts w:eastAsiaTheme="minorEastAsia"/>
        </w:rPr>
        <w:t xml:space="preserve"> (2024) “Acceptability of Telerehabilitation: Experiences and Perceptions by Individuals with Stroke and Caregivers in an Early Supported Discharge Program,” p. 365. Available at: https://doi.org/10.3390/healthcare12030365.</w:t>
      </w:r>
    </w:p>
    <w:p w14:paraId="60E88B32" w14:textId="77777777" w:rsidR="00556692" w:rsidRPr="00556692" w:rsidRDefault="00556692" w:rsidP="00556692">
      <w:pPr>
        <w:pStyle w:val="Bibliography"/>
        <w:rPr>
          <w:rFonts w:eastAsiaTheme="minorEastAsia"/>
        </w:rPr>
      </w:pPr>
      <w:r w:rsidRPr="00556692">
        <w:rPr>
          <w:rFonts w:eastAsiaTheme="minorEastAsia"/>
        </w:rPr>
        <w:t xml:space="preserve">Palinkas, L.A. </w:t>
      </w:r>
      <w:r w:rsidRPr="00556692">
        <w:rPr>
          <w:rFonts w:eastAsiaTheme="minorEastAsia"/>
          <w:i/>
          <w:iCs/>
        </w:rPr>
        <w:t>et al.</w:t>
      </w:r>
      <w:r w:rsidRPr="00556692">
        <w:rPr>
          <w:rFonts w:eastAsiaTheme="minorEastAsia"/>
        </w:rPr>
        <w:t xml:space="preserve"> (2015) “Purposeful Sampling for Qualitative Data Collection and Analysis in Mixed Method Implementation Research,” </w:t>
      </w:r>
      <w:r w:rsidRPr="00556692">
        <w:rPr>
          <w:rFonts w:eastAsiaTheme="minorEastAsia"/>
          <w:i/>
          <w:iCs/>
        </w:rPr>
        <w:t>Administration and Policy in Mental Health and Mental Health Services Research</w:t>
      </w:r>
      <w:r w:rsidRPr="00556692">
        <w:rPr>
          <w:rFonts w:eastAsiaTheme="minorEastAsia"/>
        </w:rPr>
        <w:t>, 42(5), pp. 533–544. Available at: https://doi.org/10.1007/s10488-013-0528-y.</w:t>
      </w:r>
    </w:p>
    <w:p w14:paraId="5430E8D6" w14:textId="77777777" w:rsidR="00556692" w:rsidRPr="00556692" w:rsidRDefault="00556692" w:rsidP="00556692">
      <w:pPr>
        <w:pStyle w:val="Bibliography"/>
        <w:rPr>
          <w:rFonts w:eastAsiaTheme="minorEastAsia"/>
        </w:rPr>
      </w:pPr>
      <w:r w:rsidRPr="00556692">
        <w:rPr>
          <w:rFonts w:eastAsiaTheme="minorEastAsia"/>
        </w:rPr>
        <w:t xml:space="preserve">Partanen, T. </w:t>
      </w:r>
      <w:r w:rsidRPr="00556692">
        <w:rPr>
          <w:rFonts w:eastAsiaTheme="minorEastAsia"/>
          <w:i/>
          <w:iCs/>
        </w:rPr>
        <w:t>et al.</w:t>
      </w:r>
      <w:r w:rsidRPr="00556692">
        <w:rPr>
          <w:rFonts w:eastAsiaTheme="minorEastAsia"/>
        </w:rPr>
        <w:t xml:space="preserve"> (2023) “Telerehabilitation in the Finnish Outpatient Rehabilitation Setting from the Perspective of the Socio-Technical Systems Theory,” </w:t>
      </w:r>
      <w:r w:rsidRPr="00556692">
        <w:rPr>
          <w:rFonts w:eastAsiaTheme="minorEastAsia"/>
          <w:i/>
          <w:iCs/>
        </w:rPr>
        <w:t>International Journal of Environmental Research and Public Health</w:t>
      </w:r>
      <w:r w:rsidRPr="00556692">
        <w:rPr>
          <w:rFonts w:eastAsiaTheme="minorEastAsia"/>
        </w:rPr>
        <w:t>, 20(15), p. 6519. Available at: https://doi.org/10.3390/ijerph20156519.</w:t>
      </w:r>
    </w:p>
    <w:p w14:paraId="73613441" w14:textId="77777777" w:rsidR="00556692" w:rsidRPr="00556692" w:rsidRDefault="00556692" w:rsidP="00556692">
      <w:pPr>
        <w:pStyle w:val="Bibliography"/>
        <w:rPr>
          <w:rFonts w:eastAsiaTheme="minorEastAsia"/>
        </w:rPr>
      </w:pPr>
      <w:proofErr w:type="spellStart"/>
      <w:r w:rsidRPr="00556692">
        <w:rPr>
          <w:rFonts w:eastAsiaTheme="minorEastAsia"/>
        </w:rPr>
        <w:t>Partogi</w:t>
      </w:r>
      <w:proofErr w:type="spellEnd"/>
      <w:r w:rsidRPr="00556692">
        <w:rPr>
          <w:rFonts w:eastAsiaTheme="minorEastAsia"/>
        </w:rPr>
        <w:t xml:space="preserve">, M. </w:t>
      </w:r>
      <w:r w:rsidRPr="00556692">
        <w:rPr>
          <w:rFonts w:eastAsiaTheme="minorEastAsia"/>
          <w:i/>
          <w:iCs/>
        </w:rPr>
        <w:t>et al.</w:t>
      </w:r>
      <w:r w:rsidRPr="00556692">
        <w:rPr>
          <w:rFonts w:eastAsiaTheme="minorEastAsia"/>
        </w:rPr>
        <w:t xml:space="preserve"> (2022) “Sociotechnical Intervention for Improved Delivery of Preventive Cardiovascular Care to Rural Communities: Participatory Design Approach,” </w:t>
      </w:r>
      <w:r w:rsidRPr="00556692">
        <w:rPr>
          <w:rFonts w:eastAsiaTheme="minorEastAsia"/>
          <w:i/>
          <w:iCs/>
        </w:rPr>
        <w:t>Journal of Medical Internet Research</w:t>
      </w:r>
      <w:r w:rsidRPr="00556692">
        <w:rPr>
          <w:rFonts w:eastAsiaTheme="minorEastAsia"/>
        </w:rPr>
        <w:t>, 24(8), p. e27333. Available at: https://doi.org/10.2196/27333.</w:t>
      </w:r>
    </w:p>
    <w:p w14:paraId="731E8BA2" w14:textId="77777777" w:rsidR="00556692" w:rsidRPr="00556692" w:rsidRDefault="00556692" w:rsidP="00556692">
      <w:pPr>
        <w:pStyle w:val="Bibliography"/>
        <w:rPr>
          <w:rFonts w:eastAsiaTheme="minorEastAsia"/>
        </w:rPr>
      </w:pPr>
      <w:r w:rsidRPr="00556692">
        <w:rPr>
          <w:rFonts w:eastAsiaTheme="minorEastAsia"/>
        </w:rPr>
        <w:t xml:space="preserve">Pol, M. </w:t>
      </w:r>
      <w:r w:rsidRPr="00556692">
        <w:rPr>
          <w:rFonts w:eastAsiaTheme="minorEastAsia"/>
          <w:i/>
          <w:iCs/>
        </w:rPr>
        <w:t>et al.</w:t>
      </w:r>
      <w:r w:rsidRPr="00556692">
        <w:rPr>
          <w:rFonts w:eastAsiaTheme="minorEastAsia"/>
        </w:rPr>
        <w:t xml:space="preserve"> (2023) “Perspectives of Rehabilitation Professionals on Implementing a Validated Home Telerehabilitation Intervention for Older Adults in Geriatric Rehabilitation: Multisite Focus Group Study,” </w:t>
      </w:r>
      <w:r w:rsidRPr="00556692">
        <w:rPr>
          <w:rFonts w:eastAsiaTheme="minorEastAsia"/>
          <w:i/>
          <w:iCs/>
        </w:rPr>
        <w:t>JMIR Rehabilitation and Assistive Technologies</w:t>
      </w:r>
      <w:r w:rsidRPr="00556692">
        <w:rPr>
          <w:rFonts w:eastAsiaTheme="minorEastAsia"/>
        </w:rPr>
        <w:t>, 10(1), p. e44498. Available at: https://doi.org/10.2196/44498.</w:t>
      </w:r>
    </w:p>
    <w:p w14:paraId="75DFC6F3" w14:textId="77777777" w:rsidR="00556692" w:rsidRPr="00556692" w:rsidRDefault="00556692" w:rsidP="00556692">
      <w:pPr>
        <w:pStyle w:val="Bibliography"/>
        <w:rPr>
          <w:rFonts w:eastAsiaTheme="minorEastAsia"/>
        </w:rPr>
      </w:pPr>
      <w:proofErr w:type="spellStart"/>
      <w:r w:rsidRPr="00556692">
        <w:rPr>
          <w:rFonts w:eastAsiaTheme="minorEastAsia"/>
        </w:rPr>
        <w:lastRenderedPageBreak/>
        <w:t>Preitschopf</w:t>
      </w:r>
      <w:proofErr w:type="spellEnd"/>
      <w:r w:rsidRPr="00556692">
        <w:rPr>
          <w:rFonts w:eastAsiaTheme="minorEastAsia"/>
        </w:rPr>
        <w:t xml:space="preserve">, A.D. </w:t>
      </w:r>
      <w:r w:rsidRPr="00556692">
        <w:rPr>
          <w:rFonts w:eastAsiaTheme="minorEastAsia"/>
          <w:i/>
          <w:iCs/>
        </w:rPr>
        <w:t>et al.</w:t>
      </w:r>
      <w:r w:rsidRPr="00556692">
        <w:rPr>
          <w:rFonts w:eastAsiaTheme="minorEastAsia"/>
        </w:rPr>
        <w:t xml:space="preserve"> (2025) “Home-based geriatric rehabilitation after inpatient rehabilitation: a redesign and feasibility study,” pp. 1–14. Available at: https://doi.org/10.1186/s12877-025-06043-z.</w:t>
      </w:r>
    </w:p>
    <w:p w14:paraId="24E05748" w14:textId="77777777" w:rsidR="00556692" w:rsidRPr="00556692" w:rsidRDefault="00556692" w:rsidP="00556692">
      <w:pPr>
        <w:pStyle w:val="Bibliography"/>
        <w:rPr>
          <w:rFonts w:eastAsiaTheme="minorEastAsia"/>
        </w:rPr>
      </w:pPr>
      <w:r w:rsidRPr="00556692">
        <w:rPr>
          <w:rFonts w:eastAsiaTheme="minorEastAsia"/>
          <w:i/>
          <w:iCs/>
        </w:rPr>
        <w:t>Primary Healthcare Blueprint</w:t>
      </w:r>
      <w:r w:rsidRPr="00556692">
        <w:rPr>
          <w:rFonts w:eastAsiaTheme="minorEastAsia"/>
        </w:rPr>
        <w:t xml:space="preserve"> (2022). Hospital Authority Hong Kong.</w:t>
      </w:r>
    </w:p>
    <w:p w14:paraId="4D813A80" w14:textId="77777777" w:rsidR="00556692" w:rsidRPr="00556692" w:rsidRDefault="00556692" w:rsidP="00556692">
      <w:pPr>
        <w:pStyle w:val="Bibliography"/>
        <w:rPr>
          <w:rFonts w:eastAsiaTheme="minorEastAsia"/>
        </w:rPr>
      </w:pPr>
      <w:proofErr w:type="spellStart"/>
      <w:r w:rsidRPr="00556692">
        <w:rPr>
          <w:rFonts w:eastAsiaTheme="minorEastAsia"/>
        </w:rPr>
        <w:t>Ragnedda</w:t>
      </w:r>
      <w:proofErr w:type="spellEnd"/>
      <w:r w:rsidRPr="00556692">
        <w:rPr>
          <w:rFonts w:eastAsiaTheme="minorEastAsia"/>
        </w:rPr>
        <w:t xml:space="preserve">, M. and </w:t>
      </w:r>
      <w:proofErr w:type="spellStart"/>
      <w:r w:rsidRPr="00556692">
        <w:rPr>
          <w:rFonts w:eastAsiaTheme="minorEastAsia"/>
        </w:rPr>
        <w:t>Muschert</w:t>
      </w:r>
      <w:proofErr w:type="spellEnd"/>
      <w:r w:rsidRPr="00556692">
        <w:rPr>
          <w:rFonts w:eastAsiaTheme="minorEastAsia"/>
        </w:rPr>
        <w:t xml:space="preserve">, G.W. (eds.) (2013) </w:t>
      </w:r>
      <w:r w:rsidRPr="00556692">
        <w:rPr>
          <w:rFonts w:eastAsiaTheme="minorEastAsia"/>
          <w:i/>
          <w:iCs/>
        </w:rPr>
        <w:t>The digital divide: the internet and social inequality in international perspective</w:t>
      </w:r>
      <w:r w:rsidRPr="00556692">
        <w:rPr>
          <w:rFonts w:eastAsiaTheme="minorEastAsia"/>
        </w:rPr>
        <w:t>. London New York: Routledge, Taylor &amp; Francis Group (Routledge advances in sociology, 73). Available at: https://doi.org/10.4324/9780203069769.</w:t>
      </w:r>
    </w:p>
    <w:p w14:paraId="71AE1611" w14:textId="77777777" w:rsidR="00556692" w:rsidRPr="00556692" w:rsidRDefault="00556692" w:rsidP="00556692">
      <w:pPr>
        <w:pStyle w:val="Bibliography"/>
        <w:rPr>
          <w:rFonts w:eastAsiaTheme="minorEastAsia"/>
        </w:rPr>
      </w:pPr>
      <w:r w:rsidRPr="00556692">
        <w:rPr>
          <w:rFonts w:eastAsiaTheme="minorEastAsia"/>
        </w:rPr>
        <w:t xml:space="preserve">Ramdani, B., Duan, B. and </w:t>
      </w:r>
      <w:proofErr w:type="spellStart"/>
      <w:r w:rsidRPr="00556692">
        <w:rPr>
          <w:rFonts w:eastAsiaTheme="minorEastAsia"/>
        </w:rPr>
        <w:t>Berrou</w:t>
      </w:r>
      <w:proofErr w:type="spellEnd"/>
      <w:r w:rsidRPr="00556692">
        <w:rPr>
          <w:rFonts w:eastAsiaTheme="minorEastAsia"/>
        </w:rPr>
        <w:t>, I. (2020) “Exploring the Determinants of Mobile Health Adoption by Hospitals in China: Empirical Study.” Available at: https://doi.org/10.2196/14795.</w:t>
      </w:r>
    </w:p>
    <w:p w14:paraId="3E9174A6" w14:textId="77777777" w:rsidR="00556692" w:rsidRPr="00556692" w:rsidRDefault="00556692" w:rsidP="00556692">
      <w:pPr>
        <w:pStyle w:val="Bibliography"/>
        <w:rPr>
          <w:rFonts w:eastAsiaTheme="minorEastAsia"/>
        </w:rPr>
      </w:pPr>
      <w:r w:rsidRPr="00556692">
        <w:rPr>
          <w:rFonts w:eastAsiaTheme="minorEastAsia"/>
        </w:rPr>
        <w:t xml:space="preserve">Shi, J. </w:t>
      </w:r>
      <w:r w:rsidRPr="00556692">
        <w:rPr>
          <w:rFonts w:eastAsiaTheme="minorEastAsia"/>
          <w:i/>
          <w:iCs/>
        </w:rPr>
        <w:t>et al.</w:t>
      </w:r>
      <w:r w:rsidRPr="00556692">
        <w:rPr>
          <w:rFonts w:eastAsiaTheme="minorEastAsia"/>
        </w:rPr>
        <w:t xml:space="preserve"> (2025) “Application Status, Challenges, and Development Prospects of Smart Technologies in Home-Based Elder Care,” </w:t>
      </w:r>
      <w:r w:rsidRPr="00556692">
        <w:rPr>
          <w:rFonts w:eastAsiaTheme="minorEastAsia"/>
          <w:i/>
          <w:iCs/>
        </w:rPr>
        <w:t>Electronics</w:t>
      </w:r>
      <w:r w:rsidRPr="00556692">
        <w:rPr>
          <w:rFonts w:eastAsiaTheme="minorEastAsia"/>
        </w:rPr>
        <w:t>, 14(12), p. 2463. Available at: https://doi.org/10.3390/electronics14122463.</w:t>
      </w:r>
    </w:p>
    <w:p w14:paraId="6D34E27D" w14:textId="77777777" w:rsidR="00556692" w:rsidRPr="00556692" w:rsidRDefault="00556692" w:rsidP="00556692">
      <w:pPr>
        <w:pStyle w:val="Bibliography"/>
        <w:rPr>
          <w:rFonts w:eastAsiaTheme="minorEastAsia"/>
        </w:rPr>
      </w:pPr>
      <w:r w:rsidRPr="00556692">
        <w:rPr>
          <w:rFonts w:eastAsiaTheme="minorEastAsia"/>
        </w:rPr>
        <w:t xml:space="preserve">Venkatesh, V. </w:t>
      </w:r>
      <w:r w:rsidRPr="00556692">
        <w:rPr>
          <w:rFonts w:eastAsiaTheme="minorEastAsia"/>
          <w:i/>
          <w:iCs/>
        </w:rPr>
        <w:t>et al.</w:t>
      </w:r>
      <w:r w:rsidRPr="00556692">
        <w:rPr>
          <w:rFonts w:eastAsiaTheme="minorEastAsia"/>
        </w:rPr>
        <w:t xml:space="preserve"> (2003) “User Acceptance of Information Technology: Toward a Unified View,” </w:t>
      </w:r>
      <w:r w:rsidRPr="00556692">
        <w:rPr>
          <w:rFonts w:eastAsiaTheme="minorEastAsia"/>
          <w:i/>
          <w:iCs/>
        </w:rPr>
        <w:t>MIS Quarterly</w:t>
      </w:r>
      <w:r w:rsidRPr="00556692">
        <w:rPr>
          <w:rFonts w:eastAsiaTheme="minorEastAsia"/>
        </w:rPr>
        <w:t>, 27(3), pp. 425–478. Available at: https://doi.org/10.2307/30036540.</w:t>
      </w:r>
    </w:p>
    <w:p w14:paraId="20E1BB9D" w14:textId="77777777" w:rsidR="00556692" w:rsidRPr="00556692" w:rsidRDefault="00556692" w:rsidP="00556692">
      <w:pPr>
        <w:pStyle w:val="Bibliography"/>
        <w:rPr>
          <w:rFonts w:eastAsiaTheme="minorEastAsia"/>
        </w:rPr>
      </w:pPr>
      <w:r w:rsidRPr="00556692">
        <w:rPr>
          <w:rFonts w:eastAsiaTheme="minorEastAsia"/>
        </w:rPr>
        <w:t xml:space="preserve">Veras, M. </w:t>
      </w:r>
      <w:r w:rsidRPr="00556692">
        <w:rPr>
          <w:rFonts w:eastAsiaTheme="minorEastAsia"/>
          <w:i/>
          <w:iCs/>
        </w:rPr>
        <w:t>et al.</w:t>
      </w:r>
      <w:r w:rsidRPr="00556692">
        <w:rPr>
          <w:rFonts w:eastAsiaTheme="minorEastAsia"/>
        </w:rPr>
        <w:t xml:space="preserve"> (2025) “Ethics and Equity Challenges in Telerehabilitation for Older Adults: Rapid Review,” </w:t>
      </w:r>
      <w:r w:rsidRPr="00556692">
        <w:rPr>
          <w:rFonts w:eastAsiaTheme="minorEastAsia"/>
          <w:i/>
          <w:iCs/>
        </w:rPr>
        <w:t>JMIR Aging</w:t>
      </w:r>
      <w:r w:rsidRPr="00556692">
        <w:rPr>
          <w:rFonts w:eastAsiaTheme="minorEastAsia"/>
        </w:rPr>
        <w:t>, 8, p. e69660. Available at: https://doi.org/10.2196/69660.</w:t>
      </w:r>
    </w:p>
    <w:p w14:paraId="0EE74696" w14:textId="77777777" w:rsidR="00556692" w:rsidRPr="00556692" w:rsidRDefault="00556692" w:rsidP="00556692">
      <w:pPr>
        <w:pStyle w:val="Bibliography"/>
        <w:rPr>
          <w:rFonts w:eastAsiaTheme="minorEastAsia"/>
        </w:rPr>
      </w:pPr>
      <w:r w:rsidRPr="00556692">
        <w:rPr>
          <w:rFonts w:eastAsiaTheme="minorEastAsia"/>
        </w:rPr>
        <w:t xml:space="preserve">Yu, Z. </w:t>
      </w:r>
      <w:r w:rsidRPr="00556692">
        <w:rPr>
          <w:rFonts w:eastAsiaTheme="minorEastAsia"/>
          <w:i/>
          <w:iCs/>
        </w:rPr>
        <w:t>et al.</w:t>
      </w:r>
      <w:r w:rsidRPr="00556692">
        <w:rPr>
          <w:rFonts w:eastAsiaTheme="minorEastAsia"/>
        </w:rPr>
        <w:t xml:space="preserve"> (2025) “The Willingness of Doctors to Adopt Artificial Intelligence–Driven Clinical Decision Support Systems at Different Hospitals in China: Fuzzy Set Qualitative Comparative Analysis of Survey Data,” </w:t>
      </w:r>
      <w:r w:rsidRPr="00556692">
        <w:rPr>
          <w:rFonts w:eastAsiaTheme="minorEastAsia"/>
          <w:i/>
          <w:iCs/>
        </w:rPr>
        <w:t>Journal of Medical Internet Research</w:t>
      </w:r>
      <w:r w:rsidRPr="00556692">
        <w:rPr>
          <w:rFonts w:eastAsiaTheme="minorEastAsia"/>
        </w:rPr>
        <w:t>, 27(1), p. e62768. Available at: https://doi.org/10.2196/62768.</w:t>
      </w:r>
    </w:p>
    <w:p w14:paraId="598BA615" w14:textId="77777777" w:rsidR="00556692" w:rsidRPr="00556692" w:rsidRDefault="00556692" w:rsidP="00556692">
      <w:pPr>
        <w:pStyle w:val="Bibliography"/>
        <w:rPr>
          <w:rFonts w:eastAsiaTheme="minorEastAsia"/>
        </w:rPr>
      </w:pPr>
      <w:r w:rsidRPr="00556692">
        <w:rPr>
          <w:rFonts w:eastAsiaTheme="minorEastAsia"/>
        </w:rPr>
        <w:t xml:space="preserve">Zhi, H. and </w:t>
      </w:r>
      <w:proofErr w:type="spellStart"/>
      <w:r w:rsidRPr="00556692">
        <w:rPr>
          <w:rFonts w:eastAsiaTheme="minorEastAsia"/>
        </w:rPr>
        <w:t>Zolotova</w:t>
      </w:r>
      <w:proofErr w:type="spellEnd"/>
      <w:r w:rsidRPr="00556692">
        <w:rPr>
          <w:rFonts w:eastAsiaTheme="minorEastAsia"/>
        </w:rPr>
        <w:t xml:space="preserve">, M. (2025) “Wearable Devices &amp; Elderly: A Bibliometric Analysis of 2014–2024,” </w:t>
      </w:r>
      <w:r w:rsidRPr="00556692">
        <w:rPr>
          <w:rFonts w:eastAsiaTheme="minorEastAsia"/>
          <w:i/>
          <w:iCs/>
        </w:rPr>
        <w:t>Healthcare</w:t>
      </w:r>
      <w:r w:rsidRPr="00556692">
        <w:rPr>
          <w:rFonts w:eastAsiaTheme="minorEastAsia"/>
        </w:rPr>
        <w:t>, 13(16), p. 2066. Available at: https://doi.org/10.3390/healthcare13162066.</w:t>
      </w:r>
    </w:p>
    <w:p w14:paraId="5D6F594E" w14:textId="77777777" w:rsidR="00556692" w:rsidRPr="00556692" w:rsidRDefault="00556692" w:rsidP="00556692">
      <w:pPr>
        <w:pStyle w:val="Bibliography"/>
        <w:rPr>
          <w:rFonts w:eastAsiaTheme="minorEastAsia"/>
        </w:rPr>
      </w:pPr>
      <w:r w:rsidRPr="00556692">
        <w:rPr>
          <w:rFonts w:eastAsiaTheme="minorEastAsia"/>
        </w:rPr>
        <w:t xml:space="preserve">Zhou, L. </w:t>
      </w:r>
      <w:r w:rsidRPr="00556692">
        <w:rPr>
          <w:rFonts w:eastAsiaTheme="minorEastAsia"/>
          <w:i/>
          <w:iCs/>
        </w:rPr>
        <w:t>et al.</w:t>
      </w:r>
      <w:r w:rsidRPr="00556692">
        <w:rPr>
          <w:rFonts w:eastAsiaTheme="minorEastAsia"/>
        </w:rPr>
        <w:t xml:space="preserve"> (2024) “Barriers and Implications of 5G Technology Adoption for Hospitals in Western China: Integrated Interpretive Structural Modeling and Decision-Making Trial and Evaluation Laboratory Analysis,” p. e48842. Available at: https://doi.org/10.2196/48842.</w:t>
      </w:r>
    </w:p>
    <w:p w14:paraId="0B9FBA34" w14:textId="13C1F1D6" w:rsidR="00755850" w:rsidRPr="004C63D2" w:rsidRDefault="00556692" w:rsidP="00383675">
      <w:pPr>
        <w:jc w:val="both"/>
      </w:pPr>
      <w:r>
        <w:fldChar w:fldCharType="end"/>
      </w:r>
    </w:p>
    <w:sectPr w:rsidR="00755850" w:rsidRPr="004C63D2">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F9C91" w14:textId="77777777" w:rsidR="00572926" w:rsidRDefault="00572926" w:rsidP="005733F1">
      <w:r>
        <w:separator/>
      </w:r>
    </w:p>
  </w:endnote>
  <w:endnote w:type="continuationSeparator" w:id="0">
    <w:p w14:paraId="61E7DBB1" w14:textId="77777777" w:rsidR="00572926" w:rsidRDefault="00572926" w:rsidP="00573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0076635"/>
      <w:docPartObj>
        <w:docPartGallery w:val="Page Numbers (Bottom of Page)"/>
        <w:docPartUnique/>
      </w:docPartObj>
    </w:sdtPr>
    <w:sdtContent>
      <w:p w14:paraId="7D458D0E" w14:textId="11DCB6A4" w:rsidR="005733F1" w:rsidRDefault="005733F1" w:rsidP="008322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558DDE6" w14:textId="77777777" w:rsidR="005733F1" w:rsidRDefault="005733F1" w:rsidP="005733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1281474"/>
      <w:docPartObj>
        <w:docPartGallery w:val="Page Numbers (Bottom of Page)"/>
        <w:docPartUnique/>
      </w:docPartObj>
    </w:sdtPr>
    <w:sdtContent>
      <w:p w14:paraId="50859DBF" w14:textId="1EB90302" w:rsidR="005733F1" w:rsidRDefault="005733F1" w:rsidP="008322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68E0D2" w14:textId="77777777" w:rsidR="005733F1" w:rsidRDefault="005733F1" w:rsidP="005733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CBDCA" w14:textId="77777777" w:rsidR="00572926" w:rsidRDefault="00572926" w:rsidP="005733F1">
      <w:r>
        <w:separator/>
      </w:r>
    </w:p>
  </w:footnote>
  <w:footnote w:type="continuationSeparator" w:id="0">
    <w:p w14:paraId="386965DC" w14:textId="77777777" w:rsidR="00572926" w:rsidRDefault="00572926" w:rsidP="005733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800D9"/>
    <w:multiLevelType w:val="multilevel"/>
    <w:tmpl w:val="5CE2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8A4559"/>
    <w:multiLevelType w:val="multilevel"/>
    <w:tmpl w:val="5688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F0F3E"/>
    <w:multiLevelType w:val="multilevel"/>
    <w:tmpl w:val="D5C813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1A482B"/>
    <w:multiLevelType w:val="multilevel"/>
    <w:tmpl w:val="C0727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01C87"/>
    <w:multiLevelType w:val="multilevel"/>
    <w:tmpl w:val="57E664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20FA7"/>
    <w:multiLevelType w:val="multilevel"/>
    <w:tmpl w:val="6602D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E92B12"/>
    <w:multiLevelType w:val="multilevel"/>
    <w:tmpl w:val="3F06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1D6916"/>
    <w:multiLevelType w:val="multilevel"/>
    <w:tmpl w:val="7592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46494"/>
    <w:multiLevelType w:val="multilevel"/>
    <w:tmpl w:val="87D68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6670B"/>
    <w:multiLevelType w:val="multilevel"/>
    <w:tmpl w:val="A1ACB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4F0A84"/>
    <w:multiLevelType w:val="multilevel"/>
    <w:tmpl w:val="52388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E57E4A"/>
    <w:multiLevelType w:val="multilevel"/>
    <w:tmpl w:val="6AB0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CB6040"/>
    <w:multiLevelType w:val="multilevel"/>
    <w:tmpl w:val="9134E2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B334B8"/>
    <w:multiLevelType w:val="multilevel"/>
    <w:tmpl w:val="5BB0D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C67757"/>
    <w:multiLevelType w:val="multilevel"/>
    <w:tmpl w:val="52981C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C0311C"/>
    <w:multiLevelType w:val="multilevel"/>
    <w:tmpl w:val="99026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83716D"/>
    <w:multiLevelType w:val="multilevel"/>
    <w:tmpl w:val="7FA8D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BE3B06"/>
    <w:multiLevelType w:val="multilevel"/>
    <w:tmpl w:val="38D46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5A6DFD"/>
    <w:multiLevelType w:val="multilevel"/>
    <w:tmpl w:val="C02C0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4F57DF"/>
    <w:multiLevelType w:val="multilevel"/>
    <w:tmpl w:val="9D4E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775C42"/>
    <w:multiLevelType w:val="multilevel"/>
    <w:tmpl w:val="3DB4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C179DA"/>
    <w:multiLevelType w:val="multilevel"/>
    <w:tmpl w:val="FA949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087E0D"/>
    <w:multiLevelType w:val="multilevel"/>
    <w:tmpl w:val="001C6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064F89"/>
    <w:multiLevelType w:val="multilevel"/>
    <w:tmpl w:val="15829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7816A3"/>
    <w:multiLevelType w:val="multilevel"/>
    <w:tmpl w:val="200A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1645D4"/>
    <w:multiLevelType w:val="multilevel"/>
    <w:tmpl w:val="514C2B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6E7162"/>
    <w:multiLevelType w:val="multilevel"/>
    <w:tmpl w:val="014C39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1E318A"/>
    <w:multiLevelType w:val="multilevel"/>
    <w:tmpl w:val="6D1EA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D6301F"/>
    <w:multiLevelType w:val="multilevel"/>
    <w:tmpl w:val="B596B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25697A"/>
    <w:multiLevelType w:val="multilevel"/>
    <w:tmpl w:val="825A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35FA8"/>
    <w:multiLevelType w:val="multilevel"/>
    <w:tmpl w:val="D7DC9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213EC0"/>
    <w:multiLevelType w:val="multilevel"/>
    <w:tmpl w:val="1CC6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8E14DE"/>
    <w:multiLevelType w:val="multilevel"/>
    <w:tmpl w:val="6F8A6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0412C7"/>
    <w:multiLevelType w:val="multilevel"/>
    <w:tmpl w:val="0BBA5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C4E99"/>
    <w:multiLevelType w:val="multilevel"/>
    <w:tmpl w:val="1572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0552ED"/>
    <w:multiLevelType w:val="multilevel"/>
    <w:tmpl w:val="1B42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0959478">
    <w:abstractNumId w:val="21"/>
  </w:num>
  <w:num w:numId="2" w16cid:durableId="13385526">
    <w:abstractNumId w:val="9"/>
  </w:num>
  <w:num w:numId="3" w16cid:durableId="845022421">
    <w:abstractNumId w:val="13"/>
  </w:num>
  <w:num w:numId="4" w16cid:durableId="207304788">
    <w:abstractNumId w:val="0"/>
  </w:num>
  <w:num w:numId="5" w16cid:durableId="1094937219">
    <w:abstractNumId w:val="10"/>
  </w:num>
  <w:num w:numId="6" w16cid:durableId="392655478">
    <w:abstractNumId w:val="19"/>
  </w:num>
  <w:num w:numId="7" w16cid:durableId="172913527">
    <w:abstractNumId w:val="23"/>
  </w:num>
  <w:num w:numId="8" w16cid:durableId="241183604">
    <w:abstractNumId w:val="30"/>
  </w:num>
  <w:num w:numId="9" w16cid:durableId="1752463660">
    <w:abstractNumId w:val="15"/>
  </w:num>
  <w:num w:numId="10" w16cid:durableId="696196887">
    <w:abstractNumId w:val="34"/>
  </w:num>
  <w:num w:numId="11" w16cid:durableId="1315261379">
    <w:abstractNumId w:val="29"/>
  </w:num>
  <w:num w:numId="12" w16cid:durableId="1193373913">
    <w:abstractNumId w:val="28"/>
  </w:num>
  <w:num w:numId="13" w16cid:durableId="382683306">
    <w:abstractNumId w:val="27"/>
  </w:num>
  <w:num w:numId="14" w16cid:durableId="1245995145">
    <w:abstractNumId w:val="4"/>
  </w:num>
  <w:num w:numId="15" w16cid:durableId="2046369622">
    <w:abstractNumId w:val="12"/>
  </w:num>
  <w:num w:numId="16" w16cid:durableId="2127187554">
    <w:abstractNumId w:val="26"/>
  </w:num>
  <w:num w:numId="17" w16cid:durableId="1086850424">
    <w:abstractNumId w:val="32"/>
  </w:num>
  <w:num w:numId="18" w16cid:durableId="1372070530">
    <w:abstractNumId w:val="2"/>
  </w:num>
  <w:num w:numId="19" w16cid:durableId="1574581933">
    <w:abstractNumId w:val="3"/>
  </w:num>
  <w:num w:numId="20" w16cid:durableId="1297252140">
    <w:abstractNumId w:val="18"/>
  </w:num>
  <w:num w:numId="21" w16cid:durableId="2085297971">
    <w:abstractNumId w:val="1"/>
  </w:num>
  <w:num w:numId="22" w16cid:durableId="476269450">
    <w:abstractNumId w:val="5"/>
  </w:num>
  <w:num w:numId="23" w16cid:durableId="418328610">
    <w:abstractNumId w:val="7"/>
  </w:num>
  <w:num w:numId="24" w16cid:durableId="1157451680">
    <w:abstractNumId w:val="16"/>
  </w:num>
  <w:num w:numId="25" w16cid:durableId="1741904178">
    <w:abstractNumId w:val="8"/>
  </w:num>
  <w:num w:numId="26" w16cid:durableId="1146169730">
    <w:abstractNumId w:val="25"/>
  </w:num>
  <w:num w:numId="27" w16cid:durableId="2067027879">
    <w:abstractNumId w:val="6"/>
  </w:num>
  <w:num w:numId="28" w16cid:durableId="2037845072">
    <w:abstractNumId w:val="31"/>
  </w:num>
  <w:num w:numId="29" w16cid:durableId="1470244132">
    <w:abstractNumId w:val="14"/>
  </w:num>
  <w:num w:numId="30" w16cid:durableId="1306397131">
    <w:abstractNumId w:val="35"/>
  </w:num>
  <w:num w:numId="31" w16cid:durableId="247036997">
    <w:abstractNumId w:val="20"/>
  </w:num>
  <w:num w:numId="32" w16cid:durableId="1833595418">
    <w:abstractNumId w:val="24"/>
  </w:num>
  <w:num w:numId="33" w16cid:durableId="1619750237">
    <w:abstractNumId w:val="22"/>
  </w:num>
  <w:num w:numId="34" w16cid:durableId="1831864454">
    <w:abstractNumId w:val="17"/>
  </w:num>
  <w:num w:numId="35" w16cid:durableId="13506496">
    <w:abstractNumId w:val="33"/>
  </w:num>
  <w:num w:numId="36" w16cid:durableId="409082325">
    <w:abstractNumId w:val="11"/>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850"/>
    <w:rsid w:val="00000145"/>
    <w:rsid w:val="00002966"/>
    <w:rsid w:val="000059D6"/>
    <w:rsid w:val="0000737C"/>
    <w:rsid w:val="0000748D"/>
    <w:rsid w:val="00011426"/>
    <w:rsid w:val="00012869"/>
    <w:rsid w:val="000166AD"/>
    <w:rsid w:val="00025B2B"/>
    <w:rsid w:val="00034DD3"/>
    <w:rsid w:val="00035773"/>
    <w:rsid w:val="000371EE"/>
    <w:rsid w:val="00037F43"/>
    <w:rsid w:val="0004536F"/>
    <w:rsid w:val="00050A95"/>
    <w:rsid w:val="00051E9E"/>
    <w:rsid w:val="00051FEC"/>
    <w:rsid w:val="0006257F"/>
    <w:rsid w:val="000652CE"/>
    <w:rsid w:val="00073D26"/>
    <w:rsid w:val="00081455"/>
    <w:rsid w:val="0008345C"/>
    <w:rsid w:val="0009767C"/>
    <w:rsid w:val="000B3246"/>
    <w:rsid w:val="000B7C7D"/>
    <w:rsid w:val="000D256B"/>
    <w:rsid w:val="000E08F8"/>
    <w:rsid w:val="00100E99"/>
    <w:rsid w:val="00102661"/>
    <w:rsid w:val="001151F0"/>
    <w:rsid w:val="00124370"/>
    <w:rsid w:val="00134B2B"/>
    <w:rsid w:val="00140FDF"/>
    <w:rsid w:val="0014192C"/>
    <w:rsid w:val="0015568E"/>
    <w:rsid w:val="00161840"/>
    <w:rsid w:val="00174539"/>
    <w:rsid w:val="00177878"/>
    <w:rsid w:val="00180C99"/>
    <w:rsid w:val="001B7762"/>
    <w:rsid w:val="001C6643"/>
    <w:rsid w:val="001D4821"/>
    <w:rsid w:val="001F364B"/>
    <w:rsid w:val="00206EA1"/>
    <w:rsid w:val="00207C60"/>
    <w:rsid w:val="00211091"/>
    <w:rsid w:val="0022242E"/>
    <w:rsid w:val="00223BE9"/>
    <w:rsid w:val="00225C37"/>
    <w:rsid w:val="00226A85"/>
    <w:rsid w:val="002456AD"/>
    <w:rsid w:val="00250E42"/>
    <w:rsid w:val="00253137"/>
    <w:rsid w:val="0025648B"/>
    <w:rsid w:val="00275FD1"/>
    <w:rsid w:val="002805B0"/>
    <w:rsid w:val="0029016A"/>
    <w:rsid w:val="0029622E"/>
    <w:rsid w:val="00296763"/>
    <w:rsid w:val="002A0D62"/>
    <w:rsid w:val="002A4F41"/>
    <w:rsid w:val="002A597C"/>
    <w:rsid w:val="002A6E53"/>
    <w:rsid w:val="002B05DF"/>
    <w:rsid w:val="002B6797"/>
    <w:rsid w:val="002C0BC2"/>
    <w:rsid w:val="002C6D95"/>
    <w:rsid w:val="002D1283"/>
    <w:rsid w:val="003125DB"/>
    <w:rsid w:val="0031519A"/>
    <w:rsid w:val="00316156"/>
    <w:rsid w:val="00317B01"/>
    <w:rsid w:val="00323D48"/>
    <w:rsid w:val="00330FC9"/>
    <w:rsid w:val="00341C59"/>
    <w:rsid w:val="00342B0B"/>
    <w:rsid w:val="00355B64"/>
    <w:rsid w:val="0036134C"/>
    <w:rsid w:val="00383675"/>
    <w:rsid w:val="00384077"/>
    <w:rsid w:val="003922FE"/>
    <w:rsid w:val="00396CBA"/>
    <w:rsid w:val="003A4A81"/>
    <w:rsid w:val="003A7F27"/>
    <w:rsid w:val="003B0EF6"/>
    <w:rsid w:val="003B3188"/>
    <w:rsid w:val="003B4A20"/>
    <w:rsid w:val="003C1D24"/>
    <w:rsid w:val="003C5328"/>
    <w:rsid w:val="003D4572"/>
    <w:rsid w:val="003E2F37"/>
    <w:rsid w:val="003E3EE9"/>
    <w:rsid w:val="00403DD4"/>
    <w:rsid w:val="0041370C"/>
    <w:rsid w:val="0043583C"/>
    <w:rsid w:val="004431A1"/>
    <w:rsid w:val="00443D46"/>
    <w:rsid w:val="00444FA2"/>
    <w:rsid w:val="00463831"/>
    <w:rsid w:val="00463EB4"/>
    <w:rsid w:val="00482D6B"/>
    <w:rsid w:val="00487253"/>
    <w:rsid w:val="004A27DD"/>
    <w:rsid w:val="004A2A5D"/>
    <w:rsid w:val="004A366A"/>
    <w:rsid w:val="004A7CD4"/>
    <w:rsid w:val="004B47FF"/>
    <w:rsid w:val="004C02B9"/>
    <w:rsid w:val="004C030E"/>
    <w:rsid w:val="004C6091"/>
    <w:rsid w:val="004C63D2"/>
    <w:rsid w:val="004E190A"/>
    <w:rsid w:val="004E2286"/>
    <w:rsid w:val="004E2DED"/>
    <w:rsid w:val="004E6BAA"/>
    <w:rsid w:val="004F74C6"/>
    <w:rsid w:val="004F78A6"/>
    <w:rsid w:val="005001CE"/>
    <w:rsid w:val="0050290E"/>
    <w:rsid w:val="005207A4"/>
    <w:rsid w:val="00531AFB"/>
    <w:rsid w:val="00532373"/>
    <w:rsid w:val="005338B9"/>
    <w:rsid w:val="00556692"/>
    <w:rsid w:val="0056159D"/>
    <w:rsid w:val="00562815"/>
    <w:rsid w:val="005655F2"/>
    <w:rsid w:val="00572926"/>
    <w:rsid w:val="005733F1"/>
    <w:rsid w:val="0059455D"/>
    <w:rsid w:val="005B239A"/>
    <w:rsid w:val="005B3650"/>
    <w:rsid w:val="005C7A86"/>
    <w:rsid w:val="005D0999"/>
    <w:rsid w:val="0064600D"/>
    <w:rsid w:val="00650D63"/>
    <w:rsid w:val="006629B2"/>
    <w:rsid w:val="006725C1"/>
    <w:rsid w:val="00673537"/>
    <w:rsid w:val="0067712B"/>
    <w:rsid w:val="00692A0E"/>
    <w:rsid w:val="006964BD"/>
    <w:rsid w:val="00696D0E"/>
    <w:rsid w:val="006A2C3A"/>
    <w:rsid w:val="006C6D6B"/>
    <w:rsid w:val="006D39E3"/>
    <w:rsid w:val="006E10B7"/>
    <w:rsid w:val="006E2469"/>
    <w:rsid w:val="006F47C2"/>
    <w:rsid w:val="006F5E88"/>
    <w:rsid w:val="00703477"/>
    <w:rsid w:val="00707BB3"/>
    <w:rsid w:val="00716EFD"/>
    <w:rsid w:val="00725840"/>
    <w:rsid w:val="00725B9B"/>
    <w:rsid w:val="0073758A"/>
    <w:rsid w:val="00743E5B"/>
    <w:rsid w:val="00747827"/>
    <w:rsid w:val="00747917"/>
    <w:rsid w:val="00751631"/>
    <w:rsid w:val="00751DD1"/>
    <w:rsid w:val="00755850"/>
    <w:rsid w:val="00755E87"/>
    <w:rsid w:val="007708E1"/>
    <w:rsid w:val="00772C1F"/>
    <w:rsid w:val="00774246"/>
    <w:rsid w:val="0077480F"/>
    <w:rsid w:val="00793981"/>
    <w:rsid w:val="00794CCA"/>
    <w:rsid w:val="007952F9"/>
    <w:rsid w:val="007B6B6D"/>
    <w:rsid w:val="007C6442"/>
    <w:rsid w:val="007E10BE"/>
    <w:rsid w:val="008139EC"/>
    <w:rsid w:val="008179A9"/>
    <w:rsid w:val="008200EC"/>
    <w:rsid w:val="008258A9"/>
    <w:rsid w:val="00825AD4"/>
    <w:rsid w:val="00825E6F"/>
    <w:rsid w:val="00842577"/>
    <w:rsid w:val="00846F59"/>
    <w:rsid w:val="00847229"/>
    <w:rsid w:val="0086607D"/>
    <w:rsid w:val="008728F0"/>
    <w:rsid w:val="00872B59"/>
    <w:rsid w:val="008772A9"/>
    <w:rsid w:val="008825CE"/>
    <w:rsid w:val="00883B59"/>
    <w:rsid w:val="00885630"/>
    <w:rsid w:val="00885A67"/>
    <w:rsid w:val="0089349D"/>
    <w:rsid w:val="00894023"/>
    <w:rsid w:val="0089598C"/>
    <w:rsid w:val="008A3311"/>
    <w:rsid w:val="008B1197"/>
    <w:rsid w:val="008B2DCC"/>
    <w:rsid w:val="008B3368"/>
    <w:rsid w:val="008B3385"/>
    <w:rsid w:val="008D3A19"/>
    <w:rsid w:val="008E4FA9"/>
    <w:rsid w:val="008E5929"/>
    <w:rsid w:val="008E5A37"/>
    <w:rsid w:val="00900880"/>
    <w:rsid w:val="00902007"/>
    <w:rsid w:val="00911C51"/>
    <w:rsid w:val="00926100"/>
    <w:rsid w:val="00931A05"/>
    <w:rsid w:val="00936EF3"/>
    <w:rsid w:val="009418AE"/>
    <w:rsid w:val="00946743"/>
    <w:rsid w:val="009552A9"/>
    <w:rsid w:val="00956888"/>
    <w:rsid w:val="00966056"/>
    <w:rsid w:val="0097494F"/>
    <w:rsid w:val="009767FB"/>
    <w:rsid w:val="009809A6"/>
    <w:rsid w:val="00987B65"/>
    <w:rsid w:val="00994E95"/>
    <w:rsid w:val="00995C60"/>
    <w:rsid w:val="009A5774"/>
    <w:rsid w:val="009B5ADA"/>
    <w:rsid w:val="009C2D7E"/>
    <w:rsid w:val="009C3BF5"/>
    <w:rsid w:val="009D5A43"/>
    <w:rsid w:val="009D70F1"/>
    <w:rsid w:val="009E5E02"/>
    <w:rsid w:val="009E63BD"/>
    <w:rsid w:val="009E7E7E"/>
    <w:rsid w:val="009F1D61"/>
    <w:rsid w:val="00A24C5B"/>
    <w:rsid w:val="00A365B7"/>
    <w:rsid w:val="00A52E81"/>
    <w:rsid w:val="00A54C4D"/>
    <w:rsid w:val="00A631BB"/>
    <w:rsid w:val="00A66082"/>
    <w:rsid w:val="00A72CC7"/>
    <w:rsid w:val="00A76BEB"/>
    <w:rsid w:val="00A80877"/>
    <w:rsid w:val="00A84C84"/>
    <w:rsid w:val="00A871E4"/>
    <w:rsid w:val="00A93B6B"/>
    <w:rsid w:val="00A94FE1"/>
    <w:rsid w:val="00A956A4"/>
    <w:rsid w:val="00AB6110"/>
    <w:rsid w:val="00AC0F73"/>
    <w:rsid w:val="00AC4C0A"/>
    <w:rsid w:val="00AC569B"/>
    <w:rsid w:val="00AC6F26"/>
    <w:rsid w:val="00AD4442"/>
    <w:rsid w:val="00B125A6"/>
    <w:rsid w:val="00B14778"/>
    <w:rsid w:val="00B17D21"/>
    <w:rsid w:val="00B36E0D"/>
    <w:rsid w:val="00B4518B"/>
    <w:rsid w:val="00B51869"/>
    <w:rsid w:val="00B724E9"/>
    <w:rsid w:val="00B821F8"/>
    <w:rsid w:val="00B9001B"/>
    <w:rsid w:val="00B956DD"/>
    <w:rsid w:val="00B961C1"/>
    <w:rsid w:val="00BA02C5"/>
    <w:rsid w:val="00BA3175"/>
    <w:rsid w:val="00BB2681"/>
    <w:rsid w:val="00BB5853"/>
    <w:rsid w:val="00BC03EB"/>
    <w:rsid w:val="00BE268E"/>
    <w:rsid w:val="00BE6D1A"/>
    <w:rsid w:val="00BF1E4B"/>
    <w:rsid w:val="00BF450A"/>
    <w:rsid w:val="00BF6AF1"/>
    <w:rsid w:val="00C02994"/>
    <w:rsid w:val="00C16A1B"/>
    <w:rsid w:val="00C2290F"/>
    <w:rsid w:val="00C24B34"/>
    <w:rsid w:val="00C24F3B"/>
    <w:rsid w:val="00C267EA"/>
    <w:rsid w:val="00C56E27"/>
    <w:rsid w:val="00C74582"/>
    <w:rsid w:val="00C74DF0"/>
    <w:rsid w:val="00C83CC0"/>
    <w:rsid w:val="00C85B10"/>
    <w:rsid w:val="00C87B86"/>
    <w:rsid w:val="00CA1025"/>
    <w:rsid w:val="00CA147A"/>
    <w:rsid w:val="00CA4898"/>
    <w:rsid w:val="00CA6987"/>
    <w:rsid w:val="00CC23E1"/>
    <w:rsid w:val="00CD5D02"/>
    <w:rsid w:val="00CE25FD"/>
    <w:rsid w:val="00CE54C4"/>
    <w:rsid w:val="00CE6439"/>
    <w:rsid w:val="00CF232B"/>
    <w:rsid w:val="00CF461F"/>
    <w:rsid w:val="00D01469"/>
    <w:rsid w:val="00D01C33"/>
    <w:rsid w:val="00D12A04"/>
    <w:rsid w:val="00D13E5A"/>
    <w:rsid w:val="00D1554F"/>
    <w:rsid w:val="00D16751"/>
    <w:rsid w:val="00D21A1C"/>
    <w:rsid w:val="00D246C0"/>
    <w:rsid w:val="00D25AD8"/>
    <w:rsid w:val="00D33E8B"/>
    <w:rsid w:val="00D477D8"/>
    <w:rsid w:val="00D508AD"/>
    <w:rsid w:val="00D621CB"/>
    <w:rsid w:val="00D634DD"/>
    <w:rsid w:val="00D75F70"/>
    <w:rsid w:val="00DA1658"/>
    <w:rsid w:val="00DA3600"/>
    <w:rsid w:val="00DA3986"/>
    <w:rsid w:val="00DB6C86"/>
    <w:rsid w:val="00DB77E8"/>
    <w:rsid w:val="00DC43FF"/>
    <w:rsid w:val="00DC47B3"/>
    <w:rsid w:val="00DD0315"/>
    <w:rsid w:val="00DD236F"/>
    <w:rsid w:val="00DD28CA"/>
    <w:rsid w:val="00DE62BC"/>
    <w:rsid w:val="00DF43D1"/>
    <w:rsid w:val="00E0583E"/>
    <w:rsid w:val="00E0673B"/>
    <w:rsid w:val="00E12C1D"/>
    <w:rsid w:val="00E13C7D"/>
    <w:rsid w:val="00E16917"/>
    <w:rsid w:val="00E36E80"/>
    <w:rsid w:val="00E479BC"/>
    <w:rsid w:val="00E50A99"/>
    <w:rsid w:val="00E562AD"/>
    <w:rsid w:val="00E575D8"/>
    <w:rsid w:val="00E60C5B"/>
    <w:rsid w:val="00E70B97"/>
    <w:rsid w:val="00E74314"/>
    <w:rsid w:val="00E86301"/>
    <w:rsid w:val="00E901E3"/>
    <w:rsid w:val="00EA0819"/>
    <w:rsid w:val="00EA1D7B"/>
    <w:rsid w:val="00EA26D9"/>
    <w:rsid w:val="00EA4C22"/>
    <w:rsid w:val="00EB5F89"/>
    <w:rsid w:val="00EB7A37"/>
    <w:rsid w:val="00ED0BB7"/>
    <w:rsid w:val="00ED57B0"/>
    <w:rsid w:val="00ED5840"/>
    <w:rsid w:val="00ED69BB"/>
    <w:rsid w:val="00EE729B"/>
    <w:rsid w:val="00EE7C30"/>
    <w:rsid w:val="00EE7D5C"/>
    <w:rsid w:val="00EF7973"/>
    <w:rsid w:val="00F03C8A"/>
    <w:rsid w:val="00F06E14"/>
    <w:rsid w:val="00F143D7"/>
    <w:rsid w:val="00F16F4F"/>
    <w:rsid w:val="00F206E2"/>
    <w:rsid w:val="00F20B7E"/>
    <w:rsid w:val="00F249C4"/>
    <w:rsid w:val="00F26969"/>
    <w:rsid w:val="00F418D9"/>
    <w:rsid w:val="00F578DB"/>
    <w:rsid w:val="00F60FC4"/>
    <w:rsid w:val="00F614A8"/>
    <w:rsid w:val="00F67832"/>
    <w:rsid w:val="00F74758"/>
    <w:rsid w:val="00F812F2"/>
    <w:rsid w:val="00F82038"/>
    <w:rsid w:val="00F830B8"/>
    <w:rsid w:val="00F85F37"/>
    <w:rsid w:val="00F950B0"/>
    <w:rsid w:val="00FA2F99"/>
    <w:rsid w:val="00FB1741"/>
    <w:rsid w:val="00FB228C"/>
    <w:rsid w:val="00FC1C02"/>
    <w:rsid w:val="00FD0FE3"/>
    <w:rsid w:val="00FE2E04"/>
    <w:rsid w:val="00FE3E00"/>
    <w:rsid w:val="00FE548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D868C"/>
  <w15:chartTrackingRefBased/>
  <w15:docId w15:val="{EBE3107E-B48E-6841-B8FE-4FEB7975B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0F"/>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7558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8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58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558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8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8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8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8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8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8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58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58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558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8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850"/>
    <w:rPr>
      <w:rFonts w:eastAsiaTheme="majorEastAsia" w:cstheme="majorBidi"/>
      <w:color w:val="272727" w:themeColor="text1" w:themeTint="D8"/>
    </w:rPr>
  </w:style>
  <w:style w:type="paragraph" w:styleId="Title">
    <w:name w:val="Title"/>
    <w:basedOn w:val="Normal"/>
    <w:next w:val="Normal"/>
    <w:link w:val="TitleChar"/>
    <w:uiPriority w:val="10"/>
    <w:qFormat/>
    <w:rsid w:val="007558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850"/>
    <w:pPr>
      <w:spacing w:before="160"/>
      <w:jc w:val="center"/>
    </w:pPr>
    <w:rPr>
      <w:i/>
      <w:iCs/>
      <w:color w:val="404040" w:themeColor="text1" w:themeTint="BF"/>
    </w:rPr>
  </w:style>
  <w:style w:type="character" w:customStyle="1" w:styleId="QuoteChar">
    <w:name w:val="Quote Char"/>
    <w:basedOn w:val="DefaultParagraphFont"/>
    <w:link w:val="Quote"/>
    <w:uiPriority w:val="29"/>
    <w:rsid w:val="00755850"/>
    <w:rPr>
      <w:i/>
      <w:iCs/>
      <w:color w:val="404040" w:themeColor="text1" w:themeTint="BF"/>
    </w:rPr>
  </w:style>
  <w:style w:type="paragraph" w:styleId="ListParagraph">
    <w:name w:val="List Paragraph"/>
    <w:basedOn w:val="Normal"/>
    <w:uiPriority w:val="34"/>
    <w:qFormat/>
    <w:rsid w:val="00755850"/>
    <w:pPr>
      <w:ind w:left="720"/>
      <w:contextualSpacing/>
    </w:pPr>
  </w:style>
  <w:style w:type="character" w:styleId="IntenseEmphasis">
    <w:name w:val="Intense Emphasis"/>
    <w:basedOn w:val="DefaultParagraphFont"/>
    <w:uiPriority w:val="21"/>
    <w:qFormat/>
    <w:rsid w:val="00755850"/>
    <w:rPr>
      <w:i/>
      <w:iCs/>
      <w:color w:val="0F4761" w:themeColor="accent1" w:themeShade="BF"/>
    </w:rPr>
  </w:style>
  <w:style w:type="paragraph" w:styleId="IntenseQuote">
    <w:name w:val="Intense Quote"/>
    <w:basedOn w:val="Normal"/>
    <w:next w:val="Normal"/>
    <w:link w:val="IntenseQuoteChar"/>
    <w:uiPriority w:val="30"/>
    <w:qFormat/>
    <w:rsid w:val="007558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850"/>
    <w:rPr>
      <w:i/>
      <w:iCs/>
      <w:color w:val="0F4761" w:themeColor="accent1" w:themeShade="BF"/>
    </w:rPr>
  </w:style>
  <w:style w:type="character" w:styleId="IntenseReference">
    <w:name w:val="Intense Reference"/>
    <w:basedOn w:val="DefaultParagraphFont"/>
    <w:uiPriority w:val="32"/>
    <w:qFormat/>
    <w:rsid w:val="00755850"/>
    <w:rPr>
      <w:b/>
      <w:bCs/>
      <w:smallCaps/>
      <w:color w:val="0F4761" w:themeColor="accent1" w:themeShade="BF"/>
      <w:spacing w:val="5"/>
    </w:rPr>
  </w:style>
  <w:style w:type="paragraph" w:styleId="NormalWeb">
    <w:name w:val="Normal (Web)"/>
    <w:basedOn w:val="Normal"/>
    <w:uiPriority w:val="99"/>
    <w:unhideWhenUsed/>
    <w:rsid w:val="00EB5F89"/>
    <w:pPr>
      <w:spacing w:before="100" w:beforeAutospacing="1" w:after="100" w:afterAutospacing="1"/>
    </w:pPr>
  </w:style>
  <w:style w:type="character" w:customStyle="1" w:styleId="apple-converted-space">
    <w:name w:val="apple-converted-space"/>
    <w:basedOn w:val="DefaultParagraphFont"/>
    <w:rsid w:val="00EB5F89"/>
  </w:style>
  <w:style w:type="character" w:styleId="Strong">
    <w:name w:val="Strong"/>
    <w:basedOn w:val="DefaultParagraphFont"/>
    <w:uiPriority w:val="22"/>
    <w:qFormat/>
    <w:rsid w:val="00EB5F89"/>
    <w:rPr>
      <w:b/>
      <w:bCs/>
    </w:rPr>
  </w:style>
  <w:style w:type="character" w:styleId="Emphasis">
    <w:name w:val="Emphasis"/>
    <w:basedOn w:val="DefaultParagraphFont"/>
    <w:uiPriority w:val="20"/>
    <w:qFormat/>
    <w:rsid w:val="00987B65"/>
    <w:rPr>
      <w:i/>
      <w:iCs/>
    </w:rPr>
  </w:style>
  <w:style w:type="character" w:customStyle="1" w:styleId="ms-1">
    <w:name w:val="ms-1"/>
    <w:basedOn w:val="DefaultParagraphFont"/>
    <w:rsid w:val="00207C60"/>
  </w:style>
  <w:style w:type="character" w:customStyle="1" w:styleId="max-w-full">
    <w:name w:val="max-w-full"/>
    <w:basedOn w:val="DefaultParagraphFont"/>
    <w:rsid w:val="00207C60"/>
  </w:style>
  <w:style w:type="character" w:customStyle="1" w:styleId="-me-1">
    <w:name w:val="-me-1"/>
    <w:basedOn w:val="DefaultParagraphFont"/>
    <w:rsid w:val="00207C60"/>
  </w:style>
  <w:style w:type="paragraph" w:styleId="Footer">
    <w:name w:val="footer"/>
    <w:basedOn w:val="Normal"/>
    <w:link w:val="FooterChar"/>
    <w:uiPriority w:val="99"/>
    <w:unhideWhenUsed/>
    <w:rsid w:val="005733F1"/>
    <w:pPr>
      <w:tabs>
        <w:tab w:val="center" w:pos="4680"/>
        <w:tab w:val="right" w:pos="9360"/>
      </w:tabs>
    </w:pPr>
  </w:style>
  <w:style w:type="character" w:customStyle="1" w:styleId="FooterChar">
    <w:name w:val="Footer Char"/>
    <w:basedOn w:val="DefaultParagraphFont"/>
    <w:link w:val="Footer"/>
    <w:uiPriority w:val="99"/>
    <w:rsid w:val="005733F1"/>
  </w:style>
  <w:style w:type="character" w:styleId="PageNumber">
    <w:name w:val="page number"/>
    <w:basedOn w:val="DefaultParagraphFont"/>
    <w:uiPriority w:val="99"/>
    <w:semiHidden/>
    <w:unhideWhenUsed/>
    <w:rsid w:val="005733F1"/>
  </w:style>
  <w:style w:type="character" w:styleId="Hyperlink">
    <w:name w:val="Hyperlink"/>
    <w:basedOn w:val="DefaultParagraphFont"/>
    <w:uiPriority w:val="99"/>
    <w:unhideWhenUsed/>
    <w:rsid w:val="0064600D"/>
    <w:rPr>
      <w:color w:val="0000FF"/>
      <w:u w:val="single"/>
    </w:rPr>
  </w:style>
  <w:style w:type="character" w:styleId="UnresolvedMention">
    <w:name w:val="Unresolved Mention"/>
    <w:basedOn w:val="DefaultParagraphFont"/>
    <w:uiPriority w:val="99"/>
    <w:semiHidden/>
    <w:unhideWhenUsed/>
    <w:rsid w:val="006D39E3"/>
    <w:rPr>
      <w:color w:val="605E5C"/>
      <w:shd w:val="clear" w:color="auto" w:fill="E1DFDD"/>
    </w:rPr>
  </w:style>
  <w:style w:type="paragraph" w:styleId="Bibliography">
    <w:name w:val="Bibliography"/>
    <w:basedOn w:val="Normal"/>
    <w:next w:val="Normal"/>
    <w:uiPriority w:val="37"/>
    <w:unhideWhenUsed/>
    <w:rsid w:val="00206EA1"/>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eas.repec.org/a/eee/teinso/v78y2024ics0160791x24002239.html?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562</TotalTime>
  <Pages>31</Pages>
  <Words>34082</Words>
  <Characters>194273</Characters>
  <Application>Microsoft Office Word</Application>
  <DocSecurity>0</DocSecurity>
  <Lines>1618</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Lai DSCI</dc:creator>
  <cp:keywords/>
  <dc:description/>
  <cp:lastModifiedBy>Yvonne Lai DSCI</cp:lastModifiedBy>
  <cp:revision>367</cp:revision>
  <cp:lastPrinted>2025-09-10T01:59:00Z</cp:lastPrinted>
  <dcterms:created xsi:type="dcterms:W3CDTF">2025-09-02T04:09:00Z</dcterms:created>
  <dcterms:modified xsi:type="dcterms:W3CDTF">2025-09-14T07:48:00Z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id="QsC9OCzs"/&gt;&lt;style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