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26443932"/>
        <w:docPartObj>
          <w:docPartGallery w:val="Cover Pages"/>
          <w:docPartUnique/>
        </w:docPartObj>
      </w:sdtPr>
      <w:sdtEndPr>
        <w:rPr>
          <w:rFonts w:ascii="Arial Black" w:hAnsi="Arial Black" w:cs="Arial"/>
          <w:color w:val="00B0F0"/>
          <w:u w:val="wavyHeavy"/>
        </w:rPr>
      </w:sdtEndPr>
      <w:sdtContent>
        <w:p w14:paraId="3B53B5F8" w14:textId="07E448D9" w:rsidR="007E0E53" w:rsidRPr="00592508" w:rsidRDefault="007E0E53" w:rsidP="007E0E53">
          <w:pPr>
            <w:rPr>
              <w:rFonts w:ascii="Arial Black" w:hAnsi="Arial Black"/>
            </w:rPr>
          </w:pPr>
          <w:r w:rsidRPr="00592508">
            <w:rPr>
              <w:rFonts w:ascii="Arial Black" w:hAnsi="Arial Black"/>
              <w:noProof/>
            </w:rPr>
            <mc:AlternateContent>
              <mc:Choice Requires="wps">
                <w:drawing>
                  <wp:anchor distT="0" distB="0" distL="114300" distR="114300" simplePos="0" relativeHeight="251660288" behindDoc="0" locked="0" layoutInCell="1" allowOverlap="1" wp14:anchorId="23E384CA" wp14:editId="7E5D45C6">
                    <wp:simplePos x="0" y="0"/>
                    <wp:positionH relativeFrom="page">
                      <wp:posOffset>4502552</wp:posOffset>
                    </wp:positionH>
                    <wp:positionV relativeFrom="page">
                      <wp:posOffset>214132</wp:posOffset>
                    </wp:positionV>
                    <wp:extent cx="2841954" cy="9655810"/>
                    <wp:effectExtent l="0" t="0" r="0"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1954"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stheme="minorBidi"/>
                                    <w:color w:val="FFFFFF" w:themeColor="background1"/>
                                    <w:sz w:val="96"/>
                                    <w:szCs w:val="96"/>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CBCC5BF" w14:textId="0DAD1CB7" w:rsidR="007E0E53" w:rsidRDefault="007E0E53">
                                    <w:pPr>
                                      <w:pStyle w:val="Subtitle"/>
                                      <w:rPr>
                                        <w:rFonts w:cstheme="minorBidi"/>
                                        <w:color w:val="FFFFFF" w:themeColor="background1"/>
                                      </w:rPr>
                                    </w:pPr>
                                    <w:r w:rsidRPr="007E0E53">
                                      <w:rPr>
                                        <w:rFonts w:ascii="Arial Black" w:hAnsi="Arial Black" w:cstheme="minorBidi"/>
                                        <w:color w:val="FFFFFF" w:themeColor="background1"/>
                                        <w:sz w:val="96"/>
                                        <w:szCs w:val="96"/>
                                      </w:rPr>
                                      <w:t xml:space="preserve">Report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23E384CA" id="Rectangle 268" o:spid="_x0000_s1026" style="position:absolute;margin-left:354.55pt;margin-top:16.85pt;width:223.8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" fillcolor="#0e2841 [3215]" stroked="f" strokeweight="1pt">
                    <v:textbox inset="14.4pt,,14.4pt">
                      <w:txbxContent>
                        <w:sdt>
                          <w:sdtPr>
                            <w:rPr>
                              <w:rFonts w:ascii="Arial Black" w:hAnsi="Arial Black" w:cstheme="minorBidi"/>
                              <w:color w:val="FFFFFF" w:themeColor="background1"/>
                              <w:sz w:val="96"/>
                              <w:szCs w:val="96"/>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CBCC5BF" w14:textId="0DAD1CB7" w:rsidR="007E0E53" w:rsidRDefault="007E0E53">
                              <w:pPr>
                                <w:pStyle w:val="Subtitle"/>
                                <w:rPr>
                                  <w:rFonts w:cstheme="minorBidi"/>
                                  <w:color w:val="FFFFFF" w:themeColor="background1"/>
                                </w:rPr>
                              </w:pPr>
                              <w:r w:rsidRPr="007E0E53">
                                <w:rPr>
                                  <w:rFonts w:ascii="Arial Black" w:hAnsi="Arial Black" w:cstheme="minorBidi"/>
                                  <w:color w:val="FFFFFF" w:themeColor="background1"/>
                                  <w:sz w:val="96"/>
                                  <w:szCs w:val="96"/>
                                </w:rPr>
                                <w:t xml:space="preserve">Report </w:t>
                              </w:r>
                            </w:p>
                          </w:sdtContent>
                        </w:sdt>
                      </w:txbxContent>
                    </v:textbox>
                    <w10:wrap anchorx="page" anchory="page"/>
                  </v:rect>
                </w:pict>
              </mc:Fallback>
            </mc:AlternateContent>
          </w:r>
          <w:r w:rsidRPr="00592508">
            <w:rPr>
              <w:rFonts w:ascii="Arial Black" w:hAnsi="Arial Black"/>
            </w:rPr>
            <w:t>Student name:</w:t>
          </w:r>
          <w:r w:rsidRPr="00592508">
            <w:rPr>
              <w:rFonts w:ascii="Arial Black" w:hAnsi="Arial Black"/>
            </w:rPr>
            <w:t xml:space="preserve"> Neculai Balaceanu</w:t>
          </w:r>
          <w:r w:rsidRPr="00592508">
            <w:rPr>
              <w:rFonts w:ascii="Arial Black" w:hAnsi="Arial Black"/>
            </w:rPr>
            <w:tab/>
            <w:t xml:space="preserve">     </w:t>
          </w:r>
        </w:p>
        <w:p w14:paraId="53DA657F" w14:textId="0537F85A" w:rsidR="007E0E53" w:rsidRPr="00592508" w:rsidRDefault="007E0E53" w:rsidP="007E0E53">
          <w:pPr>
            <w:rPr>
              <w:rFonts w:ascii="Arial Black" w:hAnsi="Arial Black"/>
            </w:rPr>
          </w:pPr>
          <w:r w:rsidRPr="00592508">
            <w:rPr>
              <w:rFonts w:ascii="Arial Black" w:hAnsi="Arial Black"/>
            </w:rPr>
            <w:t>Module:</w:t>
          </w:r>
          <w:r w:rsidRPr="00592508">
            <w:rPr>
              <w:rFonts w:ascii="Arial Black" w:hAnsi="Arial Black"/>
            </w:rPr>
            <w:t xml:space="preserve"> </w:t>
          </w:r>
          <w:r w:rsidRPr="00592508">
            <w:rPr>
              <w:rFonts w:ascii="Arial Black" w:hAnsi="Arial Black"/>
            </w:rPr>
            <w:t>Distinctiveness and Regeneration</w:t>
          </w:r>
        </w:p>
        <w:p w14:paraId="7C74A435" w14:textId="32232550" w:rsidR="007E0E53" w:rsidRPr="00592508" w:rsidRDefault="007E0E53" w:rsidP="007E0E53">
          <w:pPr>
            <w:rPr>
              <w:rFonts w:ascii="Arial Black" w:hAnsi="Arial Black"/>
            </w:rPr>
          </w:pPr>
          <w:r w:rsidRPr="00592508">
            <w:rPr>
              <w:rFonts w:ascii="Arial Black" w:hAnsi="Arial Black"/>
            </w:rPr>
            <w:t>Module code:</w:t>
          </w:r>
          <w:r w:rsidR="00592508">
            <w:rPr>
              <w:rFonts w:ascii="Arial Black" w:hAnsi="Arial Black"/>
            </w:rPr>
            <w:t xml:space="preserve"> </w:t>
          </w:r>
          <w:r w:rsidRPr="00592508">
            <w:rPr>
              <w:rFonts w:ascii="Arial Black" w:hAnsi="Arial Black"/>
            </w:rPr>
            <w:t>BMSP4014D</w:t>
          </w:r>
        </w:p>
        <w:p w14:paraId="3BB56E5F" w14:textId="68B1CBCC" w:rsidR="007E0E53" w:rsidRPr="00592508" w:rsidRDefault="007E0E53" w:rsidP="007E0E53">
          <w:pPr>
            <w:rPr>
              <w:rFonts w:ascii="Arial Black" w:hAnsi="Arial Black"/>
            </w:rPr>
          </w:pPr>
          <w:r w:rsidRPr="00592508">
            <w:rPr>
              <w:rFonts w:ascii="Arial Black" w:hAnsi="Arial Black"/>
            </w:rPr>
            <w:t>Lecturer:</w:t>
          </w:r>
          <w:r w:rsidRPr="00592508">
            <w:rPr>
              <w:rFonts w:ascii="Arial Black" w:hAnsi="Arial Black"/>
            </w:rPr>
            <w:t xml:space="preserve"> </w:t>
          </w:r>
          <w:r w:rsidRPr="00592508">
            <w:rPr>
              <w:rFonts w:ascii="Arial Black" w:hAnsi="Arial Black"/>
            </w:rPr>
            <w:t>Jessica Shore</w:t>
          </w:r>
        </w:p>
        <w:p w14:paraId="3A57F580" w14:textId="77777777" w:rsidR="007E0E53" w:rsidRDefault="007E0E53"/>
        <w:p w14:paraId="3BAB0287" w14:textId="2C9C6A9D" w:rsidR="007E0E53" w:rsidRDefault="007E0E53">
          <w:pPr>
            <w:rPr>
              <w:rFonts w:ascii="Arial Black" w:hAnsi="Arial Black" w:cs="Arial"/>
              <w:color w:val="00B0F0"/>
              <w:u w:val="wavyHeavy"/>
            </w:rPr>
          </w:pPr>
          <w:r>
            <w:rPr>
              <w:rFonts w:ascii="Arial Black" w:hAnsi="Arial Black" w:cs="Arial"/>
              <w:color w:val="00B0F0"/>
              <w:u w:val="wavyHeavy"/>
            </w:rPr>
            <w:br w:type="page"/>
          </w:r>
        </w:p>
      </w:sdtContent>
    </w:sdt>
    <w:p w14:paraId="25623A84" w14:textId="2B38C359" w:rsidR="000F5490" w:rsidRDefault="000F5490" w:rsidP="000F5490">
      <w:pPr>
        <w:spacing w:line="480" w:lineRule="auto"/>
        <w:rPr>
          <w:rFonts w:ascii="Arial" w:hAnsi="Arial" w:cs="Arial"/>
        </w:rPr>
      </w:pPr>
      <w:r w:rsidRPr="000F5490">
        <w:rPr>
          <w:rFonts w:ascii="Arial Black" w:hAnsi="Arial Black" w:cs="Arial"/>
          <w:color w:val="00B0F0"/>
          <w:u w:val="wavyHeavy"/>
        </w:rPr>
        <w:lastRenderedPageBreak/>
        <w:t>Changing fortunes</w:t>
      </w:r>
      <w:r w:rsidRPr="000F5490">
        <w:rPr>
          <w:rFonts w:ascii="Arial" w:hAnsi="Arial" w:cs="Arial"/>
        </w:rPr>
        <w:br/>
        <w:t xml:space="preserve">Cardiff, </w:t>
      </w:r>
      <w:r w:rsidR="00BB4146" w:rsidRPr="000F5490">
        <w:rPr>
          <w:rFonts w:ascii="Arial" w:hAnsi="Arial" w:cs="Arial"/>
        </w:rPr>
        <w:t>Wales’s</w:t>
      </w:r>
      <w:r w:rsidRPr="000F5490">
        <w:rPr>
          <w:rFonts w:ascii="Arial" w:hAnsi="Arial" w:cs="Arial"/>
        </w:rPr>
        <w:t xml:space="preserve"> capital, has experienced enormous economic and social upheavals during the last two centuries, reflecting greater shifts in industrial methods, global trade patterns, and local governing ideologies. Cardiff rose to prominence as a coal-exporting port in the nineteenth century. The city's docks, powered by the rich coalfields of the South Wales Valleys, permitted a thriving marine trade, propelling Cardiff's expansion and population increase (Jones and Evans, 2006). During this time, the city's fortunes were entwined with those of coal, resulting in a rapid growth in its economic and political power. By the early twentieth century, Cardiff's port was exporting millions of tonnes of coal each year, making it the world's largest coal-exporting port and earning the nickname "Coal Metropolis."</w:t>
      </w:r>
      <w:r w:rsidRPr="000F5490">
        <w:rPr>
          <w:rFonts w:ascii="Arial" w:hAnsi="Arial" w:cs="Arial"/>
        </w:rPr>
        <w:br/>
        <w:t>However, the mid-twentieth century presented significant hurdles as worldwide demand for coal fell and alternative energy sources gained ground. Heavy industries, particularly steel and coal mining, were gradually phased out, resulting in widespread unemployment and urban deterioration in Cardiff (Welsh Government, 2021). The closing of local collieries caused social upheaval, as entire villages that relied on coal-related jobs faced economic difficulties. This transition was not unique to Cardiff; many British cities experienced industrial decline in the postwar years. Nonetheless, Cardiff's voyage was unique due to its reliance on maritime coal exports, which left massive docklands underutilised and in need of extensive renovation.</w:t>
      </w:r>
      <w:r w:rsidRPr="000F5490">
        <w:rPr>
          <w:rFonts w:ascii="Arial" w:hAnsi="Arial" w:cs="Arial"/>
        </w:rPr>
        <w:br/>
        <w:t xml:space="preserve">By the 1970s and 1980s, it was clear that Cardiff needed to take a new route </w:t>
      </w:r>
      <w:r w:rsidR="00BB4146" w:rsidRPr="000F5490">
        <w:rPr>
          <w:rFonts w:ascii="Arial" w:hAnsi="Arial" w:cs="Arial"/>
        </w:rPr>
        <w:t>to</w:t>
      </w:r>
      <w:r w:rsidRPr="000F5490">
        <w:rPr>
          <w:rFonts w:ascii="Arial" w:hAnsi="Arial" w:cs="Arial"/>
        </w:rPr>
        <w:t xml:space="preserve"> address the long-term repercussions of deindustrialisation. The city's officials and stakeholders recognised that a complete regeneration strategy must go beyond surface economic measures and include the social, cultural, and environmental </w:t>
      </w:r>
      <w:r w:rsidRPr="000F5490">
        <w:rPr>
          <w:rFonts w:ascii="Arial" w:hAnsi="Arial" w:cs="Arial"/>
        </w:rPr>
        <w:lastRenderedPageBreak/>
        <w:t>components of urban life. Strategies for diversifying Cardiff's economy arose, with a concentration on service sectors such as banking, retail, tourism, and the creative industries (Murray 2017). This momentum paved the way for huge regeneration projects that transformed the city's image both domestically and globally.</w:t>
      </w:r>
      <w:r w:rsidRPr="000F5490">
        <w:rPr>
          <w:rFonts w:ascii="Arial" w:hAnsi="Arial" w:cs="Arial"/>
        </w:rPr>
        <w:br/>
        <w:t xml:space="preserve">The rehabilitation of Cardiff Bay is one of the most iconic developments of the late twentieth century. Previously known as Tiger Bay, the docklands area had become identified with abandoned industrial sites and socioeconomic issues. The Cardiff Bay Development Corporation (founded in 1987) was instrumental in transforming this waterfront neighbourhood into a thriving centre for culture, politics, and recreation. The Cardiff Bay Barrage, which created a freshwater lake, as well as large infrastructural investments, resulted in the erection of the Wales Millennium Centre, the Senedd (Welsh Parliament building), and </w:t>
      </w:r>
      <w:r w:rsidRPr="000F5490">
        <w:rPr>
          <w:rFonts w:ascii="Arial" w:hAnsi="Arial" w:cs="Arial"/>
        </w:rPr>
        <w:t>several</w:t>
      </w:r>
      <w:r w:rsidRPr="000F5490">
        <w:rPr>
          <w:rFonts w:ascii="Arial" w:hAnsi="Arial" w:cs="Arial"/>
        </w:rPr>
        <w:t xml:space="preserve"> cultural and residential complexes. This transition represented a larger story of rebirth, a shift away from heavy industry and towards post-industrial service-oriented growth.</w:t>
      </w:r>
      <w:r w:rsidRPr="000F5490">
        <w:rPr>
          <w:rFonts w:ascii="Arial" w:hAnsi="Arial" w:cs="Arial"/>
        </w:rPr>
        <w:br/>
        <w:t>Despite the benefits in Cardiff Bay, discrepancies remained in nearby neighbourhoods that did not benefit as directly from the regeneration. Areas farthest from the city centre frequently struggled with unemployment, poor housing, and lower educational achievement (Murray, 2017). While Cardiff's fortunes had improved drastically in some areas of the city, there was still a pressing need to ensure that redevelopment initiatives were inclusive and benefited a broader cross-section of the community.</w:t>
      </w:r>
      <w:r w:rsidRPr="000F5490">
        <w:rPr>
          <w:rFonts w:ascii="Arial" w:hAnsi="Arial" w:cs="Arial"/>
        </w:rPr>
        <w:br/>
        <w:t xml:space="preserve">Cardiff was also establishing itself as a centre of administration, with the city holding the main institutions of Welsh devolution after 1999. The formation of the National Assembly for Wales (now Senedd Cymru) increased the city's political relevance and sparked infrastructure expenditures in the Bay area. This political transition not only </w:t>
      </w:r>
      <w:r w:rsidRPr="000F5490">
        <w:rPr>
          <w:rFonts w:ascii="Arial" w:hAnsi="Arial" w:cs="Arial"/>
        </w:rPr>
        <w:lastRenderedPageBreak/>
        <w:t xml:space="preserve">created jobs in public administration and government </w:t>
      </w:r>
      <w:r w:rsidRPr="000F5490">
        <w:rPr>
          <w:rFonts w:ascii="Arial" w:hAnsi="Arial" w:cs="Arial"/>
        </w:rPr>
        <w:t>services but</w:t>
      </w:r>
      <w:r w:rsidRPr="000F5490">
        <w:rPr>
          <w:rFonts w:ascii="Arial" w:hAnsi="Arial" w:cs="Arial"/>
        </w:rPr>
        <w:t xml:space="preserve"> also raised Cardiff's status as a capital city capable of hosting international events and establishing worldwide linkages (</w:t>
      </w:r>
      <w:proofErr w:type="spellStart"/>
      <w:r w:rsidRPr="000F5490">
        <w:rPr>
          <w:rFonts w:ascii="Arial" w:hAnsi="Arial" w:cs="Arial"/>
        </w:rPr>
        <w:t>Ingebritsen</w:t>
      </w:r>
      <w:proofErr w:type="spellEnd"/>
      <w:r w:rsidRPr="000F5490">
        <w:rPr>
          <w:rFonts w:ascii="Arial" w:hAnsi="Arial" w:cs="Arial"/>
        </w:rPr>
        <w:t>, 2010). The Principality Stadium and other world-class venues hosted important athletic and cultural events, bringing people and cash to the city and maintaining Cardiff's rising trend.</w:t>
      </w:r>
      <w:r w:rsidRPr="000F5490">
        <w:rPr>
          <w:rFonts w:ascii="Arial" w:hAnsi="Arial" w:cs="Arial"/>
        </w:rPr>
        <w:br/>
        <w:t>Cardiff's fortunes have been influenced in recent years by greater globalisation trends, such as the emergence of digital industries and the evolving expectations of a post-pandemic world. These transformations have highlighted the necessity of innovation, digital infrastructure, and resilience in urban planning. Cardiff faces the task of integrating these new paradigms into its urban landscape while also assuring equitable, environmentally sustainable, and culturally vibrant economic growth. The city's current fortunes can be viewed as a tapestry woven from its industrial past, aggressive rehabilitation programs, and burgeoning status as a contemporary, forward-thinking metropolis. Balancing these aspects is critical to establishing Cardiff's future trajectory and ensuring that the city's economic change translates into broader social well-being for all citizens.</w:t>
      </w:r>
    </w:p>
    <w:p w14:paraId="72C1662B" w14:textId="3EE9D706" w:rsidR="00BB4146" w:rsidRPr="00BB4146" w:rsidRDefault="00BB4146" w:rsidP="000F5490">
      <w:pPr>
        <w:spacing w:line="480" w:lineRule="auto"/>
        <w:rPr>
          <w:rFonts w:ascii="Arial Black" w:hAnsi="Arial Black" w:cs="Arial"/>
          <w:color w:val="00B0F0"/>
          <w:u w:val="double"/>
        </w:rPr>
      </w:pPr>
      <w:r w:rsidRPr="00BB4146">
        <w:rPr>
          <w:rFonts w:ascii="Arial Black" w:hAnsi="Arial Black" w:cs="Arial"/>
          <w:color w:val="00B0F0"/>
          <w:u w:val="double"/>
        </w:rPr>
        <w:t>Existing Assets, Structures and Economic Character</w:t>
      </w:r>
    </w:p>
    <w:p w14:paraId="461B4FE7" w14:textId="303B4DEC" w:rsidR="00BB4146" w:rsidRDefault="00BB4146" w:rsidP="00BB4146">
      <w:pPr>
        <w:spacing w:line="480" w:lineRule="auto"/>
        <w:rPr>
          <w:rFonts w:ascii="Arial" w:hAnsi="Arial" w:cs="Arial"/>
        </w:rPr>
      </w:pPr>
      <w:r w:rsidRPr="00BB4146">
        <w:rPr>
          <w:rFonts w:ascii="Arial" w:hAnsi="Arial" w:cs="Arial"/>
        </w:rPr>
        <w:t>Cardiff has changed from an industrial dock area to a lively city focused on culture and services. This change is shown in its buildings and the economy that supports its growth. These factors work together, combining the city's history with new areas of growth and a more varied economy.</w:t>
      </w:r>
      <w:r w:rsidRPr="00BB4146">
        <w:rPr>
          <w:rFonts w:ascii="Arial" w:hAnsi="Arial" w:cs="Arial"/>
        </w:rPr>
        <w:br/>
        <w:t xml:space="preserve">Cardiff Bay is an important part of the city, representing how it has changed and improved after facing problems from industrial decline. Cardiff Bay was once famous for exporting coal, but now it has been transformed into a lively area with </w:t>
      </w:r>
      <w:r w:rsidRPr="00BB4146">
        <w:rPr>
          <w:rFonts w:ascii="Arial" w:hAnsi="Arial" w:cs="Arial"/>
        </w:rPr>
        <w:lastRenderedPageBreak/>
        <w:t>government buildings, cultural sites, and places to relax. The Senedd building, which opened in 2006, symbolises Welsh self-governance and Cardiff's role as the government centre of Wales. Next to it is the Wales Millennium Centre, an important cultural place that has held famous events, showing the city's support for the performing arts. Together, these buildings give Cardiff Bay an international feel, making it a popular place for tourists and a centre for local people looking for fun and community activities.</w:t>
      </w:r>
      <w:r w:rsidRPr="00BB4146">
        <w:rPr>
          <w:rFonts w:ascii="Arial" w:hAnsi="Arial" w:cs="Arial"/>
        </w:rPr>
        <w:br/>
        <w:t>Cardiff's city centre has a mix of old Victorian and Edwardian buildings, modern shopping centres, and historic streets. Landmarks like St. David’s Dewi Sant, one of the biggest shopping centres in the UK, highlight Cardiff's importance as a major shopping destination (Cardiff Council, 2021). The lively shopping area is supported by a great food scene, many hotel options, and a busy nightlife that serves both locals and tourists. The city centre is easy to walk around and has well-kept historic buildings, which gives it a unique feel that draws in both business and tourists.</w:t>
      </w:r>
      <w:r w:rsidRPr="00BB4146">
        <w:rPr>
          <w:rFonts w:ascii="Arial" w:hAnsi="Arial" w:cs="Arial"/>
        </w:rPr>
        <w:br/>
        <w:t>Another important part of Cardiff's economy comes from its sports and culture venues. The Principality Stadium, located in the centre of the city, is known for holding important international rugby and football games, as well as concerts and other big events. This site helps the local economy by attracting tourists and spending related to events. It also boosts local and national pride (Jones and Evans, 2006). With Cardiff City Stadium and other sports venues, Cardiff has become a top sports destination, strengthening its reputation worldwide.</w:t>
      </w:r>
      <w:r w:rsidRPr="00BB4146">
        <w:rPr>
          <w:rFonts w:ascii="Arial" w:hAnsi="Arial" w:cs="Arial"/>
        </w:rPr>
        <w:br/>
        <w:t xml:space="preserve">Education and innovation form yet another layer of Cardiff’s economic mosaic. The city has many colleges and universities, with Cardiff University being a well-known research university recognised around the world (Murray, 2017). These institutions create a skilled workforce, support study in important areas like life sciences and </w:t>
      </w:r>
      <w:r w:rsidRPr="00BB4146">
        <w:rPr>
          <w:rFonts w:ascii="Arial" w:hAnsi="Arial" w:cs="Arial"/>
        </w:rPr>
        <w:lastRenderedPageBreak/>
        <w:t>engineering and</w:t>
      </w:r>
      <w:r w:rsidRPr="00BB4146">
        <w:rPr>
          <w:rFonts w:ascii="Arial" w:hAnsi="Arial" w:cs="Arial"/>
        </w:rPr>
        <w:t xml:space="preserve"> draw many international students. Cardiff shows its dedication to developing knowledge-based industries through startup centres, innovation hubs, and partnerships with private companies. This change has helped Cardiff move beyond its old industries, focussing on technology, artistic jobs, and professional services as key parts of the local economy.</w:t>
      </w:r>
      <w:r w:rsidRPr="00BB4146">
        <w:rPr>
          <w:rFonts w:ascii="Arial" w:hAnsi="Arial" w:cs="Arial"/>
        </w:rPr>
        <w:br/>
        <w:t>Cardiff is in a good spot that links it to important economic areas and nearby cities. Being close to Bristol, the Midlands, and London gives companies a logistical benefit, especially for those looking to set up regional offices with lower costs than in bigger UK cities (</w:t>
      </w:r>
      <w:proofErr w:type="spellStart"/>
      <w:r w:rsidRPr="00BB4146">
        <w:rPr>
          <w:rFonts w:ascii="Arial" w:hAnsi="Arial" w:cs="Arial"/>
        </w:rPr>
        <w:t>Ingebritsen</w:t>
      </w:r>
      <w:proofErr w:type="spellEnd"/>
      <w:r w:rsidRPr="00BB4146">
        <w:rPr>
          <w:rFonts w:ascii="Arial" w:hAnsi="Arial" w:cs="Arial"/>
        </w:rPr>
        <w:t>, 2010). Cardiff Airport provides foreign connections. Although it is smaller than airports in Manchester or London, it helps with business travel and tourism. Cardiff's financial and professional services sector is expanding, attracting many global companies to set up offices there. This shows that the city is competitive in bringing in investments.</w:t>
      </w:r>
      <w:r w:rsidRPr="00BB4146">
        <w:rPr>
          <w:rFonts w:ascii="Arial" w:hAnsi="Arial" w:cs="Arial"/>
        </w:rPr>
        <w:br/>
        <w:t xml:space="preserve">Cardiff has a rich history and culture, with attractions like Cardiff Castle and several museums, which support a growing tourism business. Visitors come for history, culture, and sports, which creates a constant need for places to stay, eat, and have fun all year round. This shows that Cardiff plays an important role in Welsh tourism. Cultural festivals like the Cardiff Festival and </w:t>
      </w:r>
      <w:proofErr w:type="spellStart"/>
      <w:r w:rsidRPr="00BB4146">
        <w:rPr>
          <w:rFonts w:ascii="Arial" w:hAnsi="Arial" w:cs="Arial"/>
        </w:rPr>
        <w:t>Tafwyl</w:t>
      </w:r>
      <w:proofErr w:type="spellEnd"/>
      <w:r w:rsidRPr="00BB4146">
        <w:rPr>
          <w:rFonts w:ascii="Arial" w:hAnsi="Arial" w:cs="Arial"/>
        </w:rPr>
        <w:t>, which celebrates the Welsh language, highlight Cardiff's lively and welcoming character.</w:t>
      </w:r>
      <w:r w:rsidRPr="00BB4146">
        <w:rPr>
          <w:rFonts w:ascii="Arial" w:hAnsi="Arial" w:cs="Arial"/>
        </w:rPr>
        <w:br/>
        <w:t xml:space="preserve">Finally, Cardiff’s economic character is closely tied to ongoing regeneration projects aimed at extending wealth beyond the city centre and Cardiff Bay into outlying neighbourhoods. The city is focused on fair growth through projects like green infrastructure, social housing, and community development (Creative Cardiff, 2021). Finding a balance between preserving historical sites and developing new buildings is a major task that needs thoughtful city planning. The city’s ability to change its </w:t>
      </w:r>
      <w:r w:rsidRPr="00BB4146">
        <w:rPr>
          <w:rFonts w:ascii="Arial" w:hAnsi="Arial" w:cs="Arial"/>
        </w:rPr>
        <w:lastRenderedPageBreak/>
        <w:t>buildings and resources for new purposes, while keeping its unique personality, shows the strength that supports Cardiff's current economy. The mix of custom and modern life, as well as business and culture, shows what makes Cardiff special and highlights its diverse economy that has developed from its industrial history.</w:t>
      </w:r>
    </w:p>
    <w:p w14:paraId="3B9E3B92" w14:textId="0E6F5B29" w:rsidR="00BB4146" w:rsidRPr="00BB4146" w:rsidRDefault="00BB4146" w:rsidP="00BB4146">
      <w:pPr>
        <w:spacing w:line="480" w:lineRule="auto"/>
        <w:rPr>
          <w:rFonts w:ascii="Arial Black" w:hAnsi="Arial Black" w:cs="Arial"/>
          <w:color w:val="00B0F0"/>
          <w:u w:val="double"/>
        </w:rPr>
      </w:pPr>
      <w:r w:rsidRPr="00BB4146">
        <w:rPr>
          <w:rFonts w:ascii="Arial Black" w:hAnsi="Arial Black" w:cs="Arial"/>
          <w:color w:val="00B0F0"/>
          <w:u w:val="double"/>
        </w:rPr>
        <w:t>Key Stakeholders and Interest Groups</w:t>
      </w:r>
    </w:p>
    <w:p w14:paraId="482A1186" w14:textId="2850A601" w:rsidR="00BB4146" w:rsidRPr="009C03EC" w:rsidRDefault="00BB4146" w:rsidP="00BB4146">
      <w:pPr>
        <w:spacing w:line="480" w:lineRule="auto"/>
        <w:rPr>
          <w:rFonts w:ascii="Arial Black" w:hAnsi="Arial Black" w:cs="Arial"/>
          <w:color w:val="00B0F0"/>
          <w:u w:val="double"/>
        </w:rPr>
      </w:pPr>
      <w:r w:rsidRPr="00BB4146">
        <w:rPr>
          <w:rFonts w:ascii="Arial" w:hAnsi="Arial" w:cs="Arial"/>
        </w:rPr>
        <w:t>Multiple stakeholders and interest groups shape policy, investment, and community development in Cardiff's redevelopment. These include governments, businesses, universities, community groups, and cultural organisations. Each sector contributes unique viewpoints, resources, and goals that shape the city's evolution.</w:t>
      </w:r>
      <w:r w:rsidRPr="00BB4146">
        <w:rPr>
          <w:rFonts w:ascii="Arial" w:hAnsi="Arial" w:cs="Arial"/>
        </w:rPr>
        <w:br/>
        <w:t>Cardiff Council and the Welsh Government define strategic directions, approve development plans, and provide funds (Welsh Government, 2021). For instance, Cardiff Council's planning department creates land use policies, infrastructure investments, and housing programs that support regeneration. Under the devolved political structure, the Welsh Government manages regional economic plans and funds programs like the Cardiff Capital Region City Deal. These government layers work together to align local initiatives with national aims, providing a unified urban development strategy.</w:t>
      </w:r>
      <w:r w:rsidRPr="00BB4146">
        <w:rPr>
          <w:rFonts w:ascii="Arial" w:hAnsi="Arial" w:cs="Arial"/>
        </w:rPr>
        <w:br/>
        <w:t xml:space="preserve">Multinational corporations and local businesses make up the private sector. Cardiff's affordable prices, talented workforce, and expanding connections attract multinational enterprises in financial services and technology (Murray, 2017). Their presence increases employment and commercial real estate demand, spurring office space and amenity expenditures. Local businesses, from city centre shops to tiny firms in growing neighbourhoods, boost Cardiff's economic variety. They often support redevelopment projects that boost foot traffic, community vitality, and quality </w:t>
      </w:r>
      <w:r w:rsidRPr="00BB4146">
        <w:rPr>
          <w:rFonts w:ascii="Arial" w:hAnsi="Arial" w:cs="Arial"/>
        </w:rPr>
        <w:lastRenderedPageBreak/>
        <w:t>of life. To promote pro-business legislation, streamlined planning, and infrastructural improvements for the business sector, the Cardiff Business Council speaks out.</w:t>
      </w:r>
      <w:r w:rsidRPr="00BB4146">
        <w:rPr>
          <w:rFonts w:ascii="Arial" w:hAnsi="Arial" w:cs="Arial"/>
        </w:rPr>
        <w:br/>
        <w:t>Community groups and residents shape the city's regeneration story through grassroots engagement, local activism, and participatory planning. These stakeholders are directly involved in regeneration projects that meet local needs like affordable housing, open spaces, and community cohesiveness (Jones and Evans, 2006). Preservation of historical structures, investment in community centres, and transportation improvements to peripheral sections of the city are common lobbying priorities for neighbourhood or demographic groups. Effective community discussions can prevent social dislocation, boost development support, and encourage equitable growth. As Cardiff's demographics diversify, inclusive redevelopment that serves many cultures and socioeconomic backgrounds is crucial.</w:t>
      </w:r>
      <w:r w:rsidRPr="00BB4146">
        <w:rPr>
          <w:rFonts w:ascii="Arial" w:hAnsi="Arial" w:cs="Arial"/>
        </w:rPr>
        <w:br/>
        <w:t>Cardiff is heavily influenced by academic institutions like Cardiff University, Cardiff Metropolitan University, and the University of South Wales. These universities teach workers for new industries and interact with the public and private sectors on urban issues including sustainability and digital innovation (Creative Cardiff, 2021). Universities promote entrepreneurial ecosystems, which create startup incubators and technology hubs, accelerating the city's knowledge-based economy. Students, both domestic and international, drive demand for housing, retail, and leisure activities.</w:t>
      </w:r>
      <w:r w:rsidRPr="00BB4146">
        <w:rPr>
          <w:rFonts w:ascii="Arial" w:hAnsi="Arial" w:cs="Arial"/>
        </w:rPr>
        <w:br/>
        <w:t>Cardiff's character and economy are shaped by artists collectives, galleries, and prominent sports clubs. The Wales Millennium Centre, Principality Stadium, and National Museum Cardiff boost the city's culture, tourism, and community (</w:t>
      </w:r>
      <w:proofErr w:type="spellStart"/>
      <w:r w:rsidRPr="00BB4146">
        <w:rPr>
          <w:rFonts w:ascii="Arial" w:hAnsi="Arial" w:cs="Arial"/>
        </w:rPr>
        <w:t>Ingebritsen</w:t>
      </w:r>
      <w:proofErr w:type="spellEnd"/>
      <w:r w:rsidRPr="00BB4146">
        <w:rPr>
          <w:rFonts w:ascii="Arial" w:hAnsi="Arial" w:cs="Arial"/>
        </w:rPr>
        <w:t xml:space="preserve">, 2010). In addition to promoting creative talent, local arts groups and independent music venues highlight under-represented voices. Rugby and football </w:t>
      </w:r>
      <w:r w:rsidRPr="00BB4146">
        <w:rPr>
          <w:rFonts w:ascii="Arial" w:hAnsi="Arial" w:cs="Arial"/>
        </w:rPr>
        <w:lastRenderedPageBreak/>
        <w:t>clubs unify communities and boost Cardiff's international status. This cultural and sporting tapestry makes Cardiff a desirable destination to live, work, and visit.</w:t>
      </w:r>
      <w:r w:rsidRPr="00BB4146">
        <w:rPr>
          <w:rFonts w:ascii="Arial" w:hAnsi="Arial" w:cs="Arial"/>
        </w:rPr>
        <w:br/>
        <w:t>Finally, social welfare, environmental, and community development NGOs and charities add to the stakeholder landscape. Homeless, youth, and environmental groups generally support socially responsible and sustainable urban policy. Their collaborations with local governments and enterprises can reduce inequalities, protect habitats, and promote health. Cardiff environmental groups have promoted cycling lanes, air quality, and green belt conservation to support sustainability (Nelson, 2021).</w:t>
      </w:r>
      <w:r w:rsidRPr="00BB4146">
        <w:rPr>
          <w:rFonts w:ascii="Arial" w:hAnsi="Arial" w:cs="Arial"/>
        </w:rPr>
        <w:br/>
      </w:r>
      <w:r w:rsidR="009C03EC" w:rsidRPr="009C03EC">
        <w:rPr>
          <w:rFonts w:ascii="Arial Black" w:hAnsi="Arial Black" w:cs="Arial"/>
          <w:color w:val="00B0F0"/>
          <w:u w:val="double"/>
        </w:rPr>
        <w:t>Local/Regional Development Strategies</w:t>
      </w:r>
    </w:p>
    <w:p w14:paraId="256F0D47" w14:textId="65C29530" w:rsidR="009C03EC" w:rsidRDefault="009C03EC" w:rsidP="009C03EC">
      <w:pPr>
        <w:spacing w:line="480" w:lineRule="auto"/>
        <w:rPr>
          <w:rFonts w:ascii="Arial" w:hAnsi="Arial" w:cs="Arial"/>
        </w:rPr>
      </w:pPr>
      <w:r w:rsidRPr="009C03EC">
        <w:rPr>
          <w:rFonts w:ascii="Arial" w:hAnsi="Arial" w:cs="Arial"/>
        </w:rPr>
        <w:t>Cardiff's local and regional development initiatives seek to sustain growth, promote inclusion, and adhere to worldwide best practices for urban sustainability. These methods build on previous regeneration accomplishments, particularly in Cardiff Bay, while also addressing persistent disparities and new issues such as climate change. Cardiff's strategic planning activities centre on four key elements: the Cardiff Capital Region City Deal, environmental sustainability and green space projects, improved connectivity, and a cultural/tourism-driven approach to placemaking.</w:t>
      </w:r>
      <w:r w:rsidRPr="009C03EC">
        <w:rPr>
          <w:rFonts w:ascii="Arial" w:hAnsi="Arial" w:cs="Arial"/>
        </w:rPr>
        <w:br/>
        <w:t>The City Deal, worth more than £1 billion, focusses on infrastructural improvements, digital connectivity, and programs that promote innovation and enterprise. The Metro project intends to improve public transport and diversify the region's economy. Cardiff's municipal policy agendas prioritise environmental sustainability and green space development, which includes incorporating parks, tree-lined boulevards, and biological corridors into urban development.</w:t>
      </w:r>
      <w:r w:rsidRPr="009C03EC">
        <w:rPr>
          <w:rFonts w:ascii="Arial" w:hAnsi="Arial" w:cs="Arial"/>
        </w:rPr>
        <w:br/>
        <w:t xml:space="preserve">Cardiff's overall growth strategy relies heavily on improved digital and physical connectivity. Broadband expansion, 5G networks, and smart city solutions based on </w:t>
      </w:r>
      <w:r w:rsidRPr="009C03EC">
        <w:rPr>
          <w:rFonts w:ascii="Arial" w:hAnsi="Arial" w:cs="Arial"/>
        </w:rPr>
        <w:lastRenderedPageBreak/>
        <w:t>data analytics and IoT technologies are critical for increasing remote work options, supporting telemedicine projects, and attracting high-tech enterprises.</w:t>
      </w:r>
      <w:r w:rsidRPr="009C03EC">
        <w:rPr>
          <w:rFonts w:ascii="Arial" w:hAnsi="Arial" w:cs="Arial"/>
        </w:rPr>
        <w:br/>
        <w:t xml:space="preserve">Cultural and tourism-driven plans have enormous promise for Cardiff's local and regional development, establishing the city as a top cultural destination. The city's leadership recognises that strategic investments must be egalitarian and future-proof, in accordance with </w:t>
      </w:r>
      <w:r w:rsidRPr="009C03EC">
        <w:rPr>
          <w:rFonts w:ascii="Arial" w:hAnsi="Arial" w:cs="Arial"/>
        </w:rPr>
        <w:t>Wales’s</w:t>
      </w:r>
      <w:r w:rsidRPr="009C03EC">
        <w:rPr>
          <w:rFonts w:ascii="Arial" w:hAnsi="Arial" w:cs="Arial"/>
        </w:rPr>
        <w:t xml:space="preserve"> Well-being of Future Generations Act 2015, which requires sustainable, inclusive growth.</w:t>
      </w:r>
    </w:p>
    <w:p w14:paraId="245C0ADF" w14:textId="77777777" w:rsidR="009C03EC" w:rsidRDefault="009C03EC" w:rsidP="009C03EC">
      <w:pPr>
        <w:spacing w:line="480" w:lineRule="auto"/>
        <w:rPr>
          <w:rFonts w:ascii="Arial" w:hAnsi="Arial" w:cs="Arial"/>
        </w:rPr>
      </w:pPr>
    </w:p>
    <w:p w14:paraId="4BEB6B33" w14:textId="77777777" w:rsidR="009C03EC" w:rsidRDefault="009C03EC" w:rsidP="009C03EC">
      <w:pPr>
        <w:spacing w:line="480" w:lineRule="auto"/>
        <w:rPr>
          <w:rFonts w:ascii="Arial" w:hAnsi="Arial" w:cs="Arial"/>
        </w:rPr>
      </w:pPr>
    </w:p>
    <w:p w14:paraId="3A30BB2B" w14:textId="77777777" w:rsidR="009C03EC" w:rsidRDefault="009C03EC" w:rsidP="009C03EC">
      <w:pPr>
        <w:spacing w:line="480" w:lineRule="auto"/>
        <w:rPr>
          <w:rFonts w:ascii="Arial" w:hAnsi="Arial" w:cs="Arial"/>
        </w:rPr>
      </w:pPr>
    </w:p>
    <w:p w14:paraId="7B2D6E36" w14:textId="77777777" w:rsidR="009C03EC" w:rsidRDefault="009C03EC" w:rsidP="009C03EC">
      <w:pPr>
        <w:spacing w:line="480" w:lineRule="auto"/>
        <w:rPr>
          <w:rFonts w:ascii="Arial" w:hAnsi="Arial" w:cs="Arial"/>
        </w:rPr>
      </w:pPr>
    </w:p>
    <w:p w14:paraId="65FE8496" w14:textId="77777777" w:rsidR="009C03EC" w:rsidRDefault="009C03EC" w:rsidP="009C03EC">
      <w:pPr>
        <w:spacing w:line="480" w:lineRule="auto"/>
        <w:rPr>
          <w:rFonts w:ascii="Arial" w:hAnsi="Arial" w:cs="Arial"/>
        </w:rPr>
      </w:pPr>
    </w:p>
    <w:p w14:paraId="30543829" w14:textId="77777777" w:rsidR="009C03EC" w:rsidRDefault="009C03EC" w:rsidP="009C03EC">
      <w:pPr>
        <w:spacing w:line="480" w:lineRule="auto"/>
        <w:rPr>
          <w:rFonts w:ascii="Arial" w:hAnsi="Arial" w:cs="Arial"/>
        </w:rPr>
      </w:pPr>
    </w:p>
    <w:p w14:paraId="28C58CC8" w14:textId="77777777" w:rsidR="009C03EC" w:rsidRDefault="009C03EC" w:rsidP="009C03EC">
      <w:pPr>
        <w:spacing w:line="480" w:lineRule="auto"/>
        <w:rPr>
          <w:rFonts w:ascii="Arial" w:hAnsi="Arial" w:cs="Arial"/>
        </w:rPr>
      </w:pPr>
    </w:p>
    <w:p w14:paraId="240C12EA" w14:textId="77777777" w:rsidR="009C03EC" w:rsidRDefault="009C03EC" w:rsidP="009C03EC">
      <w:pPr>
        <w:spacing w:line="480" w:lineRule="auto"/>
        <w:rPr>
          <w:rFonts w:ascii="Arial" w:hAnsi="Arial" w:cs="Arial"/>
        </w:rPr>
      </w:pPr>
    </w:p>
    <w:p w14:paraId="3A975737" w14:textId="77777777" w:rsidR="009C03EC" w:rsidRDefault="009C03EC" w:rsidP="009C03EC">
      <w:pPr>
        <w:spacing w:line="480" w:lineRule="auto"/>
        <w:rPr>
          <w:rFonts w:ascii="Arial" w:hAnsi="Arial" w:cs="Arial"/>
        </w:rPr>
      </w:pPr>
    </w:p>
    <w:p w14:paraId="375C7ED3" w14:textId="77777777" w:rsidR="009C03EC" w:rsidRDefault="009C03EC" w:rsidP="009C03EC">
      <w:pPr>
        <w:spacing w:line="480" w:lineRule="auto"/>
        <w:rPr>
          <w:rFonts w:ascii="Arial" w:hAnsi="Arial" w:cs="Arial"/>
        </w:rPr>
      </w:pPr>
    </w:p>
    <w:p w14:paraId="56CD78AB" w14:textId="77777777" w:rsidR="009C03EC" w:rsidRDefault="009C03EC" w:rsidP="009C03EC">
      <w:pPr>
        <w:spacing w:line="480" w:lineRule="auto"/>
        <w:rPr>
          <w:rFonts w:ascii="Arial" w:hAnsi="Arial" w:cs="Arial"/>
        </w:rPr>
      </w:pPr>
    </w:p>
    <w:p w14:paraId="1106C548" w14:textId="77777777" w:rsidR="009C03EC" w:rsidRDefault="009C03EC" w:rsidP="009C03EC">
      <w:pPr>
        <w:spacing w:line="480" w:lineRule="auto"/>
        <w:rPr>
          <w:rFonts w:ascii="Arial" w:hAnsi="Arial" w:cs="Arial"/>
        </w:rPr>
      </w:pPr>
    </w:p>
    <w:p w14:paraId="4875E917" w14:textId="77777777" w:rsidR="009C03EC" w:rsidRDefault="009C03EC" w:rsidP="009C03EC">
      <w:pPr>
        <w:spacing w:line="480" w:lineRule="auto"/>
        <w:rPr>
          <w:rFonts w:ascii="Arial" w:hAnsi="Arial" w:cs="Arial"/>
        </w:rPr>
      </w:pPr>
    </w:p>
    <w:p w14:paraId="1C0032CC" w14:textId="77777777" w:rsidR="009C03EC" w:rsidRDefault="009C03EC" w:rsidP="009C03EC">
      <w:pPr>
        <w:spacing w:line="480" w:lineRule="auto"/>
        <w:rPr>
          <w:rFonts w:ascii="Arial" w:hAnsi="Arial" w:cs="Arial"/>
        </w:rPr>
      </w:pPr>
    </w:p>
    <w:p w14:paraId="55475DDF" w14:textId="3BFF7AED" w:rsidR="009C03EC" w:rsidRPr="007E0E53" w:rsidRDefault="009C03EC" w:rsidP="009C03EC">
      <w:pPr>
        <w:spacing w:line="480" w:lineRule="auto"/>
        <w:rPr>
          <w:rFonts w:ascii="Arial Black" w:hAnsi="Arial Black" w:cs="Arial"/>
          <w:color w:val="00B0F0"/>
          <w:u w:val="double"/>
        </w:rPr>
      </w:pPr>
      <w:r w:rsidRPr="007E0E53">
        <w:rPr>
          <w:rFonts w:ascii="Arial Black" w:hAnsi="Arial Black" w:cs="Arial"/>
          <w:color w:val="00B0F0"/>
          <w:u w:val="double"/>
        </w:rPr>
        <w:lastRenderedPageBreak/>
        <w:t xml:space="preserve">References </w:t>
      </w:r>
    </w:p>
    <w:p w14:paraId="6F321291" w14:textId="77777777" w:rsidR="007E0E53" w:rsidRPr="007E0E53" w:rsidRDefault="007E0E53" w:rsidP="007E0E53">
      <w:pPr>
        <w:spacing w:line="480" w:lineRule="auto"/>
        <w:rPr>
          <w:rFonts w:ascii="Arial" w:hAnsi="Arial" w:cs="Arial"/>
        </w:rPr>
      </w:pPr>
      <w:r w:rsidRPr="007E0E53">
        <w:rPr>
          <w:rFonts w:ascii="Arial" w:hAnsi="Arial" w:cs="Arial"/>
        </w:rPr>
        <w:t xml:space="preserve">All Party Urban Development Group (APUDG). (2009). </w:t>
      </w:r>
      <w:r w:rsidRPr="007E0E53">
        <w:rPr>
          <w:rFonts w:ascii="Arial" w:hAnsi="Arial" w:cs="Arial"/>
          <w:i/>
          <w:iCs/>
        </w:rPr>
        <w:t>Regeneration and the recession.</w:t>
      </w:r>
      <w:r w:rsidRPr="007E0E53">
        <w:rPr>
          <w:rFonts w:ascii="Arial" w:hAnsi="Arial" w:cs="Arial"/>
        </w:rPr>
        <w:t xml:space="preserve"> London: All Party Urban Development Group.</w:t>
      </w:r>
    </w:p>
    <w:p w14:paraId="50057473" w14:textId="18297057" w:rsidR="007E0E53" w:rsidRDefault="007E0E53" w:rsidP="007E0E53">
      <w:pPr>
        <w:spacing w:line="480" w:lineRule="auto"/>
        <w:rPr>
          <w:rFonts w:ascii="Arial" w:hAnsi="Arial" w:cs="Arial"/>
        </w:rPr>
      </w:pPr>
      <w:r w:rsidRPr="007E0E53">
        <w:rPr>
          <w:rFonts w:ascii="Arial" w:hAnsi="Arial" w:cs="Arial"/>
        </w:rPr>
        <w:t xml:space="preserve">Barton, H., Grant, M., &amp; Guise, R. (2003). </w:t>
      </w:r>
      <w:r w:rsidRPr="007E0E53">
        <w:rPr>
          <w:rFonts w:ascii="Arial" w:hAnsi="Arial" w:cs="Arial"/>
          <w:i/>
          <w:iCs/>
        </w:rPr>
        <w:t xml:space="preserve">Shaping </w:t>
      </w:r>
      <w:r w:rsidRPr="007E0E53">
        <w:rPr>
          <w:rFonts w:ascii="Arial" w:hAnsi="Arial" w:cs="Arial"/>
          <w:i/>
          <w:iCs/>
        </w:rPr>
        <w:t>neighbourhoods</w:t>
      </w:r>
      <w:r w:rsidRPr="007E0E53">
        <w:rPr>
          <w:rFonts w:ascii="Arial" w:hAnsi="Arial" w:cs="Arial"/>
          <w:i/>
          <w:iCs/>
        </w:rPr>
        <w:t>: A guide for health, sustainability and vitality.</w:t>
      </w:r>
      <w:r w:rsidRPr="007E0E53">
        <w:rPr>
          <w:rFonts w:ascii="Arial" w:hAnsi="Arial" w:cs="Arial"/>
        </w:rPr>
        <w:t xml:space="preserve"> London: Spon.</w:t>
      </w:r>
    </w:p>
    <w:p w14:paraId="4E02CBE3" w14:textId="77777777" w:rsidR="007E0E53" w:rsidRPr="007E0E53" w:rsidRDefault="007E0E53" w:rsidP="007E0E53">
      <w:pPr>
        <w:spacing w:line="480" w:lineRule="auto"/>
        <w:rPr>
          <w:rFonts w:ascii="Arial" w:hAnsi="Arial" w:cs="Arial"/>
        </w:rPr>
      </w:pPr>
      <w:r w:rsidRPr="007E0E53">
        <w:rPr>
          <w:rFonts w:ascii="Arial" w:hAnsi="Arial" w:cs="Arial"/>
        </w:rPr>
        <w:t xml:space="preserve">Cardiff Council. (2021). </w:t>
      </w:r>
      <w:r w:rsidRPr="007E0E53">
        <w:rPr>
          <w:rFonts w:ascii="Arial" w:hAnsi="Arial" w:cs="Arial"/>
          <w:i/>
          <w:iCs/>
        </w:rPr>
        <w:t>Cardiff’s Future: A Vision for 2030</w:t>
      </w:r>
      <w:r w:rsidRPr="007E0E53">
        <w:rPr>
          <w:rFonts w:ascii="Arial" w:hAnsi="Arial" w:cs="Arial"/>
        </w:rPr>
        <w:t>. Cardiff Council Reports.</w:t>
      </w:r>
    </w:p>
    <w:p w14:paraId="75D54F73" w14:textId="355468CF" w:rsidR="007E0E53" w:rsidRPr="007E0E53" w:rsidRDefault="007E0E53" w:rsidP="007E0E53">
      <w:pPr>
        <w:spacing w:line="480" w:lineRule="auto"/>
        <w:rPr>
          <w:rFonts w:ascii="Arial" w:hAnsi="Arial" w:cs="Arial"/>
        </w:rPr>
      </w:pPr>
      <w:r w:rsidRPr="007E0E53">
        <w:rPr>
          <w:rFonts w:ascii="Arial" w:hAnsi="Arial" w:cs="Arial"/>
        </w:rPr>
        <w:t xml:space="preserve">Creative Cardiff. (2021). </w:t>
      </w:r>
      <w:r w:rsidRPr="007E0E53">
        <w:rPr>
          <w:rFonts w:ascii="Arial" w:hAnsi="Arial" w:cs="Arial"/>
          <w:i/>
          <w:iCs/>
        </w:rPr>
        <w:t>Supporting the Creative Economy: Strategies for Growth in Cardiff.</w:t>
      </w:r>
      <w:r w:rsidRPr="007E0E53">
        <w:rPr>
          <w:rFonts w:ascii="Arial" w:hAnsi="Arial" w:cs="Arial"/>
        </w:rPr>
        <w:t xml:space="preserve"> Creative Cardiff Reports.</w:t>
      </w:r>
    </w:p>
    <w:p w14:paraId="55389BC2" w14:textId="77777777" w:rsidR="007E0E53" w:rsidRPr="007E0E53" w:rsidRDefault="007E0E53" w:rsidP="007E0E53">
      <w:pPr>
        <w:spacing w:line="480" w:lineRule="auto"/>
        <w:rPr>
          <w:rFonts w:ascii="Arial" w:hAnsi="Arial" w:cs="Arial"/>
        </w:rPr>
      </w:pPr>
      <w:r w:rsidRPr="007E0E53">
        <w:rPr>
          <w:rFonts w:ascii="Arial" w:hAnsi="Arial" w:cs="Arial"/>
        </w:rPr>
        <w:t xml:space="preserve">Hackett, P. (Ed.). (2009). </w:t>
      </w:r>
      <w:r w:rsidRPr="007E0E53">
        <w:rPr>
          <w:rFonts w:ascii="Arial" w:hAnsi="Arial" w:cs="Arial"/>
          <w:i/>
          <w:iCs/>
        </w:rPr>
        <w:t>Regeneration in downturn: What needs to change?</w:t>
      </w:r>
      <w:r w:rsidRPr="007E0E53">
        <w:rPr>
          <w:rFonts w:ascii="Arial" w:hAnsi="Arial" w:cs="Arial"/>
        </w:rPr>
        <w:t xml:space="preserve"> London: The Smith Institute.</w:t>
      </w:r>
    </w:p>
    <w:p w14:paraId="0A11718D" w14:textId="77777777" w:rsidR="007E0E53" w:rsidRPr="007E0E53" w:rsidRDefault="007E0E53" w:rsidP="007E0E53">
      <w:pPr>
        <w:spacing w:line="480" w:lineRule="auto"/>
        <w:rPr>
          <w:rFonts w:ascii="Arial" w:hAnsi="Arial" w:cs="Arial"/>
        </w:rPr>
      </w:pPr>
      <w:r w:rsidRPr="007E0E53">
        <w:rPr>
          <w:rFonts w:ascii="Arial" w:hAnsi="Arial" w:cs="Arial"/>
        </w:rPr>
        <w:t xml:space="preserve">Hagerman, L. A., Clark, G. L., &amp; Hebb, T. (2007). Investment intermediaries in economic development: Linking public pension funds to urban revitalisation. </w:t>
      </w:r>
      <w:r w:rsidRPr="007E0E53">
        <w:rPr>
          <w:rFonts w:ascii="Arial" w:hAnsi="Arial" w:cs="Arial"/>
          <w:i/>
          <w:iCs/>
        </w:rPr>
        <w:t>Community Development Investment Review, 3</w:t>
      </w:r>
      <w:r w:rsidRPr="007E0E53">
        <w:rPr>
          <w:rFonts w:ascii="Arial" w:hAnsi="Arial" w:cs="Arial"/>
        </w:rPr>
        <w:t>(1), 45–65.</w:t>
      </w:r>
    </w:p>
    <w:p w14:paraId="13F9D6D7" w14:textId="77777777" w:rsidR="007E0E53" w:rsidRPr="007E0E53" w:rsidRDefault="007E0E53" w:rsidP="007E0E53">
      <w:pPr>
        <w:spacing w:line="480" w:lineRule="auto"/>
        <w:rPr>
          <w:rFonts w:ascii="Arial" w:hAnsi="Arial" w:cs="Arial"/>
        </w:rPr>
      </w:pPr>
      <w:r w:rsidRPr="007E0E53">
        <w:rPr>
          <w:rFonts w:ascii="Arial" w:hAnsi="Arial" w:cs="Arial"/>
        </w:rPr>
        <w:t xml:space="preserve">HM Government. (2005). </w:t>
      </w:r>
      <w:r w:rsidRPr="007E0E53">
        <w:rPr>
          <w:rFonts w:ascii="Arial" w:hAnsi="Arial" w:cs="Arial"/>
          <w:i/>
          <w:iCs/>
        </w:rPr>
        <w:t>Securing the future: Delivering UK sustainable development strategy.</w:t>
      </w:r>
      <w:r w:rsidRPr="007E0E53">
        <w:rPr>
          <w:rFonts w:ascii="Arial" w:hAnsi="Arial" w:cs="Arial"/>
        </w:rPr>
        <w:t xml:space="preserve"> London: DEFRA.</w:t>
      </w:r>
    </w:p>
    <w:p w14:paraId="7149CD20" w14:textId="77777777" w:rsidR="007E0E53" w:rsidRPr="007E0E53" w:rsidRDefault="007E0E53" w:rsidP="007E0E53">
      <w:pPr>
        <w:spacing w:line="480" w:lineRule="auto"/>
        <w:rPr>
          <w:rFonts w:ascii="Arial" w:hAnsi="Arial" w:cs="Arial"/>
        </w:rPr>
      </w:pPr>
      <w:r w:rsidRPr="007E0E53">
        <w:rPr>
          <w:rFonts w:ascii="Arial" w:hAnsi="Arial" w:cs="Arial"/>
        </w:rPr>
        <w:t xml:space="preserve">Investment Property Databank (IPD). (2007). </w:t>
      </w:r>
      <w:r w:rsidRPr="007E0E53">
        <w:rPr>
          <w:rFonts w:ascii="Arial" w:hAnsi="Arial" w:cs="Arial"/>
          <w:i/>
          <w:iCs/>
        </w:rPr>
        <w:t>IPD regeneration index, Summer 2007.</w:t>
      </w:r>
      <w:r w:rsidRPr="007E0E53">
        <w:rPr>
          <w:rFonts w:ascii="Arial" w:hAnsi="Arial" w:cs="Arial"/>
        </w:rPr>
        <w:t xml:space="preserve"> London: Investment Property Databank.</w:t>
      </w:r>
    </w:p>
    <w:p w14:paraId="769D4FEF" w14:textId="77777777" w:rsidR="007E0E53" w:rsidRPr="007E0E53" w:rsidRDefault="007E0E53" w:rsidP="007E0E53">
      <w:pPr>
        <w:spacing w:line="480" w:lineRule="auto"/>
        <w:rPr>
          <w:rFonts w:ascii="Arial" w:hAnsi="Arial" w:cs="Arial"/>
        </w:rPr>
      </w:pPr>
      <w:r w:rsidRPr="007E0E53">
        <w:rPr>
          <w:rFonts w:ascii="Arial" w:hAnsi="Arial" w:cs="Arial"/>
        </w:rPr>
        <w:t xml:space="preserve">Investment Property Databank (IPD). (2009). </w:t>
      </w:r>
      <w:r w:rsidRPr="007E0E53">
        <w:rPr>
          <w:rFonts w:ascii="Arial" w:hAnsi="Arial" w:cs="Arial"/>
          <w:i/>
          <w:iCs/>
        </w:rPr>
        <w:t>IPD regeneration index: Autumn.</w:t>
      </w:r>
      <w:r w:rsidRPr="007E0E53">
        <w:rPr>
          <w:rFonts w:ascii="Arial" w:hAnsi="Arial" w:cs="Arial"/>
        </w:rPr>
        <w:t xml:space="preserve"> London: Investment Property Databank.</w:t>
      </w:r>
    </w:p>
    <w:p w14:paraId="6D9515AB" w14:textId="77777777" w:rsidR="007E0E53" w:rsidRPr="007E0E53" w:rsidRDefault="007E0E53" w:rsidP="007E0E53">
      <w:pPr>
        <w:spacing w:line="480" w:lineRule="auto"/>
        <w:rPr>
          <w:rFonts w:ascii="Arial" w:hAnsi="Arial" w:cs="Arial"/>
        </w:rPr>
      </w:pPr>
      <w:r w:rsidRPr="007E0E53">
        <w:rPr>
          <w:rFonts w:ascii="Arial" w:hAnsi="Arial" w:cs="Arial"/>
        </w:rPr>
        <w:t>Investment Property Forum (IPF). (2006</w:t>
      </w:r>
      <w:r w:rsidRPr="007E0E53">
        <w:rPr>
          <w:rFonts w:ascii="Arial" w:hAnsi="Arial" w:cs="Arial"/>
          <w:i/>
          <w:iCs/>
        </w:rPr>
        <w:t>). Institutional investment in regeneration: Necessary conditions for effective funding.</w:t>
      </w:r>
      <w:r w:rsidRPr="007E0E53">
        <w:rPr>
          <w:rFonts w:ascii="Arial" w:hAnsi="Arial" w:cs="Arial"/>
        </w:rPr>
        <w:t xml:space="preserve"> London: Investment Property Forum.</w:t>
      </w:r>
    </w:p>
    <w:p w14:paraId="7795944F" w14:textId="77777777" w:rsidR="007E0E53" w:rsidRPr="007E0E53" w:rsidRDefault="007E0E53" w:rsidP="007E0E53">
      <w:pPr>
        <w:spacing w:line="480" w:lineRule="auto"/>
        <w:rPr>
          <w:rFonts w:ascii="Arial" w:hAnsi="Arial" w:cs="Arial"/>
        </w:rPr>
      </w:pPr>
      <w:r w:rsidRPr="007E0E53">
        <w:rPr>
          <w:rFonts w:ascii="Arial" w:hAnsi="Arial" w:cs="Arial"/>
        </w:rPr>
        <w:lastRenderedPageBreak/>
        <w:t xml:space="preserve">Investment Property Forum (IPF). (2009). </w:t>
      </w:r>
      <w:r w:rsidRPr="007E0E53">
        <w:rPr>
          <w:rFonts w:ascii="Arial" w:hAnsi="Arial" w:cs="Arial"/>
          <w:i/>
          <w:iCs/>
        </w:rPr>
        <w:t>Urban regeneration: Opportunities for property investment.</w:t>
      </w:r>
      <w:r w:rsidRPr="007E0E53">
        <w:rPr>
          <w:rFonts w:ascii="Arial" w:hAnsi="Arial" w:cs="Arial"/>
        </w:rPr>
        <w:t xml:space="preserve"> London: Investment Property Forum.</w:t>
      </w:r>
    </w:p>
    <w:p w14:paraId="621E7CB2" w14:textId="77777777" w:rsidR="007E0E53" w:rsidRPr="007E0E53" w:rsidRDefault="007E0E53" w:rsidP="007E0E53">
      <w:pPr>
        <w:spacing w:line="480" w:lineRule="auto"/>
        <w:rPr>
          <w:rFonts w:ascii="Arial" w:hAnsi="Arial" w:cs="Arial"/>
        </w:rPr>
      </w:pPr>
      <w:r w:rsidRPr="007E0E53">
        <w:rPr>
          <w:rFonts w:ascii="Arial" w:hAnsi="Arial" w:cs="Arial"/>
        </w:rPr>
        <w:t xml:space="preserve">Kinder, P. D. (2005). </w:t>
      </w:r>
      <w:r w:rsidRPr="007E0E53">
        <w:rPr>
          <w:rFonts w:ascii="Arial" w:hAnsi="Arial" w:cs="Arial"/>
          <w:i/>
          <w:iCs/>
        </w:rPr>
        <w:t>Socially responsible investing: An evolving concept in a changing world</w:t>
      </w:r>
      <w:r w:rsidRPr="007E0E53">
        <w:rPr>
          <w:rFonts w:ascii="Arial" w:hAnsi="Arial" w:cs="Arial"/>
        </w:rPr>
        <w:t>. Boston, MA: KLD Analytics.</w:t>
      </w:r>
    </w:p>
    <w:p w14:paraId="7D529903" w14:textId="3519B8B9" w:rsidR="007E0E53" w:rsidRPr="007E0E53" w:rsidRDefault="007E0E53" w:rsidP="007E0E53">
      <w:pPr>
        <w:spacing w:line="480" w:lineRule="auto"/>
        <w:rPr>
          <w:rFonts w:ascii="Arial" w:hAnsi="Arial" w:cs="Arial"/>
        </w:rPr>
      </w:pPr>
      <w:r w:rsidRPr="007E0E53">
        <w:rPr>
          <w:rFonts w:ascii="Arial" w:hAnsi="Arial" w:cs="Arial"/>
        </w:rPr>
        <w:t xml:space="preserve">Lyons, M. (2004). </w:t>
      </w:r>
      <w:r w:rsidRPr="007E0E53">
        <w:rPr>
          <w:rFonts w:ascii="Arial" w:hAnsi="Arial" w:cs="Arial"/>
          <w:i/>
          <w:iCs/>
        </w:rPr>
        <w:t>Towards better management of public sector assets: Report to the Chancellor of the Exchequer.</w:t>
      </w:r>
      <w:r w:rsidRPr="007E0E53">
        <w:rPr>
          <w:rFonts w:ascii="Arial" w:hAnsi="Arial" w:cs="Arial"/>
        </w:rPr>
        <w:t xml:space="preserve"> London: HM Treasury.</w:t>
      </w:r>
    </w:p>
    <w:p w14:paraId="64C50751" w14:textId="77777777" w:rsidR="007E0E53" w:rsidRPr="007E0E53" w:rsidRDefault="007E0E53" w:rsidP="007E0E53">
      <w:pPr>
        <w:spacing w:line="480" w:lineRule="auto"/>
        <w:rPr>
          <w:rFonts w:ascii="Arial" w:hAnsi="Arial" w:cs="Arial"/>
        </w:rPr>
      </w:pPr>
      <w:r w:rsidRPr="007E0E53">
        <w:rPr>
          <w:rFonts w:ascii="Arial" w:hAnsi="Arial" w:cs="Arial"/>
        </w:rPr>
        <w:t xml:space="preserve">McNamara, P. (2005). </w:t>
      </w:r>
      <w:r w:rsidRPr="007E0E53">
        <w:rPr>
          <w:rFonts w:ascii="Arial" w:hAnsi="Arial" w:cs="Arial"/>
          <w:i/>
          <w:iCs/>
        </w:rPr>
        <w:t>Socially responsible investment in property—making a proper contribution</w:t>
      </w:r>
      <w:r w:rsidRPr="007E0E53">
        <w:rPr>
          <w:rFonts w:ascii="Arial" w:hAnsi="Arial" w:cs="Arial"/>
        </w:rPr>
        <w:t>. Professorial Lecture, Oxford Brookes University, 27 April.</w:t>
      </w:r>
    </w:p>
    <w:p w14:paraId="790ECDEC" w14:textId="77777777" w:rsidR="007E0E53" w:rsidRPr="007E0E53" w:rsidRDefault="007E0E53" w:rsidP="007E0E53">
      <w:pPr>
        <w:spacing w:line="480" w:lineRule="auto"/>
        <w:rPr>
          <w:rFonts w:ascii="Arial" w:hAnsi="Arial" w:cs="Arial"/>
        </w:rPr>
      </w:pPr>
      <w:r w:rsidRPr="007E0E53">
        <w:rPr>
          <w:rFonts w:ascii="Arial" w:hAnsi="Arial" w:cs="Arial"/>
        </w:rPr>
        <w:t xml:space="preserve">Mills, R., &amp; Atherton, M. (2005). </w:t>
      </w:r>
      <w:r w:rsidRPr="007E0E53">
        <w:rPr>
          <w:rFonts w:ascii="Arial" w:hAnsi="Arial" w:cs="Arial"/>
          <w:i/>
          <w:iCs/>
        </w:rPr>
        <w:t>Financing urban regeneration—the case for PPPs.</w:t>
      </w:r>
      <w:r w:rsidRPr="007E0E53">
        <w:rPr>
          <w:rFonts w:ascii="Arial" w:hAnsi="Arial" w:cs="Arial"/>
        </w:rPr>
        <w:t xml:space="preserve"> In P. Hackett (Ed.), Financing the future (pp. 56–65). London: Smith Institute.</w:t>
      </w:r>
    </w:p>
    <w:p w14:paraId="12D9B15B" w14:textId="77777777" w:rsidR="007E0E53" w:rsidRPr="007E0E53" w:rsidRDefault="007E0E53" w:rsidP="007E0E53">
      <w:pPr>
        <w:spacing w:line="480" w:lineRule="auto"/>
        <w:rPr>
          <w:rFonts w:ascii="Arial" w:hAnsi="Arial" w:cs="Arial"/>
        </w:rPr>
      </w:pPr>
      <w:r w:rsidRPr="007E0E53">
        <w:rPr>
          <w:rFonts w:ascii="Arial" w:hAnsi="Arial" w:cs="Arial"/>
        </w:rPr>
        <w:t xml:space="preserve">Minton, A. (2002). </w:t>
      </w:r>
      <w:r w:rsidRPr="007E0E53">
        <w:rPr>
          <w:rFonts w:ascii="Arial" w:hAnsi="Arial" w:cs="Arial"/>
          <w:i/>
          <w:iCs/>
        </w:rPr>
        <w:t>Building balanced communities: The US and UK compared</w:t>
      </w:r>
      <w:r w:rsidRPr="007E0E53">
        <w:rPr>
          <w:rFonts w:ascii="Arial" w:hAnsi="Arial" w:cs="Arial"/>
        </w:rPr>
        <w:t>. London: RICS.</w:t>
      </w:r>
    </w:p>
    <w:p w14:paraId="687B78E2" w14:textId="74DC4F3F" w:rsidR="009C03EC" w:rsidRDefault="007E0E53" w:rsidP="007E0E53">
      <w:pPr>
        <w:spacing w:line="480" w:lineRule="auto"/>
        <w:rPr>
          <w:rFonts w:ascii="Arial" w:hAnsi="Arial" w:cs="Arial"/>
        </w:rPr>
      </w:pPr>
      <w:r w:rsidRPr="007E0E53">
        <w:rPr>
          <w:rFonts w:ascii="Arial" w:hAnsi="Arial" w:cs="Arial"/>
        </w:rPr>
        <w:t xml:space="preserve">Parkinson, M. (2009). </w:t>
      </w:r>
      <w:r w:rsidRPr="007E0E53">
        <w:rPr>
          <w:rFonts w:ascii="Arial" w:hAnsi="Arial" w:cs="Arial"/>
          <w:i/>
          <w:iCs/>
        </w:rPr>
        <w:t>The credit crunch and regeneration: Impact and implications</w:t>
      </w:r>
      <w:r w:rsidRPr="007E0E53">
        <w:rPr>
          <w:rFonts w:ascii="Arial" w:hAnsi="Arial" w:cs="Arial"/>
        </w:rPr>
        <w:t>. London: Communities and Local Government (CLG).</w:t>
      </w:r>
    </w:p>
    <w:p w14:paraId="46149192" w14:textId="3EFB55CD" w:rsidR="007E0E53" w:rsidRPr="009C03EC" w:rsidRDefault="007E0E53" w:rsidP="007E0E53">
      <w:pPr>
        <w:spacing w:line="480" w:lineRule="auto"/>
        <w:rPr>
          <w:rFonts w:ascii="Arial" w:hAnsi="Arial" w:cs="Arial"/>
        </w:rPr>
      </w:pPr>
      <w:r w:rsidRPr="007E0E53">
        <w:rPr>
          <w:rFonts w:ascii="Arial" w:hAnsi="Arial" w:cs="Arial"/>
        </w:rPr>
        <w:t xml:space="preserve">Welsh Government. (2021). </w:t>
      </w:r>
      <w:r w:rsidRPr="007E0E53">
        <w:rPr>
          <w:rFonts w:ascii="Arial" w:hAnsi="Arial" w:cs="Arial"/>
          <w:i/>
          <w:iCs/>
        </w:rPr>
        <w:t>Cardiff Capital Region City Deal: Transforming the Region.</w:t>
      </w:r>
      <w:r w:rsidRPr="007E0E53">
        <w:rPr>
          <w:rFonts w:ascii="Arial" w:hAnsi="Arial" w:cs="Arial"/>
        </w:rPr>
        <w:t xml:space="preserve"> Welsh Government Publications.</w:t>
      </w:r>
    </w:p>
    <w:p w14:paraId="655DF8B6" w14:textId="77777777" w:rsidR="009C03EC" w:rsidRPr="00BB4146" w:rsidRDefault="009C03EC" w:rsidP="00BB4146">
      <w:pPr>
        <w:spacing w:line="480" w:lineRule="auto"/>
        <w:rPr>
          <w:rFonts w:ascii="Arial" w:hAnsi="Arial" w:cs="Arial"/>
        </w:rPr>
      </w:pPr>
    </w:p>
    <w:p w14:paraId="2DEE95B1" w14:textId="77777777" w:rsidR="00BB4146" w:rsidRPr="00BB4146" w:rsidRDefault="00BB4146" w:rsidP="00BB4146">
      <w:pPr>
        <w:spacing w:line="480" w:lineRule="auto"/>
        <w:rPr>
          <w:rFonts w:ascii="Arial" w:hAnsi="Arial" w:cs="Arial"/>
        </w:rPr>
      </w:pPr>
    </w:p>
    <w:p w14:paraId="6DA46C2E" w14:textId="77777777" w:rsidR="00BB4146" w:rsidRPr="000F5490" w:rsidRDefault="00BB4146" w:rsidP="000F5490">
      <w:pPr>
        <w:spacing w:line="480" w:lineRule="auto"/>
        <w:rPr>
          <w:rFonts w:ascii="Arial" w:hAnsi="Arial" w:cs="Arial"/>
        </w:rPr>
      </w:pPr>
    </w:p>
    <w:p w14:paraId="5247AC3A" w14:textId="22ED0BA1" w:rsidR="000F5490" w:rsidRPr="000F5490" w:rsidRDefault="000F5490" w:rsidP="000F5490">
      <w:pPr>
        <w:spacing w:line="480" w:lineRule="auto"/>
        <w:rPr>
          <w:rFonts w:ascii="Arial" w:hAnsi="Arial" w:cs="Arial"/>
          <w:lang w:val="en-US"/>
        </w:rPr>
      </w:pPr>
      <w:r>
        <w:rPr>
          <w:rFonts w:ascii="Arial" w:hAnsi="Arial" w:cs="Arial"/>
          <w:lang w:val="en-US"/>
        </w:rPr>
        <w:t xml:space="preserve"> </w:t>
      </w:r>
    </w:p>
    <w:sectPr w:rsidR="000F5490" w:rsidRPr="000F5490" w:rsidSect="007E0E53">
      <w:head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2D75F" w14:textId="77777777" w:rsidR="00B068B0" w:rsidRDefault="00B068B0" w:rsidP="00BB4146">
      <w:pPr>
        <w:spacing w:after="0" w:line="240" w:lineRule="auto"/>
      </w:pPr>
      <w:r>
        <w:separator/>
      </w:r>
    </w:p>
  </w:endnote>
  <w:endnote w:type="continuationSeparator" w:id="0">
    <w:p w14:paraId="5FDBA018" w14:textId="77777777" w:rsidR="00B068B0" w:rsidRDefault="00B068B0" w:rsidP="00BB4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DF204" w14:textId="77777777" w:rsidR="00B068B0" w:rsidRDefault="00B068B0" w:rsidP="00BB4146">
      <w:pPr>
        <w:spacing w:after="0" w:line="240" w:lineRule="auto"/>
      </w:pPr>
      <w:r>
        <w:separator/>
      </w:r>
    </w:p>
  </w:footnote>
  <w:footnote w:type="continuationSeparator" w:id="0">
    <w:p w14:paraId="0773D60A" w14:textId="77777777" w:rsidR="00B068B0" w:rsidRDefault="00B068B0" w:rsidP="00BB41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5741712"/>
      <w:docPartObj>
        <w:docPartGallery w:val="Page Numbers (Top of Page)"/>
        <w:docPartUnique/>
      </w:docPartObj>
    </w:sdtPr>
    <w:sdtEndPr>
      <w:rPr>
        <w:noProof/>
      </w:rPr>
    </w:sdtEndPr>
    <w:sdtContent>
      <w:p w14:paraId="5B5F7CE2" w14:textId="2C1C979C" w:rsidR="00BB4146" w:rsidRDefault="00BB414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EEB3CFD" w14:textId="77777777" w:rsidR="00BB4146" w:rsidRDefault="00BB41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490"/>
    <w:rsid w:val="000F5490"/>
    <w:rsid w:val="00592508"/>
    <w:rsid w:val="007E0E53"/>
    <w:rsid w:val="009C03EC"/>
    <w:rsid w:val="00B068B0"/>
    <w:rsid w:val="00BB4146"/>
    <w:rsid w:val="00FF1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E424A"/>
  <w15:chartTrackingRefBased/>
  <w15:docId w15:val="{58ADC045-3403-474D-A229-A766CB6EC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4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54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54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54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54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54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54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54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54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4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54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54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54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54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54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54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54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5490"/>
    <w:rPr>
      <w:rFonts w:eastAsiaTheme="majorEastAsia" w:cstheme="majorBidi"/>
      <w:color w:val="272727" w:themeColor="text1" w:themeTint="D8"/>
    </w:rPr>
  </w:style>
  <w:style w:type="paragraph" w:styleId="Title">
    <w:name w:val="Title"/>
    <w:basedOn w:val="Normal"/>
    <w:next w:val="Normal"/>
    <w:link w:val="TitleChar"/>
    <w:uiPriority w:val="10"/>
    <w:qFormat/>
    <w:rsid w:val="000F54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4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54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54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5490"/>
    <w:pPr>
      <w:spacing w:before="160"/>
      <w:jc w:val="center"/>
    </w:pPr>
    <w:rPr>
      <w:i/>
      <w:iCs/>
      <w:color w:val="404040" w:themeColor="text1" w:themeTint="BF"/>
    </w:rPr>
  </w:style>
  <w:style w:type="character" w:customStyle="1" w:styleId="QuoteChar">
    <w:name w:val="Quote Char"/>
    <w:basedOn w:val="DefaultParagraphFont"/>
    <w:link w:val="Quote"/>
    <w:uiPriority w:val="29"/>
    <w:rsid w:val="000F5490"/>
    <w:rPr>
      <w:i/>
      <w:iCs/>
      <w:color w:val="404040" w:themeColor="text1" w:themeTint="BF"/>
    </w:rPr>
  </w:style>
  <w:style w:type="paragraph" w:styleId="ListParagraph">
    <w:name w:val="List Paragraph"/>
    <w:basedOn w:val="Normal"/>
    <w:uiPriority w:val="34"/>
    <w:qFormat/>
    <w:rsid w:val="000F5490"/>
    <w:pPr>
      <w:ind w:left="720"/>
      <w:contextualSpacing/>
    </w:pPr>
  </w:style>
  <w:style w:type="character" w:styleId="IntenseEmphasis">
    <w:name w:val="Intense Emphasis"/>
    <w:basedOn w:val="DefaultParagraphFont"/>
    <w:uiPriority w:val="21"/>
    <w:qFormat/>
    <w:rsid w:val="000F5490"/>
    <w:rPr>
      <w:i/>
      <w:iCs/>
      <w:color w:val="0F4761" w:themeColor="accent1" w:themeShade="BF"/>
    </w:rPr>
  </w:style>
  <w:style w:type="paragraph" w:styleId="IntenseQuote">
    <w:name w:val="Intense Quote"/>
    <w:basedOn w:val="Normal"/>
    <w:next w:val="Normal"/>
    <w:link w:val="IntenseQuoteChar"/>
    <w:uiPriority w:val="30"/>
    <w:qFormat/>
    <w:rsid w:val="000F54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5490"/>
    <w:rPr>
      <w:i/>
      <w:iCs/>
      <w:color w:val="0F4761" w:themeColor="accent1" w:themeShade="BF"/>
    </w:rPr>
  </w:style>
  <w:style w:type="character" w:styleId="IntenseReference">
    <w:name w:val="Intense Reference"/>
    <w:basedOn w:val="DefaultParagraphFont"/>
    <w:uiPriority w:val="32"/>
    <w:qFormat/>
    <w:rsid w:val="000F5490"/>
    <w:rPr>
      <w:b/>
      <w:bCs/>
      <w:smallCaps/>
      <w:color w:val="0F4761" w:themeColor="accent1" w:themeShade="BF"/>
      <w:spacing w:val="5"/>
    </w:rPr>
  </w:style>
  <w:style w:type="paragraph" w:styleId="Header">
    <w:name w:val="header"/>
    <w:basedOn w:val="Normal"/>
    <w:link w:val="HeaderChar"/>
    <w:uiPriority w:val="99"/>
    <w:unhideWhenUsed/>
    <w:rsid w:val="00BB4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146"/>
  </w:style>
  <w:style w:type="paragraph" w:styleId="Footer">
    <w:name w:val="footer"/>
    <w:basedOn w:val="Normal"/>
    <w:link w:val="FooterChar"/>
    <w:uiPriority w:val="99"/>
    <w:unhideWhenUsed/>
    <w:rsid w:val="00BB4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417728">
      <w:bodyDiv w:val="1"/>
      <w:marLeft w:val="0"/>
      <w:marRight w:val="0"/>
      <w:marTop w:val="0"/>
      <w:marBottom w:val="0"/>
      <w:divBdr>
        <w:top w:val="none" w:sz="0" w:space="0" w:color="auto"/>
        <w:left w:val="none" w:sz="0" w:space="0" w:color="auto"/>
        <w:bottom w:val="none" w:sz="0" w:space="0" w:color="auto"/>
        <w:right w:val="none" w:sz="0" w:space="0" w:color="auto"/>
      </w:divBdr>
    </w:div>
    <w:div w:id="217281580">
      <w:bodyDiv w:val="1"/>
      <w:marLeft w:val="0"/>
      <w:marRight w:val="0"/>
      <w:marTop w:val="0"/>
      <w:marBottom w:val="0"/>
      <w:divBdr>
        <w:top w:val="none" w:sz="0" w:space="0" w:color="auto"/>
        <w:left w:val="none" w:sz="0" w:space="0" w:color="auto"/>
        <w:bottom w:val="none" w:sz="0" w:space="0" w:color="auto"/>
        <w:right w:val="none" w:sz="0" w:space="0" w:color="auto"/>
      </w:divBdr>
    </w:div>
    <w:div w:id="1523397277">
      <w:bodyDiv w:val="1"/>
      <w:marLeft w:val="0"/>
      <w:marRight w:val="0"/>
      <w:marTop w:val="0"/>
      <w:marBottom w:val="0"/>
      <w:divBdr>
        <w:top w:val="none" w:sz="0" w:space="0" w:color="auto"/>
        <w:left w:val="none" w:sz="0" w:space="0" w:color="auto"/>
        <w:bottom w:val="none" w:sz="0" w:space="0" w:color="auto"/>
        <w:right w:val="none" w:sz="0" w:space="0" w:color="auto"/>
      </w:divBdr>
    </w:div>
    <w:div w:id="1969124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12</Pages>
  <Words>2742</Words>
  <Characters>15630</Characters>
  <Application>Microsoft Office Word</Application>
  <DocSecurity>0</DocSecurity>
  <Lines>130</Lines>
  <Paragraphs>36</Paragraphs>
  <ScaleCrop>false</ScaleCrop>
  <Company/>
  <LinksUpToDate>false</LinksUpToDate>
  <CharactersWithSpaces>18336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dc:subject>
  <dc:creator>Mirabela Voican (1907947)</dc:creator>
  <cp:keywords/>
  <dc:description/>
  <cp:lastModifiedBy>Mirabela Voican (1907947)</cp:lastModifiedBy>
  <cp:revision>1</cp:revision>
  <dcterms:created xsi:type="dcterms:W3CDTF">2025-02-06T21:38:00Z</dcterms:created>
  <dcterms:modified xsi:type="dcterms:W3CDTF">2025-02-06T22:19:00Z</dcterms:modified>
</cp:coreProperties>
</file>