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64C0A1E" w:rsidP="064C0A1E" w:rsidRDefault="064C0A1E" w14:paraId="04F69CC5" w14:textId="54D6857D">
      <w:pPr>
        <w:spacing w:beforeAutospacing="on" w:afterAutospacing="on"/>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r w:rsidR="064C0A1E">
        <w:drawing>
          <wp:inline wp14:editId="238C9A70" wp14:anchorId="673EFCA9">
            <wp:extent cx="1933575" cy="657225"/>
            <wp:effectExtent l="0" t="0" r="0" b="0"/>
            <wp:docPr id="472785659" name="" title=""/>
            <wp:cNvGraphicFramePr>
              <a:graphicFrameLocks noChangeAspect="1"/>
            </wp:cNvGraphicFramePr>
            <a:graphic>
              <a:graphicData uri="http://schemas.openxmlformats.org/drawingml/2006/picture">
                <pic:pic>
                  <pic:nvPicPr>
                    <pic:cNvPr id="0" name=""/>
                    <pic:cNvPicPr/>
                  </pic:nvPicPr>
                  <pic:blipFill>
                    <a:blip r:embed="R3447811af4a34e2b">
                      <a:extLst>
                        <a:ext xmlns:a="http://schemas.openxmlformats.org/drawingml/2006/main" uri="{28A0092B-C50C-407E-A947-70E740481C1C}">
                          <a14:useLocalDpi val="0"/>
                        </a:ext>
                      </a:extLst>
                    </a:blip>
                    <a:stretch>
                      <a:fillRect/>
                    </a:stretch>
                  </pic:blipFill>
                  <pic:spPr>
                    <a:xfrm>
                      <a:off x="0" y="0"/>
                      <a:ext cx="1933575" cy="657225"/>
                    </a:xfrm>
                    <a:prstGeom prst="rect">
                      <a:avLst/>
                    </a:prstGeom>
                  </pic:spPr>
                </pic:pic>
              </a:graphicData>
            </a:graphic>
          </wp:inline>
        </w:drawing>
      </w:r>
    </w:p>
    <w:p w:rsidR="064C0A1E" w:rsidP="064C0A1E" w:rsidRDefault="064C0A1E" w14:paraId="5C1E5D0B" w14:textId="797D8E62">
      <w:pPr>
        <w:spacing w:beforeAutospacing="on" w:afterAutospacing="on"/>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w:rsidR="064C0A1E" w:rsidP="064C0A1E" w:rsidRDefault="064C0A1E" w14:paraId="791C322F" w14:textId="23C8DF44">
      <w:pPr>
        <w:spacing w:beforeAutospacing="on" w:afterAutospacing="on"/>
        <w:ind w:left="-180" w:right="-334"/>
        <w:rPr>
          <w:rFonts w:ascii="Georgia" w:hAnsi="Georgia" w:eastAsia="Georgia" w:cs="Georgia"/>
          <w:b w:val="0"/>
          <w:bCs w:val="0"/>
          <w:i w:val="0"/>
          <w:iCs w:val="0"/>
          <w:caps w:val="0"/>
          <w:smallCaps w:val="0"/>
          <w:noProof w:val="0"/>
          <w:color w:val="000000" w:themeColor="text1" w:themeTint="FF" w:themeShade="FF"/>
          <w:sz w:val="21"/>
          <w:szCs w:val="21"/>
          <w:lang w:val="en-GB"/>
        </w:rPr>
      </w:pPr>
    </w:p>
    <w:p w:rsidR="064C0A1E" w:rsidP="064C0A1E" w:rsidRDefault="064C0A1E" w14:paraId="49D6DEFD" w14:textId="4DC5F442">
      <w:pPr>
        <w:spacing w:beforeAutospacing="on" w:afterAutospacing="on"/>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64C0A1E" w:rsidR="064C0A1E">
        <w:rPr>
          <w:rFonts w:ascii="Arial" w:hAnsi="Arial" w:eastAsia="Arial" w:cs="Arial"/>
          <w:b w:val="1"/>
          <w:bCs w:val="1"/>
          <w:i w:val="0"/>
          <w:iCs w:val="0"/>
          <w:caps w:val="0"/>
          <w:smallCaps w:val="0"/>
          <w:noProof w:val="0"/>
          <w:color w:val="000000" w:themeColor="text1" w:themeTint="FF" w:themeShade="FF"/>
          <w:sz w:val="28"/>
          <w:szCs w:val="28"/>
          <w:lang w:val="cy-GB"/>
        </w:rPr>
        <w:t xml:space="preserve">Postgraduate/Distance Learning </w:t>
      </w:r>
    </w:p>
    <w:p w:rsidR="064C0A1E" w:rsidP="064C0A1E" w:rsidRDefault="064C0A1E" w14:paraId="3BFAE820" w14:textId="06A613D6">
      <w:pPr>
        <w:spacing w:beforeAutospacing="on" w:afterAutospacing="on"/>
        <w:ind w:left="-180" w:right="-334"/>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64C0A1E" w:rsidR="064C0A1E">
        <w:rPr>
          <w:rFonts w:ascii="Arial" w:hAnsi="Arial" w:eastAsia="Arial" w:cs="Arial"/>
          <w:b w:val="1"/>
          <w:bCs w:val="1"/>
          <w:i w:val="0"/>
          <w:iCs w:val="0"/>
          <w:caps w:val="0"/>
          <w:smallCaps w:val="0"/>
          <w:noProof w:val="0"/>
          <w:color w:val="000000" w:themeColor="text1" w:themeTint="FF" w:themeShade="FF"/>
          <w:sz w:val="28"/>
          <w:szCs w:val="28"/>
          <w:lang w:val="cy-GB"/>
        </w:rPr>
        <w:t>Assignment coversheet &amp; feedback form</w:t>
      </w:r>
    </w:p>
    <w:p w:rsidR="064C0A1E" w:rsidP="064C0A1E" w:rsidRDefault="064C0A1E" w14:paraId="5D019C21" w14:textId="39E72E6D">
      <w:pPr>
        <w:rPr>
          <w:rFonts w:ascii="Arial" w:hAnsi="Arial" w:eastAsia="Arial" w:cs="Arial"/>
          <w:b w:val="0"/>
          <w:bCs w:val="0"/>
          <w:i w:val="0"/>
          <w:iCs w:val="0"/>
          <w:caps w:val="0"/>
          <w:smallCaps w:val="0"/>
          <w:noProof w:val="0"/>
          <w:color w:val="000000" w:themeColor="text1" w:themeTint="FF" w:themeShade="FF"/>
          <w:sz w:val="28"/>
          <w:szCs w:val="28"/>
          <w:lang w:val="en-GB"/>
        </w:rPr>
      </w:pPr>
    </w:p>
    <w:p w:rsidR="064C0A1E" w:rsidP="064C0A1E" w:rsidRDefault="064C0A1E" w14:paraId="08878E8E" w14:textId="05B169F7">
      <w:pPr>
        <w:pStyle w:val="Heading3"/>
        <w:ind w:left="720"/>
        <w:jc w:val="center"/>
        <w:rPr>
          <w:rFonts w:ascii="Tahoma" w:hAnsi="Tahoma" w:eastAsia="Tahoma" w:cs="Tahoma"/>
          <w:b w:val="1"/>
          <w:bCs w:val="1"/>
          <w:i w:val="0"/>
          <w:iCs w:val="0"/>
          <w:caps w:val="0"/>
          <w:smallCaps w:val="0"/>
          <w:noProof w:val="0"/>
          <w:color w:val="000000" w:themeColor="text1" w:themeTint="FF" w:themeShade="FF"/>
          <w:sz w:val="20"/>
          <w:szCs w:val="20"/>
          <w:lang w:val="en-GB"/>
        </w:rPr>
      </w:pPr>
      <w:r w:rsidRPr="064C0A1E" w:rsidR="064C0A1E">
        <w:rPr>
          <w:rFonts w:ascii="Tahoma" w:hAnsi="Tahoma" w:eastAsia="Tahoma" w:cs="Tahoma"/>
          <w:b w:val="1"/>
          <w:bCs w:val="1"/>
          <w:i w:val="0"/>
          <w:iCs w:val="0"/>
          <w:caps w:val="0"/>
          <w:smallCaps w:val="0"/>
          <w:noProof w:val="0"/>
          <w:color w:val="000000" w:themeColor="text1" w:themeTint="FF" w:themeShade="FF"/>
          <w:sz w:val="20"/>
          <w:szCs w:val="20"/>
          <w:lang w:val="cy-GB"/>
        </w:rPr>
        <w:t>THIS SHEET MUST BE THE FIRST PAGE OF THE ASSIGNMENT YOU ARE SUBMITTING  (DO NOT SEND AS A SEPARATE FILE)</w:t>
      </w:r>
    </w:p>
    <w:p w:rsidR="064C0A1E" w:rsidP="064C0A1E" w:rsidRDefault="064C0A1E" w14:paraId="73B64105" w14:textId="5EE284B6">
      <w:pPr>
        <w:ind w:left="720"/>
        <w:jc w:val="center"/>
        <w:rPr>
          <w:rFonts w:ascii="Trebuchet MS" w:hAnsi="Trebuchet MS" w:eastAsia="Trebuchet MS" w:cs="Trebuchet MS"/>
          <w:b w:val="1"/>
          <w:bCs w:val="1"/>
          <w:i w:val="0"/>
          <w:iCs w:val="0"/>
          <w:caps w:val="0"/>
          <w:smallCaps w:val="0"/>
          <w:noProof w:val="0"/>
          <w:color w:val="000000" w:themeColor="text1" w:themeTint="FF" w:themeShade="FF"/>
          <w:sz w:val="20"/>
          <w:szCs w:val="20"/>
          <w:lang w:val="en-GB"/>
        </w:rPr>
      </w:pPr>
    </w:p>
    <w:tbl>
      <w:tblPr>
        <w:tblStyle w:val="TableNormal"/>
        <w:tblW w:w="0" w:type="auto"/>
        <w:tblLayout w:type="fixed"/>
        <w:tblLook w:val="04A0" w:firstRow="1" w:lastRow="0" w:firstColumn="1" w:lastColumn="0" w:noHBand="0" w:noVBand="1"/>
      </w:tblPr>
      <w:tblGrid>
        <w:gridCol w:w="4605"/>
        <w:gridCol w:w="420"/>
        <w:gridCol w:w="1530"/>
        <w:gridCol w:w="270"/>
        <w:gridCol w:w="1785"/>
      </w:tblGrid>
      <w:tr w:rsidR="064C0A1E" w:rsidTr="064C0A1E" w14:paraId="6D64759C">
        <w:trPr>
          <w:trHeight w:val="600"/>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0C0B4CB0" w14:textId="5B801024">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1"/>
                <w:bCs w:val="1"/>
                <w:i w:val="0"/>
                <w:iCs w:val="0"/>
                <w:color w:val="000000" w:themeColor="text1" w:themeTint="FF" w:themeShade="FF"/>
                <w:sz w:val="22"/>
                <w:szCs w:val="22"/>
                <w:lang w:val="en-GB"/>
              </w:rPr>
              <w:t>For completion by the student</w:t>
            </w:r>
            <w:r w:rsidRPr="064C0A1E" w:rsidR="064C0A1E">
              <w:rPr>
                <w:rFonts w:ascii="Arial" w:hAnsi="Arial" w:eastAsia="Arial" w:cs="Arial"/>
                <w:b w:val="0"/>
                <w:bCs w:val="0"/>
                <w:i w:val="0"/>
                <w:iCs w:val="0"/>
                <w:color w:val="000000" w:themeColor="text1" w:themeTint="FF" w:themeShade="FF"/>
                <w:sz w:val="22"/>
                <w:szCs w:val="22"/>
                <w:lang w:val="en-GB"/>
              </w:rPr>
              <w:t>:</w:t>
            </w:r>
          </w:p>
        </w:tc>
      </w:tr>
      <w:tr w:rsidR="064C0A1E" w:rsidTr="064C0A1E" w14:paraId="336BC102">
        <w:trPr>
          <w:trHeight w:val="705"/>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2E6A7354" w14:textId="21768A81">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Student Name: Emily Wilkinson</w:t>
            </w:r>
          </w:p>
          <w:p w:rsidR="064C0A1E" w:rsidP="064C0A1E" w:rsidRDefault="064C0A1E" w14:paraId="7EBF614D" w14:textId="107395F8">
            <w:pPr>
              <w:spacing w:beforeAutospacing="on" w:afterAutospacing="on"/>
              <w:ind w:right="34"/>
              <w:rPr>
                <w:rFonts w:ascii="Arial" w:hAnsi="Arial" w:eastAsia="Arial" w:cs="Arial"/>
                <w:b w:val="0"/>
                <w:bCs w:val="0"/>
                <w:i w:val="0"/>
                <w:iCs w:val="0"/>
                <w:color w:val="000000" w:themeColor="text1" w:themeTint="FF" w:themeShade="FF"/>
                <w:sz w:val="22"/>
                <w:szCs w:val="22"/>
              </w:rPr>
            </w:pPr>
          </w:p>
        </w:tc>
      </w:tr>
      <w:tr w:rsidR="064C0A1E" w:rsidTr="064C0A1E" w14:paraId="1484E695">
        <w:trPr>
          <w:trHeight w:val="840"/>
        </w:trPr>
        <w:tc>
          <w:tcPr>
            <w:tcW w:w="46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3C999BAB" w14:textId="5C9DCED7">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Module code:</w:t>
            </w:r>
          </w:p>
          <w:p w:rsidR="064C0A1E" w:rsidP="064C0A1E" w:rsidRDefault="064C0A1E" w14:paraId="4A18E5C5" w14:textId="5AFEA264">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rPr>
              <w:t>HPCA 7027</w:t>
            </w:r>
          </w:p>
          <w:p w:rsidR="064C0A1E" w:rsidP="064C0A1E" w:rsidRDefault="064C0A1E" w14:paraId="342935CB" w14:textId="13C8FDBD">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Module title:</w:t>
            </w:r>
          </w:p>
          <w:p w:rsidR="064C0A1E" w:rsidP="064C0A1E" w:rsidRDefault="064C0A1E" w14:paraId="48E2F4B8" w14:textId="431C5F87">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rPr>
              <w:t>Cosmology, Magic and Divination</w:t>
            </w:r>
          </w:p>
          <w:p w:rsidR="064C0A1E" w:rsidP="064C0A1E" w:rsidRDefault="064C0A1E" w14:paraId="5809D54D" w14:textId="4ED85061">
            <w:pPr>
              <w:spacing w:beforeAutospacing="on" w:afterAutospacing="on"/>
              <w:ind w:right="34"/>
              <w:rPr>
                <w:rFonts w:ascii="Arial" w:hAnsi="Arial" w:eastAsia="Arial" w:cs="Arial"/>
                <w:b w:val="0"/>
                <w:bCs w:val="0"/>
                <w:i w:val="0"/>
                <w:iCs w:val="0"/>
                <w:color w:val="000000" w:themeColor="text1" w:themeTint="FF" w:themeShade="FF"/>
                <w:sz w:val="22"/>
                <w:szCs w:val="22"/>
              </w:rPr>
            </w:pPr>
          </w:p>
        </w:tc>
        <w:tc>
          <w:tcPr>
            <w:tcW w:w="222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683D7303" w14:textId="6D66BD52">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Student ID number:</w:t>
            </w:r>
          </w:p>
          <w:p w:rsidR="064C0A1E" w:rsidP="064C0A1E" w:rsidRDefault="064C0A1E" w14:paraId="5B1DB93D" w14:textId="57C59035">
            <w:pPr>
              <w:pStyle w:val="Normal"/>
              <w:spacing w:beforeAutospacing="on" w:afterAutospacing="on"/>
              <w:ind w:right="34"/>
              <w:rPr>
                <w:rFonts w:ascii="Arial" w:hAnsi="Arial" w:eastAsia="Arial" w:cs="Arial"/>
                <w:b w:val="0"/>
                <w:bCs w:val="0"/>
                <w:i w:val="0"/>
                <w:iCs w:val="0"/>
                <w:color w:val="000000" w:themeColor="text1" w:themeTint="FF" w:themeShade="FF"/>
                <w:sz w:val="22"/>
                <w:szCs w:val="22"/>
                <w:lang w:val="en-GB"/>
              </w:rPr>
            </w:pPr>
            <w:r w:rsidRPr="064C0A1E" w:rsidR="064C0A1E">
              <w:rPr>
                <w:rFonts w:ascii="Arial" w:hAnsi="Arial" w:eastAsia="Arial" w:cs="Arial"/>
                <w:b w:val="0"/>
                <w:bCs w:val="0"/>
                <w:i w:val="0"/>
                <w:iCs w:val="0"/>
                <w:color w:val="000000" w:themeColor="text1" w:themeTint="FF" w:themeShade="FF"/>
                <w:sz w:val="22"/>
                <w:szCs w:val="22"/>
                <w:lang w:val="en-GB"/>
              </w:rPr>
              <w:t>2025536</w:t>
            </w:r>
          </w:p>
        </w:tc>
        <w:tc>
          <w:tcPr>
            <w:tcW w:w="17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29A40CBB" w14:textId="5372A02E">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Educational support needs:</w:t>
            </w:r>
          </w:p>
          <w:p w:rsidR="064C0A1E" w:rsidP="064C0A1E" w:rsidRDefault="064C0A1E" w14:paraId="2A9574BB" w14:textId="0CB2C594">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No</w:t>
            </w:r>
          </w:p>
        </w:tc>
      </w:tr>
      <w:tr w:rsidR="064C0A1E" w:rsidTr="064C0A1E" w14:paraId="4B7005D9">
        <w:trPr>
          <w:trHeight w:val="1125"/>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5B1A851C" w14:textId="64FED0D0">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Module tutor:</w:t>
            </w:r>
          </w:p>
          <w:p w:rsidR="064C0A1E" w:rsidP="064C0A1E" w:rsidRDefault="064C0A1E" w14:paraId="343BDA5C" w14:textId="3B1CA9F2">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rPr>
              <w:t>Dr Dorian Greenbaum</w:t>
            </w:r>
          </w:p>
          <w:p w:rsidR="064C0A1E" w:rsidP="064C0A1E" w:rsidRDefault="064C0A1E" w14:paraId="0E531D16" w14:textId="2CB9919D">
            <w:pPr>
              <w:spacing w:beforeAutospacing="on" w:afterAutospacing="on"/>
              <w:ind w:right="34"/>
              <w:rPr>
                <w:rFonts w:ascii="Arial" w:hAnsi="Arial" w:eastAsia="Arial" w:cs="Arial"/>
                <w:b w:val="0"/>
                <w:bCs w:val="0"/>
                <w:i w:val="0"/>
                <w:iCs w:val="0"/>
                <w:color w:val="000000" w:themeColor="text1" w:themeTint="FF" w:themeShade="FF"/>
                <w:sz w:val="22"/>
                <w:szCs w:val="22"/>
              </w:rPr>
            </w:pPr>
          </w:p>
          <w:p w:rsidR="064C0A1E" w:rsidP="064C0A1E" w:rsidRDefault="064C0A1E" w14:paraId="17A36512" w14:textId="61FCB876">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Assignment due date: 02/05/2022</w:t>
            </w:r>
          </w:p>
        </w:tc>
      </w:tr>
      <w:tr w:rsidR="064C0A1E" w:rsidTr="064C0A1E" w14:paraId="1C1A8988">
        <w:trPr>
          <w:trHeight w:val="975"/>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4EA5979E" w14:textId="49DB12DC">
            <w:pPr>
              <w:rPr>
                <w:rFonts w:ascii="Arial" w:hAnsi="Arial" w:eastAsia="Arial" w:cs="Arial"/>
                <w:b w:val="0"/>
                <w:bCs w:val="0"/>
                <w:i w:val="0"/>
                <w:iCs w:val="0"/>
                <w:sz w:val="22"/>
                <w:szCs w:val="22"/>
              </w:rPr>
            </w:pPr>
            <w:r w:rsidRPr="064C0A1E" w:rsidR="064C0A1E">
              <w:rPr>
                <w:rFonts w:ascii="Arial" w:hAnsi="Arial" w:eastAsia="Arial" w:cs="Arial"/>
                <w:b w:val="0"/>
                <w:bCs w:val="0"/>
                <w:i w:val="0"/>
                <w:iCs w:val="0"/>
                <w:sz w:val="22"/>
                <w:szCs w:val="22"/>
                <w:lang w:val="en-GB"/>
              </w:rPr>
              <w:t>If your module has multiple submissions please indicate which piece of work this is.</w:t>
            </w:r>
          </w:p>
          <w:p w:rsidR="064C0A1E" w:rsidP="064C0A1E" w:rsidRDefault="064C0A1E" w14:paraId="5C6921BE" w14:textId="4377D65E">
            <w:pPr>
              <w:pStyle w:val="Normal"/>
              <w:rPr>
                <w:rFonts w:ascii="Arial" w:hAnsi="Arial" w:eastAsia="Arial" w:cs="Arial"/>
                <w:b w:val="0"/>
                <w:bCs w:val="0"/>
                <w:i w:val="0"/>
                <w:iCs w:val="0"/>
                <w:sz w:val="22"/>
                <w:szCs w:val="22"/>
                <w:lang w:val="en-GB"/>
              </w:rPr>
            </w:pPr>
            <w:r w:rsidRPr="064C0A1E" w:rsidR="064C0A1E">
              <w:rPr>
                <w:rFonts w:ascii="Arial" w:hAnsi="Arial" w:eastAsia="Arial" w:cs="Arial"/>
                <w:b w:val="0"/>
                <w:bCs w:val="0"/>
                <w:i w:val="0"/>
                <w:iCs w:val="0"/>
                <w:sz w:val="22"/>
                <w:szCs w:val="22"/>
                <w:lang w:val="en-GB"/>
              </w:rPr>
              <w:t xml:space="preserve">   2</w:t>
            </w:r>
            <w:r w:rsidRPr="064C0A1E" w:rsidR="064C0A1E">
              <w:rPr>
                <w:rFonts w:ascii="Arial" w:hAnsi="Arial" w:eastAsia="Arial" w:cs="Arial"/>
                <w:b w:val="0"/>
                <w:bCs w:val="0"/>
                <w:i w:val="0"/>
                <w:iCs w:val="0"/>
                <w:sz w:val="22"/>
                <w:szCs w:val="22"/>
                <w:vertAlign w:val="superscript"/>
                <w:lang w:val="en-GB"/>
              </w:rPr>
              <w:t>nd</w:t>
            </w:r>
            <w:r w:rsidRPr="064C0A1E" w:rsidR="064C0A1E">
              <w:rPr>
                <w:rFonts w:ascii="Arial" w:hAnsi="Arial" w:eastAsia="Arial" w:cs="Arial"/>
                <w:b w:val="0"/>
                <w:bCs w:val="0"/>
                <w:i w:val="0"/>
                <w:iCs w:val="0"/>
                <w:sz w:val="22"/>
                <w:szCs w:val="22"/>
                <w:lang w:val="en-GB"/>
              </w:rPr>
              <w:t xml:space="preserve">       </w:t>
            </w:r>
          </w:p>
        </w:tc>
      </w:tr>
      <w:tr w:rsidR="064C0A1E" w:rsidTr="064C0A1E" w14:paraId="61B8D96D">
        <w:trPr>
          <w:trHeight w:val="975"/>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064C0A1E" w:rsidP="064C0A1E" w:rsidRDefault="064C0A1E" w14:paraId="7E06DAE3" w14:textId="6984A56B">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I confirm that this is my original work and that I have adhered to the University policy on plagiarism.</w:t>
            </w:r>
          </w:p>
          <w:p w:rsidR="064C0A1E" w:rsidP="064C0A1E" w:rsidRDefault="064C0A1E" w14:paraId="6B658820" w14:textId="24482F3F">
            <w:pPr>
              <w:spacing w:beforeAutospacing="on" w:afterAutospacing="on"/>
              <w:ind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Signed E. WIlkinson</w:t>
            </w:r>
          </w:p>
          <w:p w:rsidR="064C0A1E" w:rsidP="064C0A1E" w:rsidRDefault="064C0A1E" w14:paraId="0AC4418B" w14:textId="4A8BCC45">
            <w:pPr>
              <w:spacing w:beforeAutospacing="on" w:afterAutospacing="on"/>
              <w:ind w:right="34"/>
              <w:rPr>
                <w:rFonts w:ascii="Calibri" w:hAnsi="Calibri" w:eastAsia="Calibri" w:cs="Calibri"/>
                <w:b w:val="0"/>
                <w:bCs w:val="0"/>
                <w:i w:val="0"/>
                <w:iCs w:val="0"/>
                <w:color w:val="000000" w:themeColor="text1" w:themeTint="FF" w:themeShade="FF"/>
                <w:sz w:val="44"/>
                <w:szCs w:val="44"/>
              </w:rPr>
            </w:pPr>
            <w:r w:rsidRPr="064C0A1E" w:rsidR="064C0A1E">
              <w:rPr>
                <w:rFonts w:ascii="Calibri" w:hAnsi="Calibri" w:eastAsia="Calibri" w:cs="Calibri"/>
                <w:b w:val="1"/>
                <w:bCs w:val="1"/>
                <w:i w:val="0"/>
                <w:iCs w:val="0"/>
                <w:color w:val="000000" w:themeColor="text1" w:themeTint="FF" w:themeShade="FF"/>
                <w:sz w:val="24"/>
                <w:szCs w:val="24"/>
                <w:lang w:val="en-GB"/>
              </w:rPr>
              <w:t xml:space="preserve">Email submission: if you are submitting this form via email, please tick this box </w:t>
            </w:r>
            <w:r w:rsidRPr="064C0A1E" w:rsidR="064C0A1E">
              <w:rPr>
                <w:rFonts w:ascii="Calibri" w:hAnsi="Calibri" w:eastAsia="Calibri" w:cs="Calibri"/>
                <w:b w:val="1"/>
                <w:bCs w:val="1"/>
                <w:i w:val="0"/>
                <w:iCs w:val="0"/>
                <w:color w:val="000000" w:themeColor="text1" w:themeTint="FF" w:themeShade="FF"/>
                <w:sz w:val="44"/>
                <w:szCs w:val="44"/>
                <w:lang w:val="en-GB"/>
              </w:rPr>
              <w:t>□</w:t>
            </w:r>
          </w:p>
          <w:p w:rsidR="064C0A1E" w:rsidP="064C0A1E" w:rsidRDefault="064C0A1E" w14:paraId="67EC5356" w14:textId="17987041">
            <w:pPr>
              <w:spacing w:beforeAutospacing="on" w:afterAutospacing="on"/>
              <w:ind w:right="34"/>
              <w:rPr>
                <w:rFonts w:ascii="Calibri" w:hAnsi="Calibri" w:eastAsia="Calibri" w:cs="Calibri"/>
                <w:b w:val="0"/>
                <w:bCs w:val="0"/>
                <w:i w:val="0"/>
                <w:iCs w:val="0"/>
                <w:color w:val="000000" w:themeColor="text1" w:themeTint="FF" w:themeShade="FF"/>
                <w:sz w:val="24"/>
                <w:szCs w:val="24"/>
              </w:rPr>
            </w:pPr>
            <w:r w:rsidRPr="064C0A1E" w:rsidR="064C0A1E">
              <w:rPr>
                <w:rFonts w:ascii="Calibri" w:hAnsi="Calibri" w:eastAsia="Calibri" w:cs="Calibri"/>
                <w:b w:val="1"/>
                <w:bCs w:val="1"/>
                <w:i w:val="0"/>
                <w:iCs w:val="0"/>
                <w:color w:val="000000" w:themeColor="text1" w:themeTint="FF" w:themeShade="FF"/>
                <w:sz w:val="24"/>
                <w:szCs w:val="24"/>
                <w:lang w:val="en-GB"/>
              </w:rPr>
              <w:t>(as a substitute for your signature) to confirm that you agree to the above declaration.</w:t>
            </w:r>
          </w:p>
        </w:tc>
      </w:tr>
      <w:tr w:rsidR="064C0A1E" w:rsidTr="064C0A1E" w14:paraId="4FEC0664">
        <w:trPr>
          <w:trHeight w:val="3960"/>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02EC1F5A" w14:textId="4DB7F1A3">
            <w:pPr>
              <w:rPr>
                <w:rFonts w:ascii="Arial" w:hAnsi="Arial" w:eastAsia="Arial" w:cs="Arial"/>
                <w:b w:val="0"/>
                <w:bCs w:val="0"/>
                <w:i w:val="0"/>
                <w:iCs w:val="0"/>
                <w:sz w:val="24"/>
                <w:szCs w:val="24"/>
              </w:rPr>
            </w:pPr>
          </w:p>
          <w:p w:rsidR="064C0A1E" w:rsidP="064C0A1E" w:rsidRDefault="064C0A1E" w14:paraId="4BD319D9" w14:textId="1A0A9672">
            <w:pPr>
              <w:rPr>
                <w:rFonts w:ascii="Arial" w:hAnsi="Arial" w:eastAsia="Arial" w:cs="Arial"/>
                <w:b w:val="0"/>
                <w:bCs w:val="0"/>
                <w:i w:val="0"/>
                <w:iCs w:val="0"/>
                <w:sz w:val="24"/>
                <w:szCs w:val="24"/>
              </w:rPr>
            </w:pPr>
            <w:r w:rsidRPr="064C0A1E" w:rsidR="064C0A1E">
              <w:rPr>
                <w:rFonts w:ascii="Arial" w:hAnsi="Arial" w:eastAsia="Arial" w:cs="Arial"/>
                <w:b w:val="1"/>
                <w:bCs w:val="1"/>
                <w:i w:val="0"/>
                <w:iCs w:val="0"/>
                <w:sz w:val="24"/>
                <w:szCs w:val="24"/>
                <w:lang w:val="en-GB"/>
              </w:rPr>
              <w:t>Assignment Mark</w:t>
            </w:r>
          </w:p>
          <w:tbl>
            <w:tblPr>
              <w:tblStyle w:val="TableNormal"/>
              <w:tblW w:w="0" w:type="auto"/>
              <w:tblLayout w:type="fixed"/>
              <w:tblLook w:val="01E0" w:firstRow="1" w:lastRow="1" w:firstColumn="1" w:lastColumn="1" w:noHBand="0" w:noVBand="0"/>
            </w:tblPr>
            <w:tblGrid>
              <w:gridCol w:w="6795"/>
              <w:gridCol w:w="1605"/>
            </w:tblGrid>
            <w:tr w:rsidR="064C0A1E" w:rsidTr="064C0A1E" w14:paraId="1D500D71">
              <w:tc>
                <w:tcPr>
                  <w:tcW w:w="6795" w:type="dxa"/>
                  <w:tcBorders>
                    <w:top w:val="single" w:sz="6"/>
                    <w:left w:val="single" w:sz="6"/>
                    <w:bottom w:val="single" w:sz="6"/>
                    <w:right w:val="single" w:sz="6"/>
                  </w:tcBorders>
                  <w:tcMar/>
                  <w:vAlign w:val="top"/>
                </w:tcPr>
                <w:p w:rsidR="064C0A1E" w:rsidP="064C0A1E" w:rsidRDefault="064C0A1E" w14:paraId="7DB80405" w14:textId="16589827">
                  <w:pPr>
                    <w:rPr>
                      <w:rFonts w:ascii="Arial" w:hAnsi="Arial" w:eastAsia="Arial" w:cs="Arial"/>
                      <w:b w:val="0"/>
                      <w:bCs w:val="0"/>
                      <w:i w:val="0"/>
                      <w:iCs w:val="0"/>
                      <w:sz w:val="20"/>
                      <w:szCs w:val="20"/>
                    </w:rPr>
                  </w:pPr>
                </w:p>
                <w:p w:rsidR="064C0A1E" w:rsidP="064C0A1E" w:rsidRDefault="064C0A1E" w14:paraId="3BD9EB2D" w14:textId="48369D35">
                  <w:pPr>
                    <w:rPr>
                      <w:rFonts w:ascii="Arial" w:hAnsi="Arial" w:eastAsia="Arial" w:cs="Arial"/>
                      <w:b w:val="0"/>
                      <w:bCs w:val="0"/>
                      <w:i w:val="0"/>
                      <w:iCs w:val="0"/>
                      <w:sz w:val="20"/>
                      <w:szCs w:val="20"/>
                    </w:rPr>
                  </w:pPr>
                  <w:r w:rsidRPr="064C0A1E" w:rsidR="064C0A1E">
                    <w:rPr>
                      <w:rFonts w:ascii="Arial" w:hAnsi="Arial" w:eastAsia="Arial" w:cs="Arial"/>
                      <w:b w:val="0"/>
                      <w:bCs w:val="0"/>
                      <w:i w:val="0"/>
                      <w:iCs w:val="0"/>
                      <w:sz w:val="20"/>
                      <w:szCs w:val="20"/>
                      <w:lang w:val="en-GB"/>
                    </w:rPr>
                    <w:t>1</w:t>
                  </w:r>
                  <w:r w:rsidRPr="064C0A1E" w:rsidR="064C0A1E">
                    <w:rPr>
                      <w:rFonts w:ascii="Arial" w:hAnsi="Arial" w:eastAsia="Arial" w:cs="Arial"/>
                      <w:b w:val="0"/>
                      <w:bCs w:val="0"/>
                      <w:i w:val="0"/>
                      <w:iCs w:val="0"/>
                      <w:sz w:val="20"/>
                      <w:szCs w:val="20"/>
                      <w:vertAlign w:val="superscript"/>
                      <w:lang w:val="en-GB"/>
                    </w:rPr>
                    <w:t>st</w:t>
                  </w:r>
                  <w:r w:rsidRPr="064C0A1E" w:rsidR="064C0A1E">
                    <w:rPr>
                      <w:rFonts w:ascii="Arial" w:hAnsi="Arial" w:eastAsia="Arial" w:cs="Arial"/>
                      <w:b w:val="0"/>
                      <w:bCs w:val="0"/>
                      <w:i w:val="0"/>
                      <w:iCs w:val="0"/>
                      <w:sz w:val="20"/>
                      <w:szCs w:val="20"/>
                      <w:lang w:val="en-GB"/>
                    </w:rPr>
                    <w:t xml:space="preserve"> Marker’s Provisional mark</w:t>
                  </w:r>
                </w:p>
              </w:tc>
              <w:tc>
                <w:tcPr>
                  <w:tcW w:w="1605" w:type="dxa"/>
                  <w:tcBorders>
                    <w:top w:val="single" w:sz="6"/>
                    <w:left w:val="single" w:sz="6"/>
                    <w:bottom w:val="single" w:sz="6"/>
                    <w:right w:val="single" w:sz="6"/>
                  </w:tcBorders>
                  <w:tcMar/>
                  <w:vAlign w:val="top"/>
                </w:tcPr>
                <w:p w:rsidR="064C0A1E" w:rsidP="064C0A1E" w:rsidRDefault="064C0A1E" w14:paraId="7FC11D36" w14:textId="308E8434">
                  <w:pPr>
                    <w:rPr>
                      <w:rFonts w:ascii="Arial" w:hAnsi="Arial" w:eastAsia="Arial" w:cs="Arial"/>
                      <w:b w:val="0"/>
                      <w:bCs w:val="0"/>
                      <w:i w:val="0"/>
                      <w:iCs w:val="0"/>
                      <w:sz w:val="20"/>
                      <w:szCs w:val="20"/>
                    </w:rPr>
                  </w:pPr>
                </w:p>
              </w:tc>
            </w:tr>
            <w:tr w:rsidR="064C0A1E" w:rsidTr="064C0A1E" w14:paraId="4E1E4692">
              <w:tc>
                <w:tcPr>
                  <w:tcW w:w="6795" w:type="dxa"/>
                  <w:tcBorders>
                    <w:top w:val="single" w:sz="6"/>
                    <w:left w:val="single" w:sz="6"/>
                    <w:bottom w:val="single" w:sz="6"/>
                    <w:right w:val="single" w:sz="6"/>
                  </w:tcBorders>
                  <w:tcMar/>
                  <w:vAlign w:val="top"/>
                </w:tcPr>
                <w:p w:rsidR="064C0A1E" w:rsidP="064C0A1E" w:rsidRDefault="064C0A1E" w14:paraId="3D2E618C" w14:textId="5CA8E36F">
                  <w:pPr>
                    <w:rPr>
                      <w:rFonts w:ascii="Arial" w:hAnsi="Arial" w:eastAsia="Arial" w:cs="Arial"/>
                      <w:b w:val="0"/>
                      <w:bCs w:val="0"/>
                      <w:i w:val="0"/>
                      <w:iCs w:val="0"/>
                      <w:sz w:val="20"/>
                      <w:szCs w:val="20"/>
                    </w:rPr>
                  </w:pPr>
                </w:p>
                <w:p w:rsidR="064C0A1E" w:rsidP="064C0A1E" w:rsidRDefault="064C0A1E" w14:paraId="6129C4C1" w14:textId="0F817F0E">
                  <w:pPr>
                    <w:rPr>
                      <w:rFonts w:ascii="Arial" w:hAnsi="Arial" w:eastAsia="Arial" w:cs="Arial"/>
                      <w:b w:val="0"/>
                      <w:bCs w:val="0"/>
                      <w:i w:val="0"/>
                      <w:iCs w:val="0"/>
                      <w:sz w:val="20"/>
                      <w:szCs w:val="20"/>
                    </w:rPr>
                  </w:pPr>
                  <w:r w:rsidRPr="064C0A1E" w:rsidR="064C0A1E">
                    <w:rPr>
                      <w:rFonts w:ascii="Arial" w:hAnsi="Arial" w:eastAsia="Arial" w:cs="Arial"/>
                      <w:b w:val="0"/>
                      <w:bCs w:val="0"/>
                      <w:i w:val="0"/>
                      <w:iCs w:val="0"/>
                      <w:sz w:val="20"/>
                      <w:szCs w:val="20"/>
                      <w:lang w:val="en-GB"/>
                    </w:rPr>
                    <w:t>2</w:t>
                  </w:r>
                  <w:r w:rsidRPr="064C0A1E" w:rsidR="064C0A1E">
                    <w:rPr>
                      <w:rFonts w:ascii="Arial" w:hAnsi="Arial" w:eastAsia="Arial" w:cs="Arial"/>
                      <w:b w:val="0"/>
                      <w:bCs w:val="0"/>
                      <w:i w:val="0"/>
                      <w:iCs w:val="0"/>
                      <w:sz w:val="20"/>
                      <w:szCs w:val="20"/>
                      <w:vertAlign w:val="superscript"/>
                      <w:lang w:val="en-GB"/>
                    </w:rPr>
                    <w:t>nd</w:t>
                  </w:r>
                  <w:r w:rsidRPr="064C0A1E" w:rsidR="064C0A1E">
                    <w:rPr>
                      <w:rFonts w:ascii="Arial" w:hAnsi="Arial" w:eastAsia="Arial" w:cs="Arial"/>
                      <w:b w:val="0"/>
                      <w:bCs w:val="0"/>
                      <w:i w:val="0"/>
                      <w:iCs w:val="0"/>
                      <w:sz w:val="20"/>
                      <w:szCs w:val="20"/>
                      <w:lang w:val="en-GB"/>
                    </w:rPr>
                    <w:t xml:space="preserve"> Marker’s/Moderator’s provisional mark</w:t>
                  </w:r>
                </w:p>
              </w:tc>
              <w:tc>
                <w:tcPr>
                  <w:tcW w:w="1605" w:type="dxa"/>
                  <w:tcBorders>
                    <w:top w:val="single" w:sz="6"/>
                    <w:left w:val="single" w:sz="6"/>
                    <w:bottom w:val="single" w:sz="6"/>
                    <w:right w:val="single" w:sz="6"/>
                  </w:tcBorders>
                  <w:tcMar/>
                  <w:vAlign w:val="top"/>
                </w:tcPr>
                <w:p w:rsidR="064C0A1E" w:rsidP="064C0A1E" w:rsidRDefault="064C0A1E" w14:paraId="45BDB4E6" w14:textId="4BB14601">
                  <w:pPr>
                    <w:rPr>
                      <w:rFonts w:ascii="Arial" w:hAnsi="Arial" w:eastAsia="Arial" w:cs="Arial"/>
                      <w:b w:val="0"/>
                      <w:bCs w:val="0"/>
                      <w:i w:val="0"/>
                      <w:iCs w:val="0"/>
                      <w:sz w:val="20"/>
                      <w:szCs w:val="20"/>
                    </w:rPr>
                  </w:pPr>
                </w:p>
              </w:tc>
            </w:tr>
            <w:tr w:rsidR="064C0A1E" w:rsidTr="064C0A1E" w14:paraId="0BA309B2">
              <w:tc>
                <w:tcPr>
                  <w:tcW w:w="6795" w:type="dxa"/>
                  <w:tcBorders>
                    <w:top w:val="single" w:sz="6"/>
                    <w:left w:val="single" w:sz="6"/>
                    <w:bottom w:val="single" w:sz="6"/>
                    <w:right w:val="single" w:sz="6"/>
                  </w:tcBorders>
                  <w:tcMar/>
                  <w:vAlign w:val="top"/>
                </w:tcPr>
                <w:p w:rsidR="064C0A1E" w:rsidP="064C0A1E" w:rsidRDefault="064C0A1E" w14:paraId="0B919C58" w14:textId="1AEEFAEE">
                  <w:pPr>
                    <w:rPr>
                      <w:rFonts w:ascii="Arial" w:hAnsi="Arial" w:eastAsia="Arial" w:cs="Arial"/>
                      <w:b w:val="0"/>
                      <w:bCs w:val="0"/>
                      <w:i w:val="0"/>
                      <w:iCs w:val="0"/>
                      <w:color w:val="000000" w:themeColor="text1" w:themeTint="FF" w:themeShade="FF"/>
                      <w:sz w:val="20"/>
                      <w:szCs w:val="20"/>
                    </w:rPr>
                  </w:pPr>
                  <w:r w:rsidRPr="064C0A1E" w:rsidR="064C0A1E">
                    <w:rPr>
                      <w:rFonts w:ascii="Arial" w:hAnsi="Arial" w:eastAsia="Arial" w:cs="Arial"/>
                      <w:b w:val="0"/>
                      <w:bCs w:val="0"/>
                      <w:i w:val="0"/>
                      <w:iCs w:val="0"/>
                      <w:color w:val="000000" w:themeColor="text1" w:themeTint="FF" w:themeShade="FF"/>
                      <w:sz w:val="20"/>
                      <w:szCs w:val="20"/>
                      <w:lang w:val="en-GB"/>
                    </w:rPr>
                    <w:t xml:space="preserve">Agreed Internal Mark: </w:t>
                  </w:r>
                </w:p>
                <w:p w:rsidR="064C0A1E" w:rsidP="064C0A1E" w:rsidRDefault="064C0A1E" w14:paraId="2304BFE6" w14:textId="7FB05093">
                  <w:pPr>
                    <w:rPr>
                      <w:rFonts w:ascii="Arial" w:hAnsi="Arial" w:eastAsia="Arial" w:cs="Arial"/>
                      <w:b w:val="0"/>
                      <w:bCs w:val="0"/>
                      <w:i w:val="0"/>
                      <w:iCs w:val="0"/>
                      <w:sz w:val="20"/>
                      <w:szCs w:val="20"/>
                    </w:rPr>
                  </w:pPr>
                </w:p>
              </w:tc>
              <w:tc>
                <w:tcPr>
                  <w:tcW w:w="1605" w:type="dxa"/>
                  <w:tcBorders>
                    <w:top w:val="single" w:sz="6"/>
                    <w:left w:val="single" w:sz="6"/>
                    <w:bottom w:val="single" w:sz="6"/>
                    <w:right w:val="single" w:sz="6"/>
                  </w:tcBorders>
                  <w:tcMar/>
                  <w:vAlign w:val="top"/>
                </w:tcPr>
                <w:p w:rsidR="064C0A1E" w:rsidP="064C0A1E" w:rsidRDefault="064C0A1E" w14:paraId="2B5695E9" w14:textId="75561080">
                  <w:pPr>
                    <w:rPr>
                      <w:rFonts w:ascii="Arial" w:hAnsi="Arial" w:eastAsia="Arial" w:cs="Arial"/>
                      <w:b w:val="0"/>
                      <w:bCs w:val="0"/>
                      <w:i w:val="0"/>
                      <w:iCs w:val="0"/>
                      <w:sz w:val="20"/>
                      <w:szCs w:val="20"/>
                    </w:rPr>
                  </w:pPr>
                </w:p>
              </w:tc>
            </w:tr>
            <w:tr w:rsidR="064C0A1E" w:rsidTr="064C0A1E" w14:paraId="2FC1A6D5">
              <w:tc>
                <w:tcPr>
                  <w:tcW w:w="6795" w:type="dxa"/>
                  <w:tcBorders>
                    <w:top w:val="single" w:sz="6"/>
                    <w:left w:val="single" w:sz="6"/>
                    <w:bottom w:val="single" w:sz="6"/>
                    <w:right w:val="single" w:sz="6"/>
                  </w:tcBorders>
                  <w:tcMar/>
                  <w:vAlign w:val="top"/>
                </w:tcPr>
                <w:p w:rsidR="064C0A1E" w:rsidP="064C0A1E" w:rsidRDefault="064C0A1E" w14:paraId="728F26CA" w14:textId="5F7B8550">
                  <w:pPr>
                    <w:rPr>
                      <w:rFonts w:ascii="Arial" w:hAnsi="Arial" w:eastAsia="Arial" w:cs="Arial"/>
                      <w:b w:val="0"/>
                      <w:bCs w:val="0"/>
                      <w:i w:val="0"/>
                      <w:iCs w:val="0"/>
                      <w:sz w:val="20"/>
                      <w:szCs w:val="20"/>
                    </w:rPr>
                  </w:pPr>
                </w:p>
                <w:p w:rsidR="064C0A1E" w:rsidP="064C0A1E" w:rsidRDefault="064C0A1E" w14:paraId="732D00F3" w14:textId="5A9270B8">
                  <w:pPr>
                    <w:rPr>
                      <w:rFonts w:ascii="Arial" w:hAnsi="Arial" w:eastAsia="Arial" w:cs="Arial"/>
                      <w:b w:val="0"/>
                      <w:bCs w:val="0"/>
                      <w:i w:val="0"/>
                      <w:iCs w:val="0"/>
                      <w:sz w:val="20"/>
                      <w:szCs w:val="20"/>
                    </w:rPr>
                  </w:pPr>
                  <w:r w:rsidRPr="064C0A1E" w:rsidR="064C0A1E">
                    <w:rPr>
                      <w:rFonts w:ascii="Arial" w:hAnsi="Arial" w:eastAsia="Arial" w:cs="Arial"/>
                      <w:b w:val="0"/>
                      <w:bCs w:val="0"/>
                      <w:i w:val="0"/>
                      <w:iCs w:val="0"/>
                      <w:sz w:val="20"/>
                      <w:szCs w:val="20"/>
                      <w:lang w:val="en-GB"/>
                    </w:rPr>
                    <w:t>External Examiner’s mark (if relevant)</w:t>
                  </w:r>
                </w:p>
              </w:tc>
              <w:tc>
                <w:tcPr>
                  <w:tcW w:w="1605" w:type="dxa"/>
                  <w:tcBorders>
                    <w:top w:val="single" w:sz="6"/>
                    <w:left w:val="single" w:sz="6"/>
                    <w:bottom w:val="single" w:sz="6"/>
                    <w:right w:val="single" w:sz="6"/>
                  </w:tcBorders>
                  <w:tcMar/>
                  <w:vAlign w:val="top"/>
                </w:tcPr>
                <w:p w:rsidR="064C0A1E" w:rsidP="064C0A1E" w:rsidRDefault="064C0A1E" w14:paraId="2CEFBFEB" w14:textId="3E9F582E">
                  <w:pPr>
                    <w:rPr>
                      <w:rFonts w:ascii="Arial" w:hAnsi="Arial" w:eastAsia="Arial" w:cs="Arial"/>
                      <w:b w:val="0"/>
                      <w:bCs w:val="0"/>
                      <w:i w:val="0"/>
                      <w:iCs w:val="0"/>
                      <w:sz w:val="20"/>
                      <w:szCs w:val="20"/>
                    </w:rPr>
                  </w:pPr>
                </w:p>
              </w:tc>
            </w:tr>
            <w:tr w:rsidR="064C0A1E" w:rsidTr="064C0A1E" w14:paraId="71C15EAB">
              <w:tc>
                <w:tcPr>
                  <w:tcW w:w="6795" w:type="dxa"/>
                  <w:tcBorders>
                    <w:top w:val="single" w:sz="6"/>
                    <w:left w:val="single" w:sz="6"/>
                    <w:bottom w:val="single" w:sz="6"/>
                    <w:right w:val="single" w:sz="6"/>
                  </w:tcBorders>
                  <w:tcMar/>
                  <w:vAlign w:val="top"/>
                </w:tcPr>
                <w:p w:rsidR="064C0A1E" w:rsidP="064C0A1E" w:rsidRDefault="064C0A1E" w14:paraId="3F9413F8" w14:textId="580EE578">
                  <w:pPr>
                    <w:rPr>
                      <w:rFonts w:ascii="Arial" w:hAnsi="Arial" w:eastAsia="Arial" w:cs="Arial"/>
                      <w:b w:val="0"/>
                      <w:bCs w:val="0"/>
                      <w:i w:val="0"/>
                      <w:iCs w:val="0"/>
                      <w:sz w:val="20"/>
                      <w:szCs w:val="20"/>
                    </w:rPr>
                  </w:pPr>
                </w:p>
                <w:p w:rsidR="064C0A1E" w:rsidP="064C0A1E" w:rsidRDefault="064C0A1E" w14:paraId="4FC1B971" w14:textId="3AE9E131">
                  <w:pPr>
                    <w:rPr>
                      <w:rFonts w:ascii="Arial" w:hAnsi="Arial" w:eastAsia="Arial" w:cs="Arial"/>
                      <w:b w:val="0"/>
                      <w:bCs w:val="0"/>
                      <w:i w:val="0"/>
                      <w:iCs w:val="0"/>
                      <w:sz w:val="20"/>
                      <w:szCs w:val="20"/>
                    </w:rPr>
                  </w:pPr>
                  <w:r w:rsidRPr="064C0A1E" w:rsidR="064C0A1E">
                    <w:rPr>
                      <w:rFonts w:ascii="Arial" w:hAnsi="Arial" w:eastAsia="Arial" w:cs="Arial"/>
                      <w:b w:val="1"/>
                      <w:bCs w:val="1"/>
                      <w:i w:val="0"/>
                      <w:iCs w:val="0"/>
                      <w:sz w:val="20"/>
                      <w:szCs w:val="20"/>
                      <w:lang w:val="en-GB"/>
                    </w:rPr>
                    <w:t>Final Mark</w:t>
                  </w:r>
                </w:p>
                <w:p w:rsidR="064C0A1E" w:rsidP="064C0A1E" w:rsidRDefault="064C0A1E" w14:paraId="091C589F" w14:textId="606A511B">
                  <w:pPr>
                    <w:rPr>
                      <w:rFonts w:ascii="Arial" w:hAnsi="Arial" w:eastAsia="Arial" w:cs="Arial"/>
                      <w:b w:val="0"/>
                      <w:bCs w:val="0"/>
                      <w:i w:val="0"/>
                      <w:iCs w:val="0"/>
                      <w:sz w:val="20"/>
                      <w:szCs w:val="20"/>
                    </w:rPr>
                  </w:pPr>
                </w:p>
              </w:tc>
              <w:tc>
                <w:tcPr>
                  <w:tcW w:w="1605" w:type="dxa"/>
                  <w:tcBorders>
                    <w:top w:val="single" w:sz="6"/>
                    <w:left w:val="single" w:sz="6"/>
                    <w:bottom w:val="single" w:sz="6"/>
                    <w:right w:val="single" w:sz="6"/>
                  </w:tcBorders>
                  <w:tcMar/>
                  <w:vAlign w:val="top"/>
                </w:tcPr>
                <w:p w:rsidR="064C0A1E" w:rsidP="064C0A1E" w:rsidRDefault="064C0A1E" w14:paraId="0ED1ACA3" w14:textId="4690CDE2">
                  <w:pPr>
                    <w:rPr>
                      <w:rFonts w:ascii="Arial" w:hAnsi="Arial" w:eastAsia="Arial" w:cs="Arial"/>
                      <w:b w:val="0"/>
                      <w:bCs w:val="0"/>
                      <w:i w:val="0"/>
                      <w:iCs w:val="0"/>
                      <w:sz w:val="20"/>
                      <w:szCs w:val="20"/>
                    </w:rPr>
                  </w:pPr>
                </w:p>
              </w:tc>
            </w:tr>
          </w:tbl>
          <w:p w:rsidR="064C0A1E" w:rsidP="064C0A1E" w:rsidRDefault="064C0A1E" w14:paraId="0A1C22E8" w14:textId="5CDCE3E5">
            <w:pPr>
              <w:spacing w:beforeAutospacing="on" w:afterAutospacing="on"/>
              <w:ind w:left="142" w:right="34"/>
              <w:rPr>
                <w:rFonts w:ascii="Arial" w:hAnsi="Arial" w:eastAsia="Arial" w:cs="Arial"/>
                <w:b w:val="0"/>
                <w:bCs w:val="0"/>
                <w:i w:val="0"/>
                <w:iCs w:val="0"/>
                <w:color w:val="000000" w:themeColor="text1" w:themeTint="FF" w:themeShade="FF"/>
                <w:sz w:val="22"/>
                <w:szCs w:val="22"/>
              </w:rPr>
            </w:pPr>
          </w:p>
          <w:p w:rsidR="064C0A1E" w:rsidP="064C0A1E" w:rsidRDefault="064C0A1E" w14:paraId="0ED62078" w14:textId="6DF46E7C">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1"/>
                <w:bCs w:val="1"/>
                <w:i w:val="0"/>
                <w:iCs w:val="0"/>
                <w:color w:val="000000" w:themeColor="text1" w:themeTint="FF" w:themeShade="FF"/>
                <w:sz w:val="22"/>
                <w:szCs w:val="22"/>
                <w:lang w:val="en-GB"/>
              </w:rPr>
              <w:t>NB.</w:t>
            </w:r>
            <w:r w:rsidRPr="064C0A1E" w:rsidR="064C0A1E">
              <w:rPr>
                <w:rFonts w:ascii="Arial" w:hAnsi="Arial" w:eastAsia="Arial" w:cs="Arial"/>
                <w:b w:val="0"/>
                <w:bCs w:val="0"/>
                <w:i w:val="0"/>
                <w:iCs w:val="0"/>
                <w:color w:val="000000" w:themeColor="text1" w:themeTint="FF" w:themeShade="FF"/>
                <w:sz w:val="22"/>
                <w:szCs w:val="22"/>
                <w:lang w:val="en-GB"/>
              </w:rPr>
              <w:t xml:space="preserve">  All marks are provisional until confirmed by the Final Examination Board.</w:t>
            </w:r>
          </w:p>
          <w:p w:rsidR="064C0A1E" w:rsidP="064C0A1E" w:rsidRDefault="064C0A1E" w14:paraId="44524B5B" w14:textId="6B357BD5">
            <w:pPr>
              <w:spacing w:beforeAutospacing="on" w:afterAutospacing="on"/>
              <w:rPr>
                <w:rFonts w:ascii="Arial" w:hAnsi="Arial" w:eastAsia="Arial" w:cs="Arial"/>
                <w:b w:val="0"/>
                <w:bCs w:val="0"/>
                <w:i w:val="0"/>
                <w:iCs w:val="0"/>
                <w:color w:val="000000" w:themeColor="text1" w:themeTint="FF" w:themeShade="FF"/>
                <w:sz w:val="22"/>
                <w:szCs w:val="22"/>
              </w:rPr>
            </w:pPr>
          </w:p>
          <w:p w:rsidR="064C0A1E" w:rsidP="064C0A1E" w:rsidRDefault="064C0A1E" w14:paraId="3FF991A9" w14:textId="2839FE1B">
            <w:pPr>
              <w:spacing w:beforeAutospacing="on" w:afterAutospacing="on"/>
              <w:rPr>
                <w:rFonts w:ascii="Arial" w:hAnsi="Arial" w:eastAsia="Arial" w:cs="Arial"/>
                <w:b w:val="0"/>
                <w:bCs w:val="0"/>
                <w:i w:val="0"/>
                <w:iCs w:val="0"/>
                <w:color w:val="000000" w:themeColor="text1" w:themeTint="FF" w:themeShade="FF"/>
                <w:sz w:val="22"/>
                <w:szCs w:val="22"/>
              </w:rPr>
            </w:pPr>
          </w:p>
          <w:p w:rsidR="064C0A1E" w:rsidP="064C0A1E" w:rsidRDefault="064C0A1E" w14:paraId="566ACDDE" w14:textId="17389971">
            <w:pPr>
              <w:spacing w:beforeAutospacing="on" w:afterAutospacing="on"/>
              <w:rPr>
                <w:rFonts w:ascii="Arial" w:hAnsi="Arial" w:eastAsia="Arial" w:cs="Arial"/>
                <w:b w:val="0"/>
                <w:bCs w:val="0"/>
                <w:i w:val="0"/>
                <w:iCs w:val="0"/>
                <w:color w:val="000000" w:themeColor="text1" w:themeTint="FF" w:themeShade="FF"/>
                <w:sz w:val="22"/>
                <w:szCs w:val="22"/>
              </w:rPr>
            </w:pPr>
          </w:p>
          <w:p w:rsidR="064C0A1E" w:rsidP="064C0A1E" w:rsidRDefault="064C0A1E" w14:paraId="5A5A2346" w14:textId="0405E683">
            <w:pPr>
              <w:spacing w:beforeAutospacing="on" w:afterAutospacing="on"/>
              <w:rPr>
                <w:rFonts w:ascii="Arial" w:hAnsi="Arial" w:eastAsia="Arial" w:cs="Arial"/>
                <w:b w:val="0"/>
                <w:bCs w:val="0"/>
                <w:i w:val="0"/>
                <w:iCs w:val="0"/>
                <w:color w:val="000000" w:themeColor="text1" w:themeTint="FF" w:themeShade="FF"/>
                <w:sz w:val="22"/>
                <w:szCs w:val="22"/>
              </w:rPr>
            </w:pPr>
          </w:p>
          <w:p w:rsidR="064C0A1E" w:rsidP="064C0A1E" w:rsidRDefault="064C0A1E" w14:paraId="7AF8B075" w14:textId="38C7B741">
            <w:pPr>
              <w:spacing w:beforeAutospacing="on" w:afterAutospacing="on"/>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1"/>
                <w:bCs w:val="1"/>
                <w:i w:val="0"/>
                <w:iCs w:val="0"/>
                <w:color w:val="000000" w:themeColor="text1" w:themeTint="FF" w:themeShade="FF"/>
                <w:sz w:val="22"/>
                <w:szCs w:val="22"/>
                <w:lang w:val="en-GB"/>
              </w:rPr>
              <w:t>For completion by Marker 1 :</w:t>
            </w:r>
          </w:p>
          <w:p w:rsidR="064C0A1E" w:rsidP="064C0A1E" w:rsidRDefault="064C0A1E" w14:paraId="059E40CB" w14:textId="74C67642">
            <w:pPr>
              <w:spacing w:beforeAutospacing="on" w:afterAutospacing="on"/>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Comments:</w:t>
            </w:r>
          </w:p>
          <w:p w:rsidR="064C0A1E" w:rsidP="064C0A1E" w:rsidRDefault="064C0A1E" w14:paraId="4DB71D7F" w14:textId="68F88561">
            <w:pPr>
              <w:spacing w:beforeAutospacing="on" w:afterAutospacing="on"/>
              <w:rPr>
                <w:rFonts w:ascii="Arial" w:hAnsi="Arial" w:eastAsia="Arial" w:cs="Arial"/>
                <w:b w:val="0"/>
                <w:bCs w:val="0"/>
                <w:i w:val="0"/>
                <w:iCs w:val="0"/>
                <w:color w:val="000000" w:themeColor="text1" w:themeTint="FF" w:themeShade="FF"/>
                <w:sz w:val="22"/>
                <w:szCs w:val="22"/>
              </w:rPr>
            </w:pPr>
          </w:p>
        </w:tc>
      </w:tr>
      <w:tr w:rsidR="064C0A1E" w:rsidTr="064C0A1E" w14:paraId="27FF7214">
        <w:trPr>
          <w:trHeight w:val="480"/>
        </w:trPr>
        <w:tc>
          <w:tcPr>
            <w:tcW w:w="655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6153E87A" w14:textId="36B5117F">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Marker’s signature:</w:t>
            </w:r>
          </w:p>
        </w:tc>
        <w:tc>
          <w:tcPr>
            <w:tcW w:w="2055"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39646FB0" w14:textId="0BFE70F6">
            <w:pPr>
              <w:spacing w:beforeAutospacing="on" w:afterAutospacing="on"/>
              <w:ind w:left="142" w:right="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Date:</w:t>
            </w:r>
          </w:p>
        </w:tc>
      </w:tr>
      <w:tr w:rsidR="064C0A1E" w:rsidTr="064C0A1E" w14:paraId="324281B5">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0A35C12F" w14:textId="008564E7">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414AF4A2" w14:textId="1B99EC27">
            <w:pPr>
              <w:spacing w:beforeAutospacing="on" w:afterAutospacing="on"/>
              <w:ind w:right="-3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1"/>
                <w:bCs w:val="1"/>
                <w:i w:val="0"/>
                <w:iCs w:val="0"/>
                <w:color w:val="000000" w:themeColor="text1" w:themeTint="FF" w:themeShade="FF"/>
                <w:sz w:val="22"/>
                <w:szCs w:val="22"/>
                <w:lang w:val="en-GB"/>
              </w:rPr>
              <w:t>For completion by Marker 2/Moderator:</w:t>
            </w:r>
          </w:p>
          <w:p w:rsidR="064C0A1E" w:rsidP="064C0A1E" w:rsidRDefault="064C0A1E" w14:paraId="2D2B77BA" w14:textId="1AC8C6EF">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11C1D15A" w14:textId="60E781BE">
            <w:pPr>
              <w:spacing w:beforeAutospacing="on" w:afterAutospacing="on"/>
              <w:ind w:right="-3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Comments:</w:t>
            </w:r>
          </w:p>
          <w:p w:rsidR="064C0A1E" w:rsidP="064C0A1E" w:rsidRDefault="064C0A1E" w14:paraId="6C1F394D" w14:textId="493C575A">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6D9DCCC7" w14:textId="00FC2D29">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3C4F3675" w14:textId="1793C4D9">
            <w:pPr>
              <w:spacing w:beforeAutospacing="on" w:afterAutospacing="on"/>
              <w:ind w:right="-334"/>
              <w:rPr>
                <w:rFonts w:ascii="Arial" w:hAnsi="Arial" w:eastAsia="Arial" w:cs="Arial"/>
                <w:b w:val="0"/>
                <w:bCs w:val="0"/>
                <w:i w:val="0"/>
                <w:iCs w:val="0"/>
                <w:color w:val="000000" w:themeColor="text1" w:themeTint="FF" w:themeShade="FF"/>
                <w:sz w:val="22"/>
                <w:szCs w:val="22"/>
              </w:rPr>
            </w:pPr>
          </w:p>
        </w:tc>
      </w:tr>
      <w:tr w:rsidR="064C0A1E" w:rsidTr="064C0A1E" w14:paraId="7745CFC6">
        <w:trPr>
          <w:trHeight w:val="720"/>
        </w:trPr>
        <w:tc>
          <w:tcPr>
            <w:tcW w:w="5025"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2DCECCDB" w14:textId="574F4149">
            <w:pPr>
              <w:spacing w:beforeAutospacing="on" w:afterAutospacing="on"/>
              <w:ind w:right="-3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Marker’s Signature:</w:t>
            </w:r>
          </w:p>
        </w:tc>
        <w:tc>
          <w:tcPr>
            <w:tcW w:w="358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1F3C6E73" w14:textId="06AE10FA">
            <w:pPr>
              <w:spacing w:beforeAutospacing="on" w:afterAutospacing="on"/>
              <w:ind w:right="-334"/>
              <w:rPr>
                <w:rFonts w:ascii="Arial" w:hAnsi="Arial" w:eastAsia="Arial" w:cs="Arial"/>
                <w:b w:val="0"/>
                <w:bCs w:val="0"/>
                <w:i w:val="0"/>
                <w:iCs w:val="0"/>
                <w:color w:val="000000" w:themeColor="text1" w:themeTint="FF" w:themeShade="FF"/>
                <w:sz w:val="22"/>
                <w:szCs w:val="22"/>
              </w:rPr>
            </w:pPr>
            <w:r w:rsidRPr="064C0A1E" w:rsidR="064C0A1E">
              <w:rPr>
                <w:rFonts w:ascii="Arial" w:hAnsi="Arial" w:eastAsia="Arial" w:cs="Arial"/>
                <w:b w:val="0"/>
                <w:bCs w:val="0"/>
                <w:i w:val="0"/>
                <w:iCs w:val="0"/>
                <w:color w:val="000000" w:themeColor="text1" w:themeTint="FF" w:themeShade="FF"/>
                <w:sz w:val="22"/>
                <w:szCs w:val="22"/>
                <w:lang w:val="en-GB"/>
              </w:rPr>
              <w:t>Date:</w:t>
            </w:r>
          </w:p>
        </w:tc>
      </w:tr>
      <w:tr w:rsidR="064C0A1E" w:rsidTr="064C0A1E" w14:paraId="11F0F9AA">
        <w:trPr>
          <w:trHeight w:val="720"/>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2BDD7A35" w14:textId="66413687">
            <w:pPr>
              <w:rPr>
                <w:rFonts w:ascii="Arial" w:hAnsi="Arial" w:eastAsia="Arial" w:cs="Arial"/>
                <w:b w:val="0"/>
                <w:bCs w:val="0"/>
                <w:i w:val="0"/>
                <w:iCs w:val="0"/>
                <w:sz w:val="22"/>
                <w:szCs w:val="22"/>
              </w:rPr>
            </w:pPr>
            <w:r w:rsidRPr="064C0A1E" w:rsidR="064C0A1E">
              <w:rPr>
                <w:rFonts w:ascii="Arial" w:hAnsi="Arial" w:eastAsia="Arial" w:cs="Arial"/>
                <w:b w:val="1"/>
                <w:bCs w:val="1"/>
                <w:i w:val="0"/>
                <w:iCs w:val="0"/>
                <w:sz w:val="22"/>
                <w:szCs w:val="22"/>
                <w:lang w:val="en-GB"/>
              </w:rPr>
              <w:t>AGREED INTERNAL MARK (where necessary):</w:t>
            </w:r>
          </w:p>
          <w:p w:rsidR="064C0A1E" w:rsidP="064C0A1E" w:rsidRDefault="064C0A1E" w14:paraId="724184E5" w14:textId="61E30D34">
            <w:pPr>
              <w:rPr>
                <w:rFonts w:ascii="Arial" w:hAnsi="Arial" w:eastAsia="Arial" w:cs="Arial"/>
                <w:b w:val="0"/>
                <w:bCs w:val="0"/>
                <w:i w:val="0"/>
                <w:iCs w:val="0"/>
                <w:sz w:val="22"/>
                <w:szCs w:val="22"/>
              </w:rPr>
            </w:pPr>
          </w:p>
          <w:p w:rsidR="064C0A1E" w:rsidP="064C0A1E" w:rsidRDefault="064C0A1E" w14:paraId="2AC59E49" w14:textId="60A1A0A0">
            <w:pPr>
              <w:rPr>
                <w:rFonts w:ascii="Arial" w:hAnsi="Arial" w:eastAsia="Arial" w:cs="Arial"/>
                <w:b w:val="0"/>
                <w:bCs w:val="0"/>
                <w:i w:val="0"/>
                <w:iCs w:val="0"/>
                <w:sz w:val="22"/>
                <w:szCs w:val="22"/>
              </w:rPr>
            </w:pPr>
            <w:r w:rsidRPr="064C0A1E" w:rsidR="064C0A1E">
              <w:rPr>
                <w:rFonts w:ascii="Arial" w:hAnsi="Arial" w:eastAsia="Arial" w:cs="Arial"/>
                <w:b w:val="1"/>
                <w:bCs w:val="1"/>
                <w:i w:val="0"/>
                <w:iCs w:val="0"/>
                <w:sz w:val="22"/>
                <w:szCs w:val="22"/>
                <w:lang w:val="en-GB"/>
              </w:rPr>
              <w:t>Comment on process of arriving at agreed mark:</w:t>
            </w:r>
          </w:p>
          <w:p w:rsidR="064C0A1E" w:rsidP="064C0A1E" w:rsidRDefault="064C0A1E" w14:paraId="6A9D07B8" w14:textId="769D06C6">
            <w:pPr>
              <w:rPr>
                <w:rFonts w:ascii="Arial" w:hAnsi="Arial" w:eastAsia="Arial" w:cs="Arial"/>
                <w:b w:val="0"/>
                <w:bCs w:val="0"/>
                <w:i w:val="0"/>
                <w:iCs w:val="0"/>
                <w:sz w:val="22"/>
                <w:szCs w:val="22"/>
              </w:rPr>
            </w:pPr>
          </w:p>
          <w:p w:rsidR="064C0A1E" w:rsidP="064C0A1E" w:rsidRDefault="064C0A1E" w14:paraId="6F3D3485" w14:textId="031D619E">
            <w:pPr>
              <w:rPr>
                <w:rFonts w:ascii="Arial" w:hAnsi="Arial" w:eastAsia="Arial" w:cs="Arial"/>
                <w:b w:val="0"/>
                <w:bCs w:val="0"/>
                <w:i w:val="0"/>
                <w:iCs w:val="0"/>
                <w:sz w:val="22"/>
                <w:szCs w:val="22"/>
              </w:rPr>
            </w:pPr>
          </w:p>
          <w:p w:rsidR="064C0A1E" w:rsidP="064C0A1E" w:rsidRDefault="064C0A1E" w14:paraId="3AFC9190" w14:textId="11334841">
            <w:pPr>
              <w:rPr>
                <w:rFonts w:ascii="Arial" w:hAnsi="Arial" w:eastAsia="Arial" w:cs="Arial"/>
                <w:b w:val="0"/>
                <w:bCs w:val="0"/>
                <w:i w:val="0"/>
                <w:iCs w:val="0"/>
                <w:sz w:val="22"/>
                <w:szCs w:val="22"/>
              </w:rPr>
            </w:pPr>
          </w:p>
          <w:p w:rsidR="064C0A1E" w:rsidP="064C0A1E" w:rsidRDefault="064C0A1E" w14:paraId="2819EE07" w14:textId="04DD4276">
            <w:pPr>
              <w:rPr>
                <w:rFonts w:ascii="Arial" w:hAnsi="Arial" w:eastAsia="Arial" w:cs="Arial"/>
                <w:b w:val="0"/>
                <w:bCs w:val="0"/>
                <w:i w:val="0"/>
                <w:iCs w:val="0"/>
                <w:sz w:val="22"/>
                <w:szCs w:val="22"/>
              </w:rPr>
            </w:pPr>
          </w:p>
          <w:p w:rsidR="064C0A1E" w:rsidP="064C0A1E" w:rsidRDefault="064C0A1E" w14:paraId="5DBB7A8E" w14:textId="53B759E8">
            <w:pPr>
              <w:rPr>
                <w:rFonts w:ascii="Arial" w:hAnsi="Arial" w:eastAsia="Arial" w:cs="Arial"/>
                <w:b w:val="0"/>
                <w:bCs w:val="0"/>
                <w:i w:val="0"/>
                <w:iCs w:val="0"/>
                <w:sz w:val="22"/>
                <w:szCs w:val="22"/>
              </w:rPr>
            </w:pPr>
          </w:p>
          <w:p w:rsidR="064C0A1E" w:rsidP="064C0A1E" w:rsidRDefault="064C0A1E" w14:paraId="5560C7EF" w14:textId="3847D1BD">
            <w:pPr>
              <w:rPr>
                <w:rFonts w:ascii="Arial" w:hAnsi="Arial" w:eastAsia="Arial" w:cs="Arial"/>
                <w:b w:val="0"/>
                <w:bCs w:val="0"/>
                <w:i w:val="0"/>
                <w:iCs w:val="0"/>
                <w:sz w:val="22"/>
                <w:szCs w:val="22"/>
              </w:rPr>
            </w:pPr>
          </w:p>
          <w:p w:rsidR="064C0A1E" w:rsidP="064C0A1E" w:rsidRDefault="064C0A1E" w14:paraId="3E2B0380" w14:textId="71B4D604">
            <w:pPr>
              <w:rPr>
                <w:rFonts w:ascii="Arial" w:hAnsi="Arial" w:eastAsia="Arial" w:cs="Arial"/>
                <w:b w:val="0"/>
                <w:bCs w:val="0"/>
                <w:i w:val="0"/>
                <w:iCs w:val="0"/>
                <w:sz w:val="22"/>
                <w:szCs w:val="22"/>
              </w:rPr>
            </w:pPr>
          </w:p>
          <w:p w:rsidR="064C0A1E" w:rsidP="064C0A1E" w:rsidRDefault="064C0A1E" w14:paraId="54BF49B7" w14:textId="1AD90C34">
            <w:pPr>
              <w:rPr>
                <w:rFonts w:ascii="Arial" w:hAnsi="Arial" w:eastAsia="Arial" w:cs="Arial"/>
                <w:b w:val="0"/>
                <w:bCs w:val="0"/>
                <w:i w:val="0"/>
                <w:iCs w:val="0"/>
                <w:sz w:val="22"/>
                <w:szCs w:val="22"/>
              </w:rPr>
            </w:pPr>
          </w:p>
        </w:tc>
      </w:tr>
      <w:tr w:rsidR="064C0A1E" w:rsidTr="064C0A1E" w14:paraId="423EB549">
        <w:trPr>
          <w:trHeight w:val="720"/>
        </w:trPr>
        <w:tc>
          <w:tcPr>
            <w:tcW w:w="8610"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0C9EBE70" w14:textId="66994C17">
            <w:pPr>
              <w:rPr>
                <w:rFonts w:ascii="Arial" w:hAnsi="Arial" w:eastAsia="Arial" w:cs="Arial"/>
                <w:b w:val="0"/>
                <w:bCs w:val="0"/>
                <w:i w:val="0"/>
                <w:iCs w:val="0"/>
                <w:sz w:val="22"/>
                <w:szCs w:val="22"/>
              </w:rPr>
            </w:pPr>
            <w:r w:rsidRPr="064C0A1E" w:rsidR="064C0A1E">
              <w:rPr>
                <w:rFonts w:ascii="Arial" w:hAnsi="Arial" w:eastAsia="Arial" w:cs="Arial"/>
                <w:b w:val="1"/>
                <w:bCs w:val="1"/>
                <w:i w:val="0"/>
                <w:iCs w:val="0"/>
                <w:sz w:val="22"/>
                <w:szCs w:val="22"/>
                <w:lang w:val="en-GB"/>
              </w:rPr>
              <w:t>External Examiner’s comments (if relevant)</w:t>
            </w:r>
          </w:p>
          <w:p w:rsidR="064C0A1E" w:rsidP="064C0A1E" w:rsidRDefault="064C0A1E" w14:paraId="389ECFD8" w14:textId="27B78105">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0F065066" w14:textId="4CA57B34">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666B29A7" w14:textId="66751363">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57661D2D" w14:textId="70696779">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11B30B5B" w14:textId="24E321B2">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626E539D" w14:textId="1F175812">
            <w:pPr>
              <w:spacing w:beforeAutospacing="on" w:afterAutospacing="on"/>
              <w:ind w:right="-334"/>
              <w:rPr>
                <w:rFonts w:ascii="Arial" w:hAnsi="Arial" w:eastAsia="Arial" w:cs="Arial"/>
                <w:b w:val="0"/>
                <w:bCs w:val="0"/>
                <w:i w:val="0"/>
                <w:iCs w:val="0"/>
                <w:color w:val="000000" w:themeColor="text1" w:themeTint="FF" w:themeShade="FF"/>
                <w:sz w:val="22"/>
                <w:szCs w:val="22"/>
              </w:rPr>
            </w:pPr>
          </w:p>
          <w:p w:rsidR="064C0A1E" w:rsidP="064C0A1E" w:rsidRDefault="064C0A1E" w14:paraId="772EA004" w14:textId="662BC2C5">
            <w:pPr>
              <w:spacing w:beforeAutospacing="on" w:afterAutospacing="on"/>
              <w:ind w:right="-334"/>
              <w:rPr>
                <w:rFonts w:ascii="Arial" w:hAnsi="Arial" w:eastAsia="Arial" w:cs="Arial"/>
                <w:b w:val="0"/>
                <w:bCs w:val="0"/>
                <w:i w:val="0"/>
                <w:iCs w:val="0"/>
                <w:color w:val="000000" w:themeColor="text1" w:themeTint="FF" w:themeShade="FF"/>
                <w:sz w:val="22"/>
                <w:szCs w:val="22"/>
              </w:rPr>
            </w:pPr>
          </w:p>
        </w:tc>
      </w:tr>
      <w:tr w:rsidR="064C0A1E" w:rsidTr="064C0A1E" w14:paraId="0BD22525">
        <w:trPr>
          <w:trHeight w:val="720"/>
        </w:trPr>
        <w:tc>
          <w:tcPr>
            <w:tcW w:w="5025" w:type="dxa"/>
            <w:gridSpan w:val="2"/>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16DD6D15" w14:textId="6F69A123">
            <w:pPr>
              <w:rPr>
                <w:rFonts w:ascii="Arial" w:hAnsi="Arial" w:eastAsia="Arial" w:cs="Arial"/>
                <w:b w:val="0"/>
                <w:bCs w:val="0"/>
                <w:i w:val="0"/>
                <w:iCs w:val="0"/>
                <w:sz w:val="22"/>
                <w:szCs w:val="22"/>
              </w:rPr>
            </w:pPr>
            <w:r w:rsidRPr="064C0A1E" w:rsidR="064C0A1E">
              <w:rPr>
                <w:rFonts w:ascii="Arial" w:hAnsi="Arial" w:eastAsia="Arial" w:cs="Arial"/>
                <w:b w:val="0"/>
                <w:bCs w:val="0"/>
                <w:i w:val="0"/>
                <w:iCs w:val="0"/>
                <w:sz w:val="22"/>
                <w:szCs w:val="22"/>
                <w:lang w:val="en-GB"/>
              </w:rPr>
              <w:t>External Examiner’s Signature:</w:t>
            </w:r>
          </w:p>
        </w:tc>
        <w:tc>
          <w:tcPr>
            <w:tcW w:w="358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064C0A1E" w:rsidP="064C0A1E" w:rsidRDefault="064C0A1E" w14:paraId="7A411A5A" w14:textId="637F9518">
            <w:pPr>
              <w:rPr>
                <w:rFonts w:ascii="Arial" w:hAnsi="Arial" w:eastAsia="Arial" w:cs="Arial"/>
                <w:b w:val="0"/>
                <w:bCs w:val="0"/>
                <w:i w:val="0"/>
                <w:iCs w:val="0"/>
                <w:sz w:val="22"/>
                <w:szCs w:val="22"/>
              </w:rPr>
            </w:pPr>
            <w:r w:rsidRPr="064C0A1E" w:rsidR="064C0A1E">
              <w:rPr>
                <w:rFonts w:ascii="Arial" w:hAnsi="Arial" w:eastAsia="Arial" w:cs="Arial"/>
                <w:b w:val="0"/>
                <w:bCs w:val="0"/>
                <w:i w:val="0"/>
                <w:iCs w:val="0"/>
                <w:sz w:val="22"/>
                <w:szCs w:val="22"/>
                <w:lang w:val="en-GB"/>
              </w:rPr>
              <w:t>Date:</w:t>
            </w:r>
          </w:p>
        </w:tc>
      </w:tr>
    </w:tbl>
    <w:p w:rsidR="064C0A1E" w:rsidP="064C0A1E" w:rsidRDefault="064C0A1E" w14:paraId="114B5843" w14:textId="3A8A743A">
      <w:pPr>
        <w:spacing w:beforeAutospacing="on" w:afterAutospacing="on"/>
        <w:ind w:right="-334"/>
        <w:rPr>
          <w:rFonts w:ascii="Trebuchet MS" w:hAnsi="Trebuchet MS" w:eastAsia="Trebuchet MS" w:cs="Trebuchet MS"/>
          <w:b w:val="0"/>
          <w:bCs w:val="0"/>
          <w:i w:val="0"/>
          <w:iCs w:val="0"/>
          <w:caps w:val="0"/>
          <w:smallCaps w:val="0"/>
          <w:noProof w:val="0"/>
          <w:color w:val="000000" w:themeColor="text1" w:themeTint="FF" w:themeShade="FF"/>
          <w:sz w:val="24"/>
          <w:szCs w:val="24"/>
          <w:lang w:val="en-GB"/>
        </w:rPr>
      </w:pPr>
    </w:p>
    <w:p w:rsidR="064C0A1E" w:rsidP="6270CBC5" w:rsidRDefault="064C0A1E" w14:paraId="24104B6A" w14:textId="130B69E6">
      <w:pPr>
        <w:pStyle w:val="Normal"/>
        <w:rPr>
          <w:rFonts w:ascii="Calibri" w:hAnsi="Calibri" w:eastAsia="Calibri" w:cs="Calibri"/>
          <w:b w:val="1"/>
          <w:bCs w:val="1"/>
          <w:noProof w:val="0"/>
          <w:sz w:val="22"/>
          <w:szCs w:val="22"/>
          <w:lang w:val="en-GB"/>
        </w:rPr>
      </w:pPr>
      <w:r w:rsidRPr="6270CBC5" w:rsidR="064C0A1E">
        <w:rPr>
          <w:rFonts w:ascii="Calibri" w:hAnsi="Calibri" w:eastAsia="Calibri" w:cs="Calibri"/>
          <w:b w:val="1"/>
          <w:bCs w:val="1"/>
          <w:noProof w:val="0"/>
          <w:sz w:val="22"/>
          <w:szCs w:val="22"/>
          <w:lang w:val="en-GB"/>
        </w:rPr>
        <w:t xml:space="preserve">Analyse the roles of, and relationship between, cosmology and divination in </w:t>
      </w:r>
      <w:r w:rsidRPr="6270CBC5" w:rsidR="064C0A1E">
        <w:rPr>
          <w:rFonts w:ascii="Calibri" w:hAnsi="Calibri" w:eastAsia="Calibri" w:cs="Calibri"/>
          <w:b w:val="1"/>
          <w:bCs w:val="1"/>
          <w:noProof w:val="0"/>
          <w:sz w:val="22"/>
          <w:szCs w:val="22"/>
          <w:lang w:val="en-GB"/>
        </w:rPr>
        <w:t xml:space="preserve">Ancient </w:t>
      </w:r>
      <w:r w:rsidRPr="6270CBC5" w:rsidR="064C0A1E">
        <w:rPr>
          <w:rFonts w:ascii="Calibri" w:hAnsi="Calibri" w:eastAsia="Calibri" w:cs="Calibri"/>
          <w:b w:val="1"/>
          <w:bCs w:val="1"/>
          <w:noProof w:val="0"/>
          <w:sz w:val="22"/>
          <w:szCs w:val="22"/>
          <w:lang w:val="en-GB"/>
        </w:rPr>
        <w:t>Egypt.</w:t>
      </w:r>
    </w:p>
    <w:p w:rsidR="064C0A1E" w:rsidP="064C0A1E" w:rsidRDefault="064C0A1E" w14:paraId="36E82EE0" w14:textId="4C0AEE18">
      <w:pPr>
        <w:pStyle w:val="Normal"/>
        <w:rPr>
          <w:rFonts w:ascii="Calibri" w:hAnsi="Calibri" w:eastAsia="Calibri" w:cs="Calibri"/>
          <w:b w:val="1"/>
          <w:bCs w:val="1"/>
          <w:noProof w:val="0"/>
          <w:sz w:val="22"/>
          <w:szCs w:val="22"/>
          <w:lang w:val="en-GB"/>
        </w:rPr>
      </w:pPr>
      <w:r w:rsidRPr="6270CBC5" w:rsidR="064C0A1E">
        <w:rPr>
          <w:rFonts w:ascii="Calibri" w:hAnsi="Calibri" w:eastAsia="Calibri" w:cs="Calibri"/>
          <w:b w:val="0"/>
          <w:bCs w:val="0"/>
          <w:noProof w:val="0"/>
          <w:sz w:val="22"/>
          <w:szCs w:val="22"/>
          <w:lang w:val="en-GB"/>
        </w:rPr>
        <w:t xml:space="preserve">This essay will be examining the roles of and relationship between cosmology and divination in Ancient Egypt. It will be discussing how cosmology is related to divination and human interpretation, for example looking at how the cosmos works and how humans apply that to interpreting the divine. It will be exploring Ancient Egyptian firstly, what cosmology is and what divination is and then practices and beliefs referring to divination through oracles and omens, divination found in dreams, divination </w:t>
      </w:r>
      <w:r w:rsidRPr="6270CBC5" w:rsidR="064C0A1E">
        <w:rPr>
          <w:rFonts w:ascii="Calibri" w:hAnsi="Calibri" w:eastAsia="Calibri" w:cs="Calibri"/>
          <w:b w:val="0"/>
          <w:bCs w:val="0"/>
          <w:noProof w:val="0"/>
          <w:sz w:val="22"/>
          <w:szCs w:val="22"/>
          <w:lang w:val="en-GB"/>
        </w:rPr>
        <w:t>regarding</w:t>
      </w:r>
      <w:r w:rsidRPr="6270CBC5" w:rsidR="064C0A1E">
        <w:rPr>
          <w:rFonts w:ascii="Calibri" w:hAnsi="Calibri" w:eastAsia="Calibri" w:cs="Calibri"/>
          <w:b w:val="0"/>
          <w:bCs w:val="0"/>
          <w:noProof w:val="0"/>
          <w:sz w:val="22"/>
          <w:szCs w:val="22"/>
          <w:lang w:val="en-GB"/>
        </w:rPr>
        <w:t xml:space="preserve"> time, divination </w:t>
      </w:r>
      <w:r w:rsidRPr="6270CBC5" w:rsidR="064C0A1E">
        <w:rPr>
          <w:rFonts w:ascii="Calibri" w:hAnsi="Calibri" w:eastAsia="Calibri" w:cs="Calibri"/>
          <w:b w:val="0"/>
          <w:bCs w:val="0"/>
          <w:noProof w:val="0"/>
          <w:sz w:val="22"/>
          <w:szCs w:val="22"/>
          <w:lang w:val="en-GB"/>
        </w:rPr>
        <w:t>regarding</w:t>
      </w:r>
      <w:r w:rsidRPr="6270CBC5" w:rsidR="064C0A1E">
        <w:rPr>
          <w:rFonts w:ascii="Calibri" w:hAnsi="Calibri" w:eastAsia="Calibri" w:cs="Calibri"/>
          <w:b w:val="0"/>
          <w:bCs w:val="0"/>
          <w:noProof w:val="0"/>
          <w:sz w:val="22"/>
          <w:szCs w:val="22"/>
          <w:lang w:val="en-GB"/>
        </w:rPr>
        <w:t xml:space="preserve"> celestial beliefs and practices. The </w:t>
      </w:r>
      <w:r w:rsidRPr="6270CBC5" w:rsidR="064C0A1E">
        <w:rPr>
          <w:rFonts w:ascii="Calibri" w:hAnsi="Calibri" w:eastAsia="Calibri" w:cs="Calibri"/>
          <w:b w:val="0"/>
          <w:bCs w:val="0"/>
          <w:noProof w:val="0"/>
          <w:sz w:val="22"/>
          <w:szCs w:val="22"/>
          <w:lang w:val="en-GB"/>
        </w:rPr>
        <w:t>essay</w:t>
      </w:r>
      <w:r w:rsidRPr="6270CBC5" w:rsidR="064C0A1E">
        <w:rPr>
          <w:rFonts w:ascii="Calibri" w:hAnsi="Calibri" w:eastAsia="Calibri" w:cs="Calibri"/>
          <w:b w:val="0"/>
          <w:bCs w:val="0"/>
          <w:noProof w:val="0"/>
          <w:sz w:val="22"/>
          <w:szCs w:val="22"/>
          <w:lang w:val="en-GB"/>
        </w:rPr>
        <w:t xml:space="preserve"> will be look at how divination and cosmology has been practised and how and why it was important to the Ancient Egyptians. I will explore the roles of divination within Ancient Egyptian culture and what the broader cosmological worldview is in relation to divination. </w:t>
      </w:r>
    </w:p>
    <w:p w:rsidR="064C0A1E" w:rsidP="064C0A1E" w:rsidRDefault="064C0A1E" w14:paraId="3500A9E7" w14:textId="5EC0D62A">
      <w:pPr>
        <w:pStyle w:val="Normal"/>
        <w:rPr>
          <w:rStyle w:val="FootnoteReference"/>
          <w:rFonts w:ascii="Calibri" w:hAnsi="Calibri" w:eastAsia="Calibri" w:cs="Calibri"/>
          <w:b w:val="1"/>
          <w:bCs w:val="1"/>
          <w:noProof w:val="0"/>
          <w:sz w:val="22"/>
          <w:szCs w:val="22"/>
          <w:lang w:val="en-GB"/>
        </w:rPr>
      </w:pPr>
      <w:r w:rsidRPr="6270CBC5" w:rsidR="064C0A1E">
        <w:rPr>
          <w:rFonts w:ascii="Calibri" w:hAnsi="Calibri" w:eastAsia="Calibri" w:cs="Calibri"/>
          <w:b w:val="0"/>
          <w:bCs w:val="0"/>
          <w:i w:val="1"/>
          <w:iCs w:val="1"/>
          <w:noProof w:val="0"/>
          <w:sz w:val="22"/>
          <w:szCs w:val="22"/>
          <w:lang w:val="en-GB"/>
        </w:rPr>
        <w:t>Cosmos</w:t>
      </w:r>
      <w:r w:rsidRPr="6270CBC5" w:rsidR="064C0A1E">
        <w:rPr>
          <w:rFonts w:ascii="Calibri" w:hAnsi="Calibri" w:eastAsia="Calibri" w:cs="Calibri"/>
          <w:b w:val="0"/>
          <w:bCs w:val="0"/>
          <w:noProof w:val="0"/>
          <w:sz w:val="22"/>
          <w:szCs w:val="22"/>
          <w:lang w:val="en-GB"/>
        </w:rPr>
        <w:t xml:space="preserve"> is a Greek word that means order, whereas logos has </w:t>
      </w:r>
      <w:proofErr w:type="gramStart"/>
      <w:r w:rsidRPr="6270CBC5" w:rsidR="064C0A1E">
        <w:rPr>
          <w:rFonts w:ascii="Calibri" w:hAnsi="Calibri" w:eastAsia="Calibri" w:cs="Calibri"/>
          <w:b w:val="0"/>
          <w:bCs w:val="0"/>
          <w:noProof w:val="0"/>
          <w:sz w:val="22"/>
          <w:szCs w:val="22"/>
          <w:lang w:val="en-GB"/>
        </w:rPr>
        <w:t>a number of</w:t>
      </w:r>
      <w:proofErr w:type="gramEnd"/>
      <w:r w:rsidRPr="6270CBC5" w:rsidR="064C0A1E">
        <w:rPr>
          <w:rFonts w:ascii="Calibri" w:hAnsi="Calibri" w:eastAsia="Calibri" w:cs="Calibri"/>
          <w:b w:val="0"/>
          <w:bCs w:val="0"/>
          <w:noProof w:val="0"/>
          <w:sz w:val="22"/>
          <w:szCs w:val="22"/>
          <w:lang w:val="en-GB"/>
        </w:rPr>
        <w:t xml:space="preserve"> meanings such as reason, speech, ratios and relationships. Cosmology means ordered way of looking at the world and the heavens, or arrangement of the world or heavens</w:t>
      </w:r>
      <w:r w:rsidRPr="6270CBC5">
        <w:rPr>
          <w:rStyle w:val="FootnoteReference"/>
          <w:rFonts w:ascii="Calibri" w:hAnsi="Calibri" w:eastAsia="Calibri" w:cs="Calibri"/>
          <w:b w:val="0"/>
          <w:bCs w:val="0"/>
          <w:noProof w:val="0"/>
          <w:sz w:val="22"/>
          <w:szCs w:val="22"/>
          <w:lang w:val="en-GB"/>
        </w:rPr>
        <w:footnoteReference w:id="25200"/>
      </w:r>
      <w:r w:rsidRPr="6270CBC5" w:rsidR="064C0A1E">
        <w:rPr>
          <w:rFonts w:ascii="Calibri" w:hAnsi="Calibri" w:eastAsia="Calibri" w:cs="Calibri"/>
          <w:b w:val="0"/>
          <w:bCs w:val="0"/>
          <w:noProof w:val="0"/>
          <w:sz w:val="22"/>
          <w:szCs w:val="22"/>
          <w:lang w:val="en-GB"/>
        </w:rPr>
        <w:t xml:space="preserve">. It is to look at celestial patterns as a means of communication with the divine. There are systems in which the Egyptians used to discover regular patterns of predictions, known as astrology. Astrology uses cosmology in Ancient Egypt in its practice and is historically considered as a form of divination, which already shows the relationship between astrology, cosmology and divination. </w:t>
      </w:r>
      <w:r w:rsidRPr="6270CBC5" w:rsidR="064C0A1E">
        <w:rPr>
          <w:rFonts w:ascii="Calibri" w:hAnsi="Calibri" w:eastAsia="Calibri" w:cs="Calibri"/>
          <w:b w:val="0"/>
          <w:bCs w:val="0"/>
          <w:noProof w:val="0"/>
          <w:sz w:val="22"/>
          <w:szCs w:val="22"/>
          <w:lang w:val="en-GB"/>
        </w:rPr>
        <w:t xml:space="preserve"> </w:t>
      </w:r>
    </w:p>
    <w:p w:rsidR="064C0A1E" w:rsidP="064C0A1E" w:rsidRDefault="064C0A1E" w14:paraId="150AD15F" w14:textId="05CB8623">
      <w:pPr>
        <w:pStyle w:val="Normal"/>
        <w:rPr>
          <w:rFonts w:ascii="Calibri" w:hAnsi="Calibri" w:eastAsia="Calibri" w:cs="Calibri"/>
          <w:b w:val="0"/>
          <w:bCs w:val="0"/>
          <w:noProof w:val="0"/>
          <w:sz w:val="22"/>
          <w:szCs w:val="22"/>
          <w:lang w:val="en-GB"/>
        </w:rPr>
      </w:pPr>
      <w:r w:rsidRPr="064C0A1E" w:rsidR="064C0A1E">
        <w:rPr>
          <w:rFonts w:ascii="Calibri" w:hAnsi="Calibri" w:eastAsia="Calibri" w:cs="Calibri"/>
          <w:b w:val="0"/>
          <w:bCs w:val="0"/>
          <w:noProof w:val="0"/>
          <w:sz w:val="22"/>
          <w:szCs w:val="22"/>
          <w:lang w:val="en-GB"/>
        </w:rPr>
        <w:t xml:space="preserve">Divination is the process of seeking answers to questions. It is the use of signs and interpretations that links the past, present and future, </w:t>
      </w:r>
      <w:r w:rsidRPr="064C0A1E" w:rsidR="064C0A1E">
        <w:rPr>
          <w:rFonts w:ascii="Calibri" w:hAnsi="Calibri" w:eastAsia="Calibri" w:cs="Calibri"/>
          <w:b w:val="0"/>
          <w:bCs w:val="0"/>
          <w:noProof w:val="0"/>
          <w:sz w:val="22"/>
          <w:szCs w:val="22"/>
          <w:lang w:val="en-GB"/>
        </w:rPr>
        <w:t xml:space="preserve">discovering the hidden and pre-empting what is to come so we can know what to change and what we cannot change. </w:t>
      </w:r>
      <w:r w:rsidRPr="064C0A1E" w:rsidR="064C0A1E">
        <w:rPr>
          <w:rFonts w:ascii="Calibri" w:hAnsi="Calibri" w:eastAsia="Calibri" w:cs="Calibri"/>
          <w:b w:val="0"/>
          <w:bCs w:val="0"/>
          <w:noProof w:val="0"/>
          <w:sz w:val="22"/>
          <w:szCs w:val="22"/>
          <w:lang w:val="en-GB"/>
        </w:rPr>
        <w:t xml:space="preserve">It allows us to ask what the gods want of us, accessing divine will and how to achieve it and can operate on a level outside of our perception of physical reality, although using the material of the physical world</w:t>
      </w:r>
      <w:r w:rsidRPr="6270CBC5">
        <w:rPr>
          <w:rStyle w:val="FootnoteReference"/>
          <w:rFonts w:ascii="Calibri" w:hAnsi="Calibri" w:eastAsia="Calibri" w:cs="Calibri"/>
          <w:b w:val="0"/>
          <w:bCs w:val="0"/>
          <w:noProof w:val="0"/>
          <w:sz w:val="22"/>
          <w:szCs w:val="22"/>
          <w:lang w:val="en-GB"/>
        </w:rPr>
        <w:footnoteReference w:id="25288"/>
      </w:r>
      <w:r w:rsidRPr="064C0A1E" w:rsidR="064C0A1E">
        <w:rPr>
          <w:rFonts w:ascii="Calibri" w:hAnsi="Calibri" w:eastAsia="Calibri" w:cs="Calibri"/>
          <w:b w:val="0"/>
          <w:bCs w:val="0"/>
          <w:noProof w:val="0"/>
          <w:sz w:val="22"/>
          <w:szCs w:val="22"/>
          <w:lang w:val="en-GB"/>
        </w:rPr>
        <w:t xml:space="preserve">. However, there is no word in Ancient Egyptian for divination, therefore each of these methods of divination are compared to other </w:t>
      </w:r>
      <w:r w:rsidRPr="064C0A1E" w:rsidR="064C0A1E">
        <w:rPr>
          <w:rFonts w:ascii="Calibri" w:hAnsi="Calibri" w:eastAsia="Calibri" w:cs="Calibri"/>
          <w:b w:val="0"/>
          <w:bCs w:val="0"/>
          <w:noProof w:val="0"/>
          <w:sz w:val="22"/>
          <w:szCs w:val="22"/>
          <w:lang w:val="en-GB"/>
        </w:rPr>
        <w:t>cultures</w:t>
      </w:r>
      <w:r w:rsidRPr="064C0A1E" w:rsidR="064C0A1E">
        <w:rPr>
          <w:rFonts w:ascii="Calibri" w:hAnsi="Calibri" w:eastAsia="Calibri" w:cs="Calibri"/>
          <w:b w:val="0"/>
          <w:bCs w:val="0"/>
          <w:noProof w:val="0"/>
          <w:sz w:val="22"/>
          <w:szCs w:val="22"/>
          <w:lang w:val="en-GB"/>
        </w:rPr>
        <w:t xml:space="preserve"> and countries use of divination and their definition for it. An understanding of divination is that if there are gods and they love us, they are not ignorant of the future, they know this knowledge could be useful to us, it is not beneath them to communicate with us, they also know how to communicate, then divination exists</w:t>
      </w:r>
      <w:r w:rsidRPr="6270CBC5">
        <w:rPr>
          <w:rStyle w:val="FootnoteReference"/>
          <w:rFonts w:ascii="Calibri" w:hAnsi="Calibri" w:eastAsia="Calibri" w:cs="Calibri"/>
          <w:b w:val="0"/>
          <w:bCs w:val="0"/>
          <w:noProof w:val="0"/>
          <w:sz w:val="22"/>
          <w:szCs w:val="22"/>
          <w:lang w:val="en-GB"/>
        </w:rPr>
        <w:footnoteReference w:id="27639"/>
      </w:r>
      <w:r w:rsidRPr="064C0A1E" w:rsidR="064C0A1E">
        <w:rPr>
          <w:rFonts w:ascii="Calibri" w:hAnsi="Calibri" w:eastAsia="Calibri" w:cs="Calibri"/>
          <w:b w:val="0"/>
          <w:bCs w:val="0"/>
          <w:noProof w:val="0"/>
          <w:sz w:val="22"/>
          <w:szCs w:val="22"/>
          <w:lang w:val="en-GB"/>
        </w:rPr>
        <w:t xml:space="preserve">. This understanding of divination is common through antiquity, and we can see divination simultaneously held with belief in gods</w:t>
      </w:r>
      <w:r w:rsidRPr="064C0A1E">
        <w:rPr>
          <w:rStyle w:val="FootnoteReference"/>
          <w:rFonts w:ascii="Calibri" w:hAnsi="Calibri" w:eastAsia="Calibri" w:cs="Calibri"/>
          <w:b w:val="0"/>
          <w:bCs w:val="0"/>
          <w:noProof w:val="0"/>
          <w:sz w:val="22"/>
          <w:szCs w:val="22"/>
          <w:lang w:val="en-GB"/>
        </w:rPr>
        <w:footnoteReference w:id="31127"/>
      </w:r>
      <w:r w:rsidRPr="064C0A1E" w:rsidR="064C0A1E">
        <w:rPr>
          <w:rFonts w:ascii="Calibri" w:hAnsi="Calibri" w:eastAsia="Calibri" w:cs="Calibri"/>
          <w:b w:val="0"/>
          <w:bCs w:val="0"/>
          <w:noProof w:val="0"/>
          <w:sz w:val="22"/>
          <w:szCs w:val="22"/>
          <w:lang w:val="en-GB"/>
        </w:rPr>
        <w:t xml:space="preserve">.</w:t>
      </w:r>
      <w:r w:rsidRPr="064C0A1E" w:rsidR="064C0A1E">
        <w:rPr>
          <w:rFonts w:ascii="Calibri" w:hAnsi="Calibri" w:eastAsia="Calibri" w:cs="Calibri"/>
          <w:b w:val="0"/>
          <w:bCs w:val="0"/>
          <w:noProof w:val="0"/>
          <w:sz w:val="22"/>
          <w:szCs w:val="22"/>
          <w:lang w:val="en-GB"/>
        </w:rPr>
        <w:t xml:space="preserve"> In Egyptian divination, the gods are expected to change what happens if we supplicate them and the ritual of divination can be a powerful experience for humans</w:t>
      </w:r>
      <w:r w:rsidRPr="6270CBC5">
        <w:rPr>
          <w:rStyle w:val="FootnoteReference"/>
          <w:rFonts w:ascii="Calibri" w:hAnsi="Calibri" w:eastAsia="Calibri" w:cs="Calibri"/>
          <w:b w:val="0"/>
          <w:bCs w:val="0"/>
          <w:noProof w:val="0"/>
          <w:sz w:val="22"/>
          <w:szCs w:val="22"/>
          <w:lang w:val="en-GB"/>
        </w:rPr>
        <w:footnoteReference w:id="8517"/>
      </w:r>
      <w:r w:rsidRPr="064C0A1E" w:rsidR="064C0A1E">
        <w:rPr>
          <w:rFonts w:ascii="Calibri" w:hAnsi="Calibri" w:eastAsia="Calibri" w:cs="Calibri"/>
          <w:b w:val="0"/>
          <w:bCs w:val="0"/>
          <w:noProof w:val="0"/>
          <w:sz w:val="22"/>
          <w:szCs w:val="22"/>
          <w:lang w:val="en-GB"/>
        </w:rPr>
        <w:t xml:space="preserve">. There are a few categories of divination such as natural divination, that is intuitive, for example direct contact initiated by gods through visions, dreams and prophecies, celestial portents such as a comet or eclipse. There is artificial divination where the diviner makes a deliberate action to seek answers to questions using an instrument to create an interpreted omen, such as oracles, augury, </w:t>
      </w:r>
      <w:proofErr w:type="spellStart"/>
      <w:r w:rsidRPr="064C0A1E" w:rsidR="064C0A1E">
        <w:rPr>
          <w:rFonts w:ascii="Calibri" w:hAnsi="Calibri" w:eastAsia="Calibri" w:cs="Calibri"/>
          <w:b w:val="0"/>
          <w:bCs w:val="0"/>
          <w:noProof w:val="0"/>
          <w:sz w:val="22"/>
          <w:szCs w:val="22"/>
          <w:lang w:val="en-GB"/>
        </w:rPr>
        <w:t>extispicy</w:t>
      </w:r>
      <w:proofErr w:type="spellEnd"/>
      <w:r w:rsidRPr="064C0A1E" w:rsidR="064C0A1E">
        <w:rPr>
          <w:rFonts w:ascii="Calibri" w:hAnsi="Calibri" w:eastAsia="Calibri" w:cs="Calibri"/>
          <w:b w:val="0"/>
          <w:bCs w:val="0"/>
          <w:noProof w:val="0"/>
          <w:sz w:val="22"/>
          <w:szCs w:val="22"/>
          <w:lang w:val="en-GB"/>
        </w:rPr>
        <w:t xml:space="preserve"> (liver or entrail divination) and astrology (interpreting the patterns in the heavens). Finally, there is unprovoked divination and provoked or evoked divination</w:t>
      </w:r>
      <w:r w:rsidRPr="630F0401">
        <w:rPr>
          <w:rStyle w:val="FootnoteReference"/>
          <w:rFonts w:ascii="Calibri" w:hAnsi="Calibri" w:eastAsia="Calibri" w:cs="Calibri"/>
          <w:b w:val="0"/>
          <w:bCs w:val="0"/>
          <w:noProof w:val="0"/>
          <w:sz w:val="22"/>
          <w:szCs w:val="22"/>
          <w:lang w:val="en-GB"/>
        </w:rPr>
        <w:footnoteReference w:id="25358"/>
      </w:r>
      <w:r w:rsidRPr="064C0A1E" w:rsidR="064C0A1E">
        <w:rPr>
          <w:rFonts w:ascii="Calibri" w:hAnsi="Calibri" w:eastAsia="Calibri" w:cs="Calibri"/>
          <w:b w:val="0"/>
          <w:bCs w:val="0"/>
          <w:noProof w:val="0"/>
          <w:sz w:val="22"/>
          <w:szCs w:val="22"/>
          <w:lang w:val="en-GB"/>
        </w:rPr>
        <w:t xml:space="preserve">. As the focus of this essay is cosmology and divination in Ancient Egypt, we will be focusing on oracles, dream interpretation, time divination and astral divination. </w:t>
      </w:r>
    </w:p>
    <w:p w:rsidR="064C0A1E" w:rsidP="064C0A1E" w:rsidRDefault="064C0A1E" w14:paraId="558D3CD7" w14:textId="5F57A330">
      <w:pPr>
        <w:pStyle w:val="Normal"/>
        <w:rPr>
          <w:rFonts w:ascii="Calibri" w:hAnsi="Calibri" w:eastAsia="Calibri" w:cs="Calibri"/>
          <w:b w:val="0"/>
          <w:bCs w:val="0"/>
          <w:noProof w:val="0"/>
          <w:sz w:val="22"/>
          <w:szCs w:val="22"/>
          <w:lang w:val="en-GB"/>
        </w:rPr>
      </w:pPr>
      <w:r w:rsidRPr="064C0A1E" w:rsidR="064C0A1E">
        <w:rPr>
          <w:rFonts w:ascii="Calibri" w:hAnsi="Calibri" w:eastAsia="Calibri" w:cs="Calibri"/>
          <w:b w:val="0"/>
          <w:bCs w:val="0"/>
          <w:noProof w:val="0"/>
          <w:sz w:val="22"/>
          <w:szCs w:val="22"/>
          <w:lang w:val="en-GB"/>
        </w:rPr>
        <w:t>Firstly, we must define what an oracle is and point out the difference between oracles and omens. An oracle comes from the person asking the god a question, to which the god replies, and the human is to interpret the response from the god in a question-and-answer form. An omen however comes from the god through signs and is then interpreted by the human</w:t>
      </w:r>
      <w:r w:rsidRPr="064C0A1E">
        <w:rPr>
          <w:rStyle w:val="FootnoteReference"/>
          <w:rFonts w:ascii="Calibri" w:hAnsi="Calibri" w:eastAsia="Calibri" w:cs="Calibri"/>
          <w:b w:val="0"/>
          <w:bCs w:val="0"/>
          <w:noProof w:val="0"/>
          <w:sz w:val="22"/>
          <w:szCs w:val="22"/>
          <w:lang w:val="en-GB"/>
        </w:rPr>
        <w:footnoteReference w:id="14609"/>
      </w:r>
      <w:r w:rsidRPr="064C0A1E" w:rsidR="064C0A1E">
        <w:rPr>
          <w:rFonts w:ascii="Calibri" w:hAnsi="Calibri" w:eastAsia="Calibri" w:cs="Calibri"/>
          <w:b w:val="0"/>
          <w:bCs w:val="0"/>
          <w:noProof w:val="0"/>
          <w:sz w:val="22"/>
          <w:szCs w:val="22"/>
          <w:lang w:val="en-GB"/>
        </w:rPr>
        <w:t xml:space="preserve">. In this essay I will only be discussing oracles. </w:t>
      </w:r>
      <w:r w:rsidRPr="064C0A1E" w:rsidR="064C0A1E">
        <w:rPr>
          <w:rFonts w:ascii="Calibri" w:hAnsi="Calibri" w:eastAsia="Calibri" w:cs="Calibri"/>
          <w:b w:val="0"/>
          <w:bCs w:val="0"/>
          <w:noProof w:val="0"/>
          <w:sz w:val="22"/>
          <w:szCs w:val="22"/>
          <w:lang w:val="en-GB"/>
        </w:rPr>
        <w:t xml:space="preserve">Egyptian consultation of oracles can be described as the person asking a deity a question and it being answered by the god. The evidence for oracles </w:t>
      </w:r>
      <w:proofErr w:type="gramStart"/>
      <w:r w:rsidRPr="064C0A1E" w:rsidR="064C0A1E">
        <w:rPr>
          <w:rFonts w:ascii="Calibri" w:hAnsi="Calibri" w:eastAsia="Calibri" w:cs="Calibri"/>
          <w:b w:val="0"/>
          <w:bCs w:val="0"/>
          <w:noProof w:val="0"/>
          <w:sz w:val="22"/>
          <w:szCs w:val="22"/>
          <w:lang w:val="en-GB"/>
        </w:rPr>
        <w:t>are</w:t>
      </w:r>
      <w:proofErr w:type="gramEnd"/>
      <w:r w:rsidRPr="064C0A1E" w:rsidR="064C0A1E">
        <w:rPr>
          <w:rFonts w:ascii="Calibri" w:hAnsi="Calibri" w:eastAsia="Calibri" w:cs="Calibri"/>
          <w:b w:val="0"/>
          <w:bCs w:val="0"/>
          <w:noProof w:val="0"/>
          <w:sz w:val="22"/>
          <w:szCs w:val="22"/>
          <w:lang w:val="en-GB"/>
        </w:rPr>
        <w:t xml:space="preserve"> seen in four instances. Firstly, oracular decrees which are either engraved on outer walls of temples or on papyrus. Secondly, references to </w:t>
      </w:r>
      <w:proofErr w:type="gramStart"/>
      <w:r w:rsidRPr="064C0A1E" w:rsidR="064C0A1E">
        <w:rPr>
          <w:rFonts w:ascii="Calibri" w:hAnsi="Calibri" w:eastAsia="Calibri" w:cs="Calibri"/>
          <w:b w:val="0"/>
          <w:bCs w:val="0"/>
          <w:noProof w:val="0"/>
          <w:sz w:val="22"/>
          <w:szCs w:val="22"/>
          <w:lang w:val="en-GB"/>
        </w:rPr>
        <w:t>particular oracular</w:t>
      </w:r>
      <w:proofErr w:type="gramEnd"/>
      <w:r w:rsidRPr="064C0A1E" w:rsidR="064C0A1E">
        <w:rPr>
          <w:rFonts w:ascii="Calibri" w:hAnsi="Calibri" w:eastAsia="Calibri" w:cs="Calibri"/>
          <w:b w:val="0"/>
          <w:bCs w:val="0"/>
          <w:noProof w:val="0"/>
          <w:sz w:val="22"/>
          <w:szCs w:val="22"/>
          <w:lang w:val="en-GB"/>
        </w:rPr>
        <w:t xml:space="preserve"> process either in public or private records. Thirdly, there are few original petitions on papyrus laid before the gods. Lastly, statues and records are clearly associated with the gods</w:t>
      </w:r>
      <w:r w:rsidRPr="064C0A1E">
        <w:rPr>
          <w:rStyle w:val="FootnoteReference"/>
          <w:rFonts w:ascii="Calibri" w:hAnsi="Calibri" w:eastAsia="Calibri" w:cs="Calibri"/>
          <w:b w:val="0"/>
          <w:bCs w:val="0"/>
          <w:noProof w:val="0"/>
          <w:sz w:val="22"/>
          <w:szCs w:val="22"/>
          <w:lang w:val="en-GB"/>
        </w:rPr>
        <w:footnoteReference w:id="9379"/>
      </w:r>
      <w:r w:rsidRPr="064C0A1E" w:rsidR="064C0A1E">
        <w:rPr>
          <w:rFonts w:ascii="Calibri" w:hAnsi="Calibri" w:eastAsia="Calibri" w:cs="Calibri"/>
          <w:b w:val="0"/>
          <w:bCs w:val="0"/>
          <w:noProof w:val="0"/>
          <w:sz w:val="22"/>
          <w:szCs w:val="22"/>
          <w:lang w:val="en-GB"/>
        </w:rPr>
        <w:t xml:space="preserve">. </w:t>
      </w:r>
      <w:r w:rsidRPr="064C0A1E" w:rsidR="064C0A1E">
        <w:rPr>
          <w:rFonts w:ascii="Calibri" w:hAnsi="Calibri" w:eastAsia="Calibri" w:cs="Calibri"/>
          <w:b w:val="0"/>
          <w:bCs w:val="0"/>
          <w:noProof w:val="0"/>
          <w:sz w:val="22"/>
          <w:szCs w:val="22"/>
          <w:lang w:val="en-GB"/>
        </w:rPr>
        <w:t xml:space="preserve">Oracles are found in processionals honouring the god, usually some kind of structure such as a statue placed on a barque, carried around in a processional for people to ask the public image </w:t>
      </w:r>
      <w:proofErr w:type="gramStart"/>
      <w:r w:rsidRPr="064C0A1E" w:rsidR="064C0A1E">
        <w:rPr>
          <w:rFonts w:ascii="Calibri" w:hAnsi="Calibri" w:eastAsia="Calibri" w:cs="Calibri"/>
          <w:b w:val="0"/>
          <w:bCs w:val="0"/>
          <w:noProof w:val="0"/>
          <w:sz w:val="22"/>
          <w:szCs w:val="22"/>
          <w:lang w:val="en-GB"/>
        </w:rPr>
        <w:t xml:space="preserve">questions’</w:t>
      </w:r>
      <w:proofErr w:type="gramEnd"/>
      <w:r w:rsidRPr="064C0A1E" w:rsidR="064C0A1E">
        <w:rPr>
          <w:rFonts w:ascii="Calibri" w:hAnsi="Calibri" w:eastAsia="Calibri" w:cs="Calibri"/>
          <w:b w:val="0"/>
          <w:bCs w:val="0"/>
          <w:noProof w:val="0"/>
          <w:sz w:val="22"/>
          <w:szCs w:val="22"/>
          <w:lang w:val="en-GB"/>
        </w:rPr>
        <w:t xml:space="preserve">. The most prominent god involved in barque is Amun, known as ‘lord of </w:t>
      </w:r>
      <w:proofErr w:type="gramStart"/>
      <w:r w:rsidRPr="064C0A1E" w:rsidR="064C0A1E">
        <w:rPr>
          <w:rFonts w:ascii="Calibri" w:hAnsi="Calibri" w:eastAsia="Calibri" w:cs="Calibri"/>
          <w:b w:val="0"/>
          <w:bCs w:val="0"/>
          <w:noProof w:val="0"/>
          <w:sz w:val="22"/>
          <w:szCs w:val="22"/>
          <w:lang w:val="en-GB"/>
        </w:rPr>
        <w:t>gods’</w:t>
      </w:r>
      <w:proofErr w:type="gramEnd"/>
      <w:r w:rsidRPr="064C0A1E" w:rsidR="064C0A1E">
        <w:rPr>
          <w:rFonts w:ascii="Calibri" w:hAnsi="Calibri" w:eastAsia="Calibri" w:cs="Calibri"/>
          <w:b w:val="0"/>
          <w:bCs w:val="0"/>
          <w:noProof w:val="0"/>
          <w:sz w:val="22"/>
          <w:szCs w:val="22"/>
          <w:lang w:val="en-GB"/>
        </w:rPr>
        <w:t xml:space="preserve">. These oracles were open to both royalty and common people. The questions coming from these common people were things of everyday life such as health, finding something lost, the timing of travel, asking if something has been stolen etc. </w:t>
      </w:r>
      <w:r w:rsidRPr="064C0A1E" w:rsidR="064C0A1E">
        <w:rPr>
          <w:rFonts w:ascii="Calibri" w:hAnsi="Calibri" w:eastAsia="Calibri" w:cs="Calibri"/>
          <w:b w:val="0"/>
          <w:bCs w:val="0"/>
          <w:noProof w:val="0"/>
          <w:sz w:val="22"/>
          <w:szCs w:val="22"/>
          <w:lang w:val="en-GB"/>
        </w:rPr>
        <w:t>Documents containing oracles are found to not predate the New Kingdom, however, most do come from the Third Intermediate Period</w:t>
      </w:r>
      <w:r w:rsidRPr="064C0A1E">
        <w:rPr>
          <w:rStyle w:val="FootnoteReference"/>
          <w:rFonts w:ascii="Calibri" w:hAnsi="Calibri" w:eastAsia="Calibri" w:cs="Calibri"/>
          <w:b w:val="0"/>
          <w:bCs w:val="0"/>
          <w:noProof w:val="0"/>
          <w:sz w:val="22"/>
          <w:szCs w:val="22"/>
          <w:lang w:val="en-GB"/>
        </w:rPr>
        <w:footnoteReference w:id="3428"/>
      </w:r>
      <w:r w:rsidRPr="064C0A1E" w:rsidR="064C0A1E">
        <w:rPr>
          <w:rFonts w:ascii="Calibri" w:hAnsi="Calibri" w:eastAsia="Calibri" w:cs="Calibri"/>
          <w:b w:val="0"/>
          <w:bCs w:val="0"/>
          <w:noProof w:val="0"/>
          <w:sz w:val="22"/>
          <w:szCs w:val="22"/>
          <w:lang w:val="en-GB"/>
        </w:rPr>
        <w:t xml:space="preserve">. The ‘lord of gods’ stresses his importance over lesser oracular gods of the region, and the procession of ‘lord of gods’ would be vastly different to other oracular gods which means people would not concern Anum with minor issues such as finding something that is lost but used for more prominent issues. </w:t>
      </w:r>
      <w:r w:rsidRPr="064C0A1E" w:rsidR="064C0A1E">
        <w:rPr>
          <w:rFonts w:ascii="Calibri" w:hAnsi="Calibri" w:eastAsia="Calibri" w:cs="Calibri"/>
          <w:b w:val="0"/>
          <w:bCs w:val="0"/>
          <w:noProof w:val="0"/>
          <w:sz w:val="22"/>
          <w:szCs w:val="22"/>
          <w:lang w:val="en-GB"/>
        </w:rPr>
        <w:t>The first secure attestation is seen during the reign of Hatshepsut (ca, 1479-1457 BCE)</w:t>
      </w:r>
      <w:r w:rsidRPr="630F0401">
        <w:rPr>
          <w:rStyle w:val="FootnoteReference"/>
          <w:rFonts w:ascii="Calibri" w:hAnsi="Calibri" w:eastAsia="Calibri" w:cs="Calibri"/>
          <w:b w:val="0"/>
          <w:bCs w:val="0"/>
          <w:noProof w:val="0"/>
          <w:sz w:val="22"/>
          <w:szCs w:val="22"/>
          <w:lang w:val="en-GB"/>
        </w:rPr>
        <w:footnoteReference w:id="3624"/>
      </w:r>
      <w:r w:rsidRPr="064C0A1E" w:rsidR="064C0A1E">
        <w:rPr>
          <w:rFonts w:ascii="Calibri" w:hAnsi="Calibri" w:eastAsia="Calibri" w:cs="Calibri"/>
          <w:b w:val="0"/>
          <w:bCs w:val="0"/>
          <w:noProof w:val="0"/>
          <w:sz w:val="22"/>
          <w:szCs w:val="22"/>
          <w:lang w:val="en-GB"/>
        </w:rPr>
        <w:t xml:space="preserve"> as she asks the ‘lord of gods’ the best way to go to Punt, Ethiopia. This oracle was not during a procession but rather the Queen ‘heard’ the order at the stairs ‘lord of gods’, where the bark was stationary, which hints at a speaking oracle. Thutmose the third was chosen by the god in his bark, who ‘perambulated’ and ‘settled’ in front of the prince</w:t>
      </w:r>
      <w:r w:rsidRPr="064C0A1E">
        <w:rPr>
          <w:rStyle w:val="FootnoteReference"/>
          <w:rFonts w:ascii="Calibri" w:hAnsi="Calibri" w:eastAsia="Calibri" w:cs="Calibri"/>
          <w:b w:val="0"/>
          <w:bCs w:val="0"/>
          <w:noProof w:val="0"/>
          <w:sz w:val="22"/>
          <w:szCs w:val="22"/>
          <w:lang w:val="en-GB"/>
        </w:rPr>
        <w:footnoteReference w:id="7562"/>
      </w:r>
      <w:r w:rsidRPr="064C0A1E" w:rsidR="064C0A1E">
        <w:rPr>
          <w:rFonts w:ascii="Calibri" w:hAnsi="Calibri" w:eastAsia="Calibri" w:cs="Calibri"/>
          <w:b w:val="0"/>
          <w:bCs w:val="0"/>
          <w:noProof w:val="0"/>
          <w:sz w:val="22"/>
          <w:szCs w:val="22"/>
          <w:lang w:val="en-GB"/>
        </w:rPr>
        <w:t>. Oracles are often described on stelae (stone monuments) or papyri. There are also oracular amuletic decrees that are protective in both physical and spiritual contexts, although there are not many of these, from the 3</w:t>
      </w:r>
      <w:r w:rsidRPr="064C0A1E" w:rsidR="064C0A1E">
        <w:rPr>
          <w:rFonts w:ascii="Calibri" w:hAnsi="Calibri" w:eastAsia="Calibri" w:cs="Calibri"/>
          <w:b w:val="0"/>
          <w:bCs w:val="0"/>
          <w:noProof w:val="0"/>
          <w:sz w:val="22"/>
          <w:szCs w:val="22"/>
          <w:vertAlign w:val="superscript"/>
          <w:lang w:val="en-GB"/>
        </w:rPr>
        <w:t>rd</w:t>
      </w:r>
      <w:r w:rsidRPr="064C0A1E" w:rsidR="064C0A1E">
        <w:rPr>
          <w:rFonts w:ascii="Calibri" w:hAnsi="Calibri" w:eastAsia="Calibri" w:cs="Calibri"/>
          <w:b w:val="0"/>
          <w:bCs w:val="0"/>
          <w:noProof w:val="0"/>
          <w:sz w:val="22"/>
          <w:szCs w:val="22"/>
          <w:lang w:val="en-GB"/>
        </w:rPr>
        <w:t xml:space="preserve"> Intermediate Period, ca. 945-715 BCE. These were to protect the wearers from both physical and spiritual dangers, both for men and women and even maybe for children. </w:t>
      </w:r>
    </w:p>
    <w:p w:rsidR="064C0A1E" w:rsidP="064C0A1E" w:rsidRDefault="064C0A1E" w14:paraId="013CBDE1" w14:textId="5F3DBCFD">
      <w:pPr>
        <w:pStyle w:val="Normal"/>
        <w:rPr>
          <w:rFonts w:ascii="Calibri" w:hAnsi="Calibri" w:eastAsia="Calibri" w:cs="Calibri"/>
          <w:b w:val="0"/>
          <w:bCs w:val="0"/>
          <w:noProof w:val="0"/>
          <w:sz w:val="22"/>
          <w:szCs w:val="22"/>
          <w:lang w:val="en-GB"/>
        </w:rPr>
      </w:pPr>
      <w:r w:rsidRPr="064C0A1E" w:rsidR="064C0A1E">
        <w:rPr>
          <w:rFonts w:ascii="Calibri" w:hAnsi="Calibri" w:eastAsia="Calibri" w:cs="Calibri"/>
          <w:b w:val="0"/>
          <w:bCs w:val="0"/>
          <w:noProof w:val="0"/>
          <w:sz w:val="22"/>
          <w:szCs w:val="22"/>
          <w:lang w:val="en-GB"/>
        </w:rPr>
        <w:t xml:space="preserve">During oracular proceedings, oracles could be uttered by any processional image which is why so many oracular gods are attested throughout the country. The statues would usually be hidden in a tabernacle, mounted onto poles and secured to the barque</w:t>
      </w:r>
      <w:r w:rsidRPr="630F0401">
        <w:rPr>
          <w:rStyle w:val="FootnoteReference"/>
          <w:rFonts w:ascii="Calibri" w:hAnsi="Calibri" w:eastAsia="Calibri" w:cs="Calibri"/>
          <w:b w:val="0"/>
          <w:bCs w:val="0"/>
          <w:noProof w:val="0"/>
          <w:sz w:val="22"/>
          <w:szCs w:val="22"/>
          <w:lang w:val="en-GB"/>
        </w:rPr>
        <w:footnoteReference w:id="16981"/>
      </w:r>
      <w:r w:rsidRPr="064C0A1E" w:rsidR="064C0A1E">
        <w:rPr>
          <w:rFonts w:ascii="Calibri" w:hAnsi="Calibri" w:eastAsia="Calibri" w:cs="Calibri"/>
          <w:b w:val="0"/>
          <w:bCs w:val="0"/>
          <w:noProof w:val="0"/>
          <w:sz w:val="22"/>
          <w:szCs w:val="22"/>
          <w:lang w:val="en-GB"/>
        </w:rPr>
        <w:t xml:space="preserve">. The ‘lord of gods’ however, </w:t>
      </w:r>
      <w:proofErr w:type="gramStart"/>
      <w:r w:rsidRPr="064C0A1E" w:rsidR="064C0A1E">
        <w:rPr>
          <w:rFonts w:ascii="Calibri" w:hAnsi="Calibri" w:eastAsia="Calibri" w:cs="Calibri"/>
          <w:b w:val="0"/>
          <w:bCs w:val="0"/>
          <w:noProof w:val="0"/>
          <w:sz w:val="22"/>
          <w:szCs w:val="22"/>
          <w:lang w:val="en-GB"/>
        </w:rPr>
        <w:t>remained inside the booth at all times</w:t>
      </w:r>
      <w:proofErr w:type="gramEnd"/>
      <w:r w:rsidRPr="064C0A1E" w:rsidR="064C0A1E">
        <w:rPr>
          <w:rFonts w:ascii="Calibri" w:hAnsi="Calibri" w:eastAsia="Calibri" w:cs="Calibri"/>
          <w:b w:val="0"/>
          <w:bCs w:val="0"/>
          <w:noProof w:val="0"/>
          <w:sz w:val="22"/>
          <w:szCs w:val="22"/>
          <w:lang w:val="en-GB"/>
        </w:rPr>
        <w:t xml:space="preserve"> except at a scene in 651 BCE that represents him on a portable shrine</w:t>
      </w:r>
      <w:r w:rsidRPr="064C0A1E">
        <w:rPr>
          <w:rStyle w:val="FootnoteReference"/>
          <w:rFonts w:ascii="Calibri" w:hAnsi="Calibri" w:eastAsia="Calibri" w:cs="Calibri"/>
          <w:b w:val="0"/>
          <w:bCs w:val="0"/>
          <w:noProof w:val="0"/>
          <w:sz w:val="22"/>
          <w:szCs w:val="22"/>
          <w:lang w:val="en-GB"/>
        </w:rPr>
        <w:footnoteReference w:id="20347"/>
      </w:r>
      <w:r w:rsidRPr="064C0A1E" w:rsidR="064C0A1E">
        <w:rPr>
          <w:rFonts w:ascii="Calibri" w:hAnsi="Calibri" w:eastAsia="Calibri" w:cs="Calibri"/>
          <w:b w:val="0"/>
          <w:bCs w:val="0"/>
          <w:noProof w:val="0"/>
          <w:sz w:val="22"/>
          <w:szCs w:val="22"/>
          <w:lang w:val="en-GB"/>
        </w:rPr>
        <w:t xml:space="preserve">. Barks were carried around by priests and were the only ones who were able to be in the presence of nonremovable cult statues. However, Egyptians were aware that porters could interfere with oracular </w:t>
      </w:r>
      <w:proofErr w:type="gramStart"/>
      <w:r w:rsidRPr="064C0A1E" w:rsidR="064C0A1E">
        <w:rPr>
          <w:rFonts w:ascii="Calibri" w:hAnsi="Calibri" w:eastAsia="Calibri" w:cs="Calibri"/>
          <w:b w:val="0"/>
          <w:bCs w:val="0"/>
          <w:noProof w:val="0"/>
          <w:sz w:val="22"/>
          <w:szCs w:val="22"/>
          <w:lang w:val="en-GB"/>
        </w:rPr>
        <w:t xml:space="preserve">processes</w:t>
      </w:r>
      <w:proofErr w:type="gramEnd"/>
      <w:r w:rsidRPr="064C0A1E" w:rsidR="064C0A1E">
        <w:rPr>
          <w:rFonts w:ascii="Calibri" w:hAnsi="Calibri" w:eastAsia="Calibri" w:cs="Calibri"/>
          <w:b w:val="0"/>
          <w:bCs w:val="0"/>
          <w:noProof w:val="0"/>
          <w:sz w:val="22"/>
          <w:szCs w:val="22"/>
          <w:lang w:val="en-GB"/>
        </w:rPr>
        <w:t xml:space="preserve"> and they did find scribes of the temple guilty of embezzlement under </w:t>
      </w:r>
      <w:proofErr w:type="spellStart"/>
      <w:r w:rsidRPr="064C0A1E" w:rsidR="064C0A1E">
        <w:rPr>
          <w:rFonts w:ascii="Calibri" w:hAnsi="Calibri" w:eastAsia="Calibri" w:cs="Calibri"/>
          <w:b w:val="0"/>
          <w:bCs w:val="0"/>
          <w:noProof w:val="0"/>
          <w:sz w:val="22"/>
          <w:szCs w:val="22"/>
          <w:lang w:val="en-GB"/>
        </w:rPr>
        <w:t>Pinudjem</w:t>
      </w:r>
      <w:proofErr w:type="spellEnd"/>
      <w:r w:rsidRPr="064C0A1E" w:rsidR="064C0A1E">
        <w:rPr>
          <w:rFonts w:ascii="Calibri" w:hAnsi="Calibri" w:eastAsia="Calibri" w:cs="Calibri"/>
          <w:b w:val="0"/>
          <w:bCs w:val="0"/>
          <w:noProof w:val="0"/>
          <w:sz w:val="22"/>
          <w:szCs w:val="22"/>
          <w:lang w:val="en-GB"/>
        </w:rPr>
        <w:t xml:space="preserve"> the second</w:t>
      </w:r>
      <w:r w:rsidRPr="064C0A1E">
        <w:rPr>
          <w:rStyle w:val="FootnoteReference"/>
          <w:rFonts w:ascii="Calibri" w:hAnsi="Calibri" w:eastAsia="Calibri" w:cs="Calibri"/>
          <w:b w:val="0"/>
          <w:bCs w:val="0"/>
          <w:noProof w:val="0"/>
          <w:sz w:val="22"/>
          <w:szCs w:val="22"/>
          <w:lang w:val="en-GB"/>
        </w:rPr>
        <w:footnoteReference w:id="16326"/>
      </w:r>
      <w:r w:rsidRPr="064C0A1E" w:rsidR="064C0A1E">
        <w:rPr>
          <w:rFonts w:ascii="Calibri" w:hAnsi="Calibri" w:eastAsia="Calibri" w:cs="Calibri"/>
          <w:b w:val="0"/>
          <w:bCs w:val="0"/>
          <w:noProof w:val="0"/>
          <w:sz w:val="22"/>
          <w:szCs w:val="22"/>
          <w:lang w:val="en-GB"/>
        </w:rPr>
        <w:t>. Not only did people try to interfere with these oracles from the gods, but people also would seek a second opinion on some matters. Aylward M. Blackman</w:t>
      </w:r>
      <w:r w:rsidRPr="064C0A1E">
        <w:rPr>
          <w:rStyle w:val="FootnoteReference"/>
          <w:rFonts w:ascii="Calibri" w:hAnsi="Calibri" w:eastAsia="Calibri" w:cs="Calibri"/>
          <w:b w:val="0"/>
          <w:bCs w:val="0"/>
          <w:noProof w:val="0"/>
          <w:sz w:val="22"/>
          <w:szCs w:val="22"/>
          <w:lang w:val="en-GB"/>
        </w:rPr>
        <w:footnoteReference w:id="15625"/>
      </w:r>
      <w:r w:rsidRPr="064C0A1E" w:rsidR="064C0A1E">
        <w:rPr>
          <w:rFonts w:ascii="Calibri" w:hAnsi="Calibri" w:eastAsia="Calibri" w:cs="Calibri"/>
          <w:b w:val="0"/>
          <w:bCs w:val="0"/>
          <w:noProof w:val="0"/>
          <w:sz w:val="22"/>
          <w:szCs w:val="22"/>
          <w:lang w:val="en-GB"/>
        </w:rPr>
        <w:t xml:space="preserve"> gives an example of a man consulting the gods over garments that have been stolen and asks if the man he is accusing of theft was the perpetrator. The god agrees it was, but the accused denies taking these garments and states he is going to seek an oracle in his local town, by a different god. It is not written what the outcome of this oracle was, but the accused comes back to the god and his accuser, is then spoken to by the god through a priest and eventually confesses to taking the garments. This shows that even Egyptians not only were sometimes sceptical of the oracles due to interference, but </w:t>
      </w:r>
      <w:proofErr w:type="gramStart"/>
      <w:r w:rsidRPr="064C0A1E" w:rsidR="064C0A1E">
        <w:rPr>
          <w:rFonts w:ascii="Calibri" w:hAnsi="Calibri" w:eastAsia="Calibri" w:cs="Calibri"/>
          <w:b w:val="0"/>
          <w:bCs w:val="0"/>
          <w:noProof w:val="0"/>
          <w:sz w:val="22"/>
          <w:szCs w:val="22"/>
          <w:lang w:val="en-GB"/>
        </w:rPr>
        <w:t>also</w:t>
      </w:r>
      <w:proofErr w:type="gramEnd"/>
      <w:r w:rsidRPr="064C0A1E" w:rsidR="064C0A1E">
        <w:rPr>
          <w:rFonts w:ascii="Calibri" w:hAnsi="Calibri" w:eastAsia="Calibri" w:cs="Calibri"/>
          <w:b w:val="0"/>
          <w:bCs w:val="0"/>
          <w:noProof w:val="0"/>
          <w:sz w:val="22"/>
          <w:szCs w:val="22"/>
          <w:lang w:val="en-GB"/>
        </w:rPr>
        <w:t xml:space="preserve"> they try to “hoodwink” the gods themselves. Although there a few of these instances recorded, we could assume that this was a practice that was common amongst people, especially those being accused of something. It is important to note that the judicial system however did not rely on these oracles to </w:t>
      </w:r>
      <w:r w:rsidRPr="064C0A1E" w:rsidR="064C0A1E">
        <w:rPr>
          <w:rFonts w:ascii="Calibri" w:hAnsi="Calibri" w:eastAsia="Calibri" w:cs="Calibri"/>
          <w:b w:val="0"/>
          <w:bCs w:val="0"/>
          <w:noProof w:val="0"/>
          <w:sz w:val="22"/>
          <w:szCs w:val="22"/>
          <w:lang w:val="en-GB"/>
        </w:rPr>
        <w:t xml:space="preserve">prosecute but</w:t>
      </w:r>
      <w:r w:rsidRPr="064C0A1E" w:rsidR="064C0A1E">
        <w:rPr>
          <w:rFonts w:ascii="Calibri" w:hAnsi="Calibri" w:eastAsia="Calibri" w:cs="Calibri"/>
          <w:b w:val="0"/>
          <w:bCs w:val="0"/>
          <w:noProof w:val="0"/>
          <w:sz w:val="22"/>
          <w:szCs w:val="22"/>
          <w:lang w:val="en-GB"/>
        </w:rPr>
        <w:t xml:space="preserve"> may be used as evidence during a judicial process.</w:t>
      </w:r>
    </w:p>
    <w:p w:rsidR="064C0A1E" w:rsidP="064C0A1E" w:rsidRDefault="064C0A1E" w14:paraId="2D30935A" w14:textId="4620F085">
      <w:pPr>
        <w:pStyle w:val="Normal"/>
        <w:rPr>
          <w:rFonts w:ascii="Calibri" w:hAnsi="Calibri" w:eastAsia="Calibri" w:cs="Calibri"/>
          <w:b w:val="0"/>
          <w:bCs w:val="0"/>
          <w:noProof w:val="0"/>
          <w:sz w:val="22"/>
          <w:szCs w:val="22"/>
          <w:lang w:val="en-GB"/>
        </w:rPr>
      </w:pPr>
      <w:r w:rsidRPr="064C0A1E" w:rsidR="064C0A1E">
        <w:rPr>
          <w:rFonts w:ascii="Calibri" w:hAnsi="Calibri" w:eastAsia="Calibri" w:cs="Calibri"/>
          <w:b w:val="0"/>
          <w:bCs w:val="0"/>
          <w:noProof w:val="0"/>
          <w:sz w:val="22"/>
          <w:szCs w:val="22"/>
          <w:lang w:val="en-GB"/>
        </w:rPr>
        <w:t xml:space="preserve">Oracles were also used to </w:t>
      </w:r>
      <w:r w:rsidRPr="064C0A1E" w:rsidR="064C0A1E">
        <w:rPr>
          <w:rFonts w:ascii="Calibri" w:hAnsi="Calibri" w:eastAsia="Calibri" w:cs="Calibri"/>
          <w:b w:val="0"/>
          <w:bCs w:val="0"/>
          <w:noProof w:val="0"/>
          <w:sz w:val="22"/>
          <w:szCs w:val="22"/>
          <w:lang w:val="en-GB"/>
        </w:rPr>
        <w:t>determine</w:t>
      </w:r>
      <w:r w:rsidRPr="064C0A1E" w:rsidR="064C0A1E">
        <w:rPr>
          <w:rFonts w:ascii="Calibri" w:hAnsi="Calibri" w:eastAsia="Calibri" w:cs="Calibri"/>
          <w:b w:val="0"/>
          <w:bCs w:val="0"/>
          <w:noProof w:val="0"/>
          <w:sz w:val="22"/>
          <w:szCs w:val="22"/>
          <w:lang w:val="en-GB"/>
        </w:rPr>
        <w:t xml:space="preserve"> who was a worthy individual and who was an evildoer, and this was not explicit to royalty but those are also </w:t>
      </w:r>
      <w:r w:rsidRPr="064C0A1E" w:rsidR="064C0A1E">
        <w:rPr>
          <w:rFonts w:ascii="Calibri" w:hAnsi="Calibri" w:eastAsia="Calibri" w:cs="Calibri"/>
          <w:b w:val="0"/>
          <w:bCs w:val="0"/>
          <w:noProof w:val="0"/>
          <w:sz w:val="22"/>
          <w:szCs w:val="22"/>
          <w:lang w:val="en-GB"/>
        </w:rPr>
        <w:t xml:space="preserve">officials</w:t>
      </w:r>
      <w:r w:rsidRPr="064C0A1E" w:rsidR="064C0A1E">
        <w:rPr>
          <w:rFonts w:ascii="Calibri" w:hAnsi="Calibri" w:eastAsia="Calibri" w:cs="Calibri"/>
          <w:b w:val="0"/>
          <w:bCs w:val="0"/>
          <w:noProof w:val="0"/>
          <w:sz w:val="22"/>
          <w:szCs w:val="22"/>
          <w:lang w:val="en-GB"/>
        </w:rPr>
        <w:t xml:space="preserve">. The bark would be carried around the candidates and the stop in front of the </w:t>
      </w:r>
      <w:r w:rsidRPr="064C0A1E" w:rsidR="064C0A1E">
        <w:rPr>
          <w:rFonts w:ascii="Calibri" w:hAnsi="Calibri" w:eastAsia="Calibri" w:cs="Calibri"/>
          <w:b w:val="0"/>
          <w:bCs w:val="0"/>
          <w:noProof w:val="0"/>
          <w:sz w:val="22"/>
          <w:szCs w:val="22"/>
          <w:lang w:val="en-GB"/>
        </w:rPr>
        <w:t>appropriate person</w:t>
      </w:r>
      <w:r w:rsidRPr="064C0A1E" w:rsidR="064C0A1E">
        <w:rPr>
          <w:rFonts w:ascii="Calibri" w:hAnsi="Calibri" w:eastAsia="Calibri" w:cs="Calibri"/>
          <w:b w:val="0"/>
          <w:bCs w:val="0"/>
          <w:noProof w:val="0"/>
          <w:sz w:val="22"/>
          <w:szCs w:val="22"/>
          <w:lang w:val="en-GB"/>
        </w:rPr>
        <w:t xml:space="preserve"> at its own accord. This was seen with the chief of </w:t>
      </w:r>
      <w:r w:rsidRPr="064C0A1E" w:rsidR="064C0A1E">
        <w:rPr>
          <w:rFonts w:ascii="Calibri" w:hAnsi="Calibri" w:eastAsia="Calibri" w:cs="Calibri"/>
          <w:b w:val="0"/>
          <w:bCs w:val="0"/>
          <w:noProof w:val="0"/>
          <w:sz w:val="22"/>
          <w:szCs w:val="22"/>
          <w:lang w:val="en-GB"/>
        </w:rPr>
        <w:t>policemen</w:t>
      </w:r>
      <w:r w:rsidRPr="064C0A1E" w:rsidR="064C0A1E">
        <w:rPr>
          <w:rFonts w:ascii="Calibri" w:hAnsi="Calibri" w:eastAsia="Calibri" w:cs="Calibri"/>
          <w:b w:val="0"/>
          <w:bCs w:val="0"/>
          <w:noProof w:val="0"/>
          <w:sz w:val="22"/>
          <w:szCs w:val="22"/>
          <w:lang w:val="en-GB"/>
        </w:rPr>
        <w:t xml:space="preserve"> by the bark of Isis at Abydos under Ramesses the second</w:t>
      </w:r>
      <w:r w:rsidRPr="064C0A1E">
        <w:rPr>
          <w:rStyle w:val="FootnoteReference"/>
          <w:rFonts w:ascii="Calibri" w:hAnsi="Calibri" w:eastAsia="Calibri" w:cs="Calibri"/>
          <w:b w:val="0"/>
          <w:bCs w:val="0"/>
          <w:noProof w:val="0"/>
          <w:sz w:val="22"/>
          <w:szCs w:val="22"/>
          <w:lang w:val="en-GB"/>
        </w:rPr>
        <w:footnoteReference w:id="4248"/>
      </w:r>
      <w:r w:rsidRPr="064C0A1E" w:rsidR="064C0A1E">
        <w:rPr>
          <w:rFonts w:ascii="Calibri" w:hAnsi="Calibri" w:eastAsia="Calibri" w:cs="Calibri"/>
          <w:b w:val="0"/>
          <w:bCs w:val="0"/>
          <w:noProof w:val="0"/>
          <w:sz w:val="22"/>
          <w:szCs w:val="22"/>
          <w:lang w:val="en-GB"/>
        </w:rPr>
        <w:t xml:space="preserve">. Some oracles are </w:t>
      </w:r>
      <w:r w:rsidRPr="064C0A1E" w:rsidR="064C0A1E">
        <w:rPr>
          <w:rFonts w:ascii="Calibri" w:hAnsi="Calibri" w:eastAsia="Calibri" w:cs="Calibri"/>
          <w:b w:val="0"/>
          <w:bCs w:val="0"/>
          <w:noProof w:val="0"/>
          <w:sz w:val="22"/>
          <w:szCs w:val="22"/>
          <w:lang w:val="en-GB"/>
        </w:rPr>
        <w:t>supposedly spoken</w:t>
      </w:r>
      <w:r w:rsidRPr="064C0A1E" w:rsidR="064C0A1E">
        <w:rPr>
          <w:rFonts w:ascii="Calibri" w:hAnsi="Calibri" w:eastAsia="Calibri" w:cs="Calibri"/>
          <w:b w:val="0"/>
          <w:bCs w:val="0"/>
          <w:noProof w:val="0"/>
          <w:sz w:val="22"/>
          <w:szCs w:val="22"/>
          <w:lang w:val="en-GB"/>
        </w:rPr>
        <w:t xml:space="preserve">, by the statues themselves. These oracles would take place in a special room before the statue of the god and people would hear the voice of </w:t>
      </w:r>
      <w:proofErr w:type="gramStart"/>
      <w:r w:rsidRPr="064C0A1E" w:rsidR="064C0A1E">
        <w:rPr>
          <w:rFonts w:ascii="Calibri" w:hAnsi="Calibri" w:eastAsia="Calibri" w:cs="Calibri"/>
          <w:b w:val="0"/>
          <w:bCs w:val="0"/>
          <w:noProof w:val="0"/>
          <w:sz w:val="22"/>
          <w:szCs w:val="22"/>
          <w:lang w:val="en-GB"/>
        </w:rPr>
        <w:t>god</w:t>
      </w:r>
      <w:proofErr w:type="gramEnd"/>
      <w:r w:rsidRPr="064C0A1E" w:rsidR="064C0A1E">
        <w:rPr>
          <w:rFonts w:ascii="Calibri" w:hAnsi="Calibri" w:eastAsia="Calibri" w:cs="Calibri"/>
          <w:b w:val="0"/>
          <w:bCs w:val="0"/>
          <w:noProof w:val="0"/>
          <w:sz w:val="22"/>
          <w:szCs w:val="22"/>
          <w:lang w:val="en-GB"/>
        </w:rPr>
        <w:t xml:space="preserve"> answering their question</w:t>
      </w:r>
      <w:r w:rsidRPr="064C0A1E">
        <w:rPr>
          <w:rStyle w:val="FootnoteReference"/>
          <w:rFonts w:ascii="Calibri" w:hAnsi="Calibri" w:eastAsia="Calibri" w:cs="Calibri"/>
          <w:b w:val="0"/>
          <w:bCs w:val="0"/>
          <w:noProof w:val="0"/>
          <w:sz w:val="22"/>
          <w:szCs w:val="22"/>
          <w:lang w:val="en-GB"/>
        </w:rPr>
        <w:footnoteReference w:id="2928"/>
      </w:r>
      <w:r w:rsidRPr="064C0A1E" w:rsidR="064C0A1E">
        <w:rPr>
          <w:rFonts w:ascii="Calibri" w:hAnsi="Calibri" w:eastAsia="Calibri" w:cs="Calibri"/>
          <w:b w:val="0"/>
          <w:bCs w:val="0"/>
          <w:noProof w:val="0"/>
          <w:sz w:val="22"/>
          <w:szCs w:val="22"/>
          <w:lang w:val="en-GB"/>
        </w:rPr>
        <w:t xml:space="preserve">. From Ramesses VI onward, issued by the ‘lord of gods’, that the ‘lord of gods’ as a physical statue that can solidify the decisions of other gods during the oracular season and other yearly festivals. </w:t>
      </w:r>
    </w:p>
    <w:p w:rsidR="064C0A1E" w:rsidP="6270CBC5" w:rsidRDefault="064C0A1E" w14:paraId="3A9605BF" w14:textId="618ADF19">
      <w:pPr>
        <w:pStyle w:val="Normal"/>
        <w:rPr>
          <w:rFonts w:ascii="Calibri" w:hAnsi="Calibri" w:eastAsia="Calibri" w:cs="Calibri"/>
          <w:b w:val="0"/>
          <w:bCs w:val="0"/>
          <w:noProof w:val="0"/>
          <w:sz w:val="22"/>
          <w:szCs w:val="22"/>
          <w:lang w:val="en-GB"/>
        </w:rPr>
      </w:pPr>
      <w:r w:rsidRPr="630F0401" w:rsidR="064C0A1E">
        <w:rPr>
          <w:rFonts w:ascii="Calibri" w:hAnsi="Calibri" w:eastAsia="Calibri" w:cs="Calibri"/>
          <w:b w:val="0"/>
          <w:bCs w:val="0"/>
          <w:noProof w:val="0"/>
          <w:sz w:val="22"/>
          <w:szCs w:val="22"/>
          <w:lang w:val="en-GB"/>
        </w:rPr>
        <w:t>Oracles are clearly an important form of divination in Ancient Egypt, one that ranges from royalty to common people. As we have seen oracles were used for a range of topics and as they were used so vastly around Ancient Egypt</w:t>
      </w:r>
      <w:r w:rsidRPr="630F0401">
        <w:rPr>
          <w:rStyle w:val="FootnoteReference"/>
          <w:rFonts w:ascii="Calibri" w:hAnsi="Calibri" w:eastAsia="Calibri" w:cs="Calibri"/>
          <w:b w:val="0"/>
          <w:bCs w:val="0"/>
          <w:noProof w:val="0"/>
          <w:sz w:val="22"/>
          <w:szCs w:val="22"/>
          <w:lang w:val="en-GB"/>
        </w:rPr>
        <w:footnoteReference w:id="32555"/>
      </w:r>
      <w:r w:rsidRPr="630F0401" w:rsidR="064C0A1E">
        <w:rPr>
          <w:rFonts w:ascii="Calibri" w:hAnsi="Calibri" w:eastAsia="Calibri" w:cs="Calibri"/>
          <w:b w:val="0"/>
          <w:bCs w:val="0"/>
          <w:noProof w:val="0"/>
          <w:sz w:val="22"/>
          <w:szCs w:val="22"/>
          <w:lang w:val="en-GB"/>
        </w:rPr>
        <w:t xml:space="preserve">, it shows the people of the time must have seen merit in the practice. If oracles were good enough for royalty, then they were eventually going to be adopted by the common people. Even if there could be some interference and others who tried to “hoodwink” the gods by other means, it was clearly a valued practice, that lasted for centuries. The fact that people were also accused and convicted of embezzlement for interfering with the practice shows that it was held in high regard to the Ancient Egyptians. As it has also been documented by the Egyptians also again shows it was an important practice of their culture. The range of gods and methods in how to receive an oracle shows depth in the beliefs of the people at the time, with dedicated festivals and a ranking order of which god you could consult over certain matters. As this was also used in other areas of the world such as Mesopotamia, which again shows its credibility. </w:t>
      </w:r>
      <w:r w:rsidRPr="630F0401" w:rsidR="6270CBC5">
        <w:rPr>
          <w:rFonts w:ascii="Calibri" w:hAnsi="Calibri" w:eastAsia="Calibri" w:cs="Calibri"/>
          <w:b w:val="0"/>
          <w:bCs w:val="0"/>
          <w:noProof w:val="0"/>
          <w:sz w:val="22"/>
          <w:szCs w:val="22"/>
          <w:lang w:val="en-GB"/>
        </w:rPr>
        <w:t xml:space="preserve">Oracles do not answer questions in a conventional way by using evidence from the ordered way of the world to reach a conclusion, but oracles answer questions by being asked deliberately or asked for by the recipient. </w:t>
      </w:r>
    </w:p>
    <w:p w:rsidR="064C0A1E" w:rsidP="064C0A1E" w:rsidRDefault="064C0A1E" w14:paraId="1B0E30F0" w14:textId="30988AFC">
      <w:pPr>
        <w:pStyle w:val="Normal"/>
        <w:rPr>
          <w:rFonts w:ascii="Calibri" w:hAnsi="Calibri" w:eastAsia="Calibri" w:cs="Calibri"/>
          <w:b w:val="0"/>
          <w:bCs w:val="0"/>
          <w:noProof w:val="0"/>
          <w:sz w:val="22"/>
          <w:szCs w:val="22"/>
          <w:lang w:val="en-GB"/>
        </w:rPr>
      </w:pPr>
      <w:r w:rsidRPr="630F0401" w:rsidR="064C0A1E">
        <w:rPr>
          <w:rFonts w:ascii="Calibri" w:hAnsi="Calibri" w:eastAsia="Calibri" w:cs="Calibri"/>
          <w:b w:val="0"/>
          <w:bCs w:val="0"/>
          <w:noProof w:val="0"/>
          <w:sz w:val="22"/>
          <w:szCs w:val="22"/>
          <w:lang w:val="en-GB"/>
        </w:rPr>
        <w:t xml:space="preserve"> As the recipient deliberately is asking a statue during a procession shows that oracles </w:t>
      </w:r>
      <w:proofErr w:type="gramStart"/>
      <w:r w:rsidRPr="630F0401" w:rsidR="064C0A1E">
        <w:rPr>
          <w:rFonts w:ascii="Calibri" w:hAnsi="Calibri" w:eastAsia="Calibri" w:cs="Calibri"/>
          <w:b w:val="0"/>
          <w:bCs w:val="0"/>
          <w:noProof w:val="0"/>
          <w:sz w:val="22"/>
          <w:szCs w:val="22"/>
          <w:lang w:val="en-GB"/>
        </w:rPr>
        <w:t>are something that is</w:t>
      </w:r>
      <w:proofErr w:type="gramEnd"/>
      <w:r w:rsidRPr="630F0401" w:rsidR="064C0A1E">
        <w:rPr>
          <w:rFonts w:ascii="Calibri" w:hAnsi="Calibri" w:eastAsia="Calibri" w:cs="Calibri"/>
          <w:b w:val="0"/>
          <w:bCs w:val="0"/>
          <w:noProof w:val="0"/>
          <w:sz w:val="22"/>
          <w:szCs w:val="22"/>
          <w:lang w:val="en-GB"/>
        </w:rPr>
        <w:t xml:space="preserve"> </w:t>
      </w:r>
      <w:r w:rsidRPr="630F0401" w:rsidR="064C0A1E">
        <w:rPr>
          <w:rFonts w:ascii="Calibri" w:hAnsi="Calibri" w:eastAsia="Calibri" w:cs="Calibri"/>
          <w:b w:val="0"/>
          <w:bCs w:val="0"/>
          <w:noProof w:val="0"/>
          <w:sz w:val="22"/>
          <w:szCs w:val="22"/>
          <w:lang w:val="en-GB"/>
        </w:rPr>
        <w:t>manmade</w:t>
      </w:r>
      <w:r w:rsidRPr="630F0401" w:rsidR="064C0A1E">
        <w:rPr>
          <w:rFonts w:ascii="Calibri" w:hAnsi="Calibri" w:eastAsia="Calibri" w:cs="Calibri"/>
          <w:b w:val="0"/>
          <w:bCs w:val="0"/>
          <w:noProof w:val="0"/>
          <w:sz w:val="22"/>
          <w:szCs w:val="22"/>
          <w:lang w:val="en-GB"/>
        </w:rPr>
        <w:t xml:space="preserve"> and then delivered by either a person or by the movement of the people holding the bark. Although </w:t>
      </w:r>
      <w:r w:rsidRPr="630F0401" w:rsidR="064C0A1E">
        <w:rPr>
          <w:rFonts w:ascii="Calibri" w:hAnsi="Calibri" w:eastAsia="Calibri" w:cs="Calibri"/>
          <w:b w:val="0"/>
          <w:bCs w:val="0"/>
          <w:noProof w:val="0"/>
          <w:sz w:val="22"/>
          <w:szCs w:val="22"/>
          <w:lang w:val="en-GB"/>
        </w:rPr>
        <w:t>arguably within</w:t>
      </w:r>
      <w:r w:rsidRPr="630F0401" w:rsidR="064C0A1E">
        <w:rPr>
          <w:rFonts w:ascii="Calibri" w:hAnsi="Calibri" w:eastAsia="Calibri" w:cs="Calibri"/>
          <w:b w:val="0"/>
          <w:bCs w:val="0"/>
          <w:noProof w:val="0"/>
          <w:sz w:val="22"/>
          <w:szCs w:val="22"/>
          <w:lang w:val="en-GB"/>
        </w:rPr>
        <w:t xml:space="preserve"> cosmology there would be divination, oracles are a branch of divination rather than cosmology. But it is important to note that the Ancient Egyptians did not rely on oracles for judicial purposes, this could be due to </w:t>
      </w:r>
      <w:r w:rsidRPr="630F0401" w:rsidR="064C0A1E">
        <w:rPr>
          <w:rFonts w:ascii="Calibri" w:hAnsi="Calibri" w:eastAsia="Calibri" w:cs="Calibri"/>
          <w:b w:val="0"/>
          <w:bCs w:val="0"/>
          <w:noProof w:val="0"/>
          <w:sz w:val="22"/>
          <w:szCs w:val="22"/>
          <w:lang w:val="en-GB"/>
        </w:rPr>
        <w:t>interference</w:t>
      </w:r>
      <w:r w:rsidRPr="630F0401" w:rsidR="064C0A1E">
        <w:rPr>
          <w:rFonts w:ascii="Calibri" w:hAnsi="Calibri" w:eastAsia="Calibri" w:cs="Calibri"/>
          <w:b w:val="0"/>
          <w:bCs w:val="0"/>
          <w:noProof w:val="0"/>
          <w:sz w:val="22"/>
          <w:szCs w:val="22"/>
          <w:lang w:val="en-GB"/>
        </w:rPr>
        <w:t xml:space="preserve"> from those holding the bark and/or even the priest displaying the message</w:t>
      </w:r>
      <w:r w:rsidRPr="630F0401">
        <w:rPr>
          <w:rStyle w:val="FootnoteReference"/>
          <w:rFonts w:ascii="Calibri" w:hAnsi="Calibri" w:eastAsia="Calibri" w:cs="Calibri"/>
          <w:b w:val="0"/>
          <w:bCs w:val="0"/>
          <w:noProof w:val="0"/>
          <w:sz w:val="22"/>
          <w:szCs w:val="22"/>
          <w:lang w:val="en-GB"/>
        </w:rPr>
        <w:footnoteReference w:id="11015"/>
      </w:r>
      <w:r w:rsidRPr="630F0401" w:rsidR="064C0A1E">
        <w:rPr>
          <w:rFonts w:ascii="Calibri" w:hAnsi="Calibri" w:eastAsia="Calibri" w:cs="Calibri"/>
          <w:b w:val="0"/>
          <w:bCs w:val="0"/>
          <w:noProof w:val="0"/>
          <w:sz w:val="22"/>
          <w:szCs w:val="22"/>
          <w:lang w:val="en-GB"/>
        </w:rPr>
        <w:t xml:space="preserve">.  </w:t>
      </w:r>
      <w:r w:rsidRPr="630F0401" w:rsidR="064C0A1E">
        <w:rPr>
          <w:rFonts w:ascii="Calibri" w:hAnsi="Calibri" w:eastAsia="Calibri" w:cs="Calibri"/>
          <w:b w:val="0"/>
          <w:bCs w:val="0"/>
          <w:noProof w:val="0"/>
          <w:sz w:val="22"/>
          <w:szCs w:val="22"/>
          <w:lang w:val="en-GB"/>
        </w:rPr>
        <w:t xml:space="preserve"> </w:t>
      </w:r>
    </w:p>
    <w:p w:rsidR="064C0A1E" w:rsidP="6270CBC5" w:rsidRDefault="064C0A1E" w14:paraId="16F4D293" w14:textId="1583A77D">
      <w:pPr>
        <w:pStyle w:val="Normal"/>
        <w:rPr>
          <w:rFonts w:ascii="Calibri" w:hAnsi="Calibri" w:eastAsia="Calibri" w:cs="Calibri"/>
          <w:b w:val="0"/>
          <w:bCs w:val="0"/>
          <w:i w:val="0"/>
          <w:iCs w:val="0"/>
          <w:noProof w:val="0"/>
          <w:sz w:val="22"/>
          <w:szCs w:val="22"/>
          <w:lang w:val="en-GB"/>
        </w:rPr>
      </w:pPr>
      <w:r w:rsidRPr="064C0A1E" w:rsidR="064C0A1E">
        <w:rPr>
          <w:rFonts w:ascii="Calibri" w:hAnsi="Calibri" w:eastAsia="Calibri" w:cs="Calibri"/>
          <w:b w:val="0"/>
          <w:bCs w:val="0"/>
          <w:noProof w:val="0"/>
          <w:sz w:val="22"/>
          <w:szCs w:val="22"/>
          <w:lang w:val="en-GB"/>
        </w:rPr>
        <w:t xml:space="preserve">The Egyptian word for dream is </w:t>
      </w:r>
      <w:r w:rsidRPr="630F0401" w:rsidR="064C0A1E">
        <w:rPr>
          <w:rFonts w:ascii="Calibri" w:hAnsi="Calibri" w:eastAsia="Calibri" w:cs="Calibri"/>
          <w:b w:val="0"/>
          <w:bCs w:val="0"/>
          <w:i w:val="1"/>
          <w:iCs w:val="1"/>
          <w:noProof w:val="0"/>
          <w:sz w:val="22"/>
          <w:szCs w:val="22"/>
          <w:lang w:val="en-GB"/>
        </w:rPr>
        <w:t>rst</w:t>
      </w:r>
      <w:r w:rsidRPr="630F0401" w:rsidR="064C0A1E">
        <w:rPr>
          <w:rFonts w:ascii="Calibri" w:hAnsi="Calibri" w:eastAsia="Calibri" w:cs="Calibri"/>
          <w:b w:val="0"/>
          <w:bCs w:val="0"/>
          <w:i w:val="0"/>
          <w:iCs w:val="0"/>
          <w:noProof w:val="0"/>
          <w:sz w:val="22"/>
          <w:szCs w:val="22"/>
          <w:lang w:val="en-GB"/>
        </w:rPr>
        <w:t>, meaning ‘wakefulness’, but in a different state than being awake</w:t>
      </w:r>
      <w:r w:rsidRPr="630F0401">
        <w:rPr>
          <w:rStyle w:val="FootnoteReference"/>
          <w:rFonts w:ascii="Calibri" w:hAnsi="Calibri" w:eastAsia="Calibri" w:cs="Calibri"/>
          <w:b w:val="0"/>
          <w:bCs w:val="0"/>
          <w:i w:val="0"/>
          <w:iCs w:val="0"/>
          <w:noProof w:val="0"/>
          <w:sz w:val="22"/>
          <w:szCs w:val="22"/>
          <w:lang w:val="en-GB"/>
        </w:rPr>
        <w:footnoteReference w:id="6427"/>
      </w:r>
      <w:r w:rsidRPr="630F0401" w:rsidR="064C0A1E">
        <w:rPr>
          <w:rFonts w:ascii="Calibri" w:hAnsi="Calibri" w:eastAsia="Calibri" w:cs="Calibri"/>
          <w:b w:val="0"/>
          <w:bCs w:val="0"/>
          <w:i w:val="0"/>
          <w:iCs w:val="0"/>
          <w:noProof w:val="0"/>
          <w:sz w:val="22"/>
          <w:szCs w:val="22"/>
          <w:lang w:val="en-GB"/>
        </w:rPr>
        <w:t>. Earlier, interpretations of dreams were restricted to royalty where the gods would come to the King in a dream with premonitions or revelations, which are first applied to the ruler as to what could happen to the whole country. Later, dream books for the common people existed and gods could also come to them in dreams. The oldest of these comes from 1200 BCE but they may reflect earlier practices and the books are key for interpreting dreams. The dream was interpreted in terms of the dreamer, not in and of itself, so interpretation would always be relevant to the person and people would go to a professional dream interpreter. Some examples of dream interpretations from a dream book are that if a woman dreams of the following: ‘</w:t>
      </w:r>
      <w:r w:rsidRPr="630F0401" w:rsidR="064C0A1E">
        <w:rPr>
          <w:rFonts w:ascii="Calibri" w:hAnsi="Calibri" w:eastAsia="Calibri" w:cs="Calibri"/>
          <w:b w:val="0"/>
          <w:bCs w:val="0"/>
          <w:i w:val="1"/>
          <w:iCs w:val="1"/>
          <w:noProof w:val="0"/>
          <w:sz w:val="22"/>
          <w:szCs w:val="22"/>
          <w:lang w:val="en-GB"/>
        </w:rPr>
        <w:t>if she gives birth to a cat, she will have many children. If she gives birth to a dog, she will have a boy. If she gives birth to an ass, she will have an idiot child. If she gives birth to a crocodile, she will have many children’.</w:t>
      </w:r>
      <w:r w:rsidRPr="064C0A1E">
        <w:rPr>
          <w:rStyle w:val="FootnoteReference"/>
          <w:rFonts w:ascii="Calibri" w:hAnsi="Calibri" w:eastAsia="Calibri" w:cs="Calibri"/>
          <w:b w:val="0"/>
          <w:bCs w:val="0"/>
          <w:noProof w:val="0"/>
          <w:sz w:val="22"/>
          <w:szCs w:val="22"/>
          <w:lang w:val="en-GB"/>
        </w:rPr>
        <w:footnoteReference w:id="31398"/>
      </w:r>
      <w:r w:rsidRPr="630F0401" w:rsidR="064C0A1E">
        <w:rPr>
          <w:rFonts w:ascii="Calibri" w:hAnsi="Calibri" w:eastAsia="Calibri" w:cs="Calibri"/>
          <w:b w:val="0"/>
          <w:bCs w:val="0"/>
          <w:i w:val="1"/>
          <w:iCs w:val="1"/>
          <w:noProof w:val="0"/>
          <w:sz w:val="22"/>
          <w:szCs w:val="22"/>
          <w:lang w:val="en-GB"/>
        </w:rPr>
        <w:t xml:space="preserve"> </w:t>
      </w:r>
      <w:r w:rsidRPr="630F0401" w:rsidR="064C0A1E">
        <w:rPr>
          <w:rFonts w:ascii="Calibri" w:hAnsi="Calibri" w:eastAsia="Calibri" w:cs="Calibri"/>
          <w:b w:val="0"/>
          <w:bCs w:val="0"/>
          <w:i w:val="0"/>
          <w:iCs w:val="0"/>
          <w:noProof w:val="0"/>
          <w:sz w:val="22"/>
          <w:szCs w:val="22"/>
          <w:lang w:val="en-GB"/>
        </w:rPr>
        <w:t xml:space="preserve">Just as </w:t>
      </w:r>
      <w:r w:rsidRPr="630F0401" w:rsidR="064C0A1E">
        <w:rPr>
          <w:rFonts w:ascii="Calibri" w:hAnsi="Calibri" w:eastAsia="Calibri" w:cs="Calibri"/>
          <w:b w:val="0"/>
          <w:bCs w:val="0"/>
          <w:i w:val="0"/>
          <w:iCs w:val="0"/>
          <w:noProof w:val="0"/>
          <w:sz w:val="22"/>
          <w:szCs w:val="22"/>
          <w:lang w:val="en-GB"/>
        </w:rPr>
        <w:t xml:space="preserve">cats give birth to many kittens, along with crocodiles laying many eggs, implying there will be many children the female will give birth to. Egyptians, especially in divination, use word play. In Ancient Egypt, dreams can be provoked by the recipient asking for the dream, where they may ask the god for something, and the answer is revealed in a dream. This shows correlation to oracles as the person is asking something of </w:t>
      </w:r>
      <w:r w:rsidRPr="630F0401" w:rsidR="064C0A1E">
        <w:rPr>
          <w:rFonts w:ascii="Calibri" w:hAnsi="Calibri" w:eastAsia="Calibri" w:cs="Calibri"/>
          <w:b w:val="0"/>
          <w:bCs w:val="0"/>
          <w:i w:val="0"/>
          <w:iCs w:val="0"/>
          <w:noProof w:val="0"/>
          <w:sz w:val="22"/>
          <w:szCs w:val="22"/>
          <w:lang w:val="en-GB"/>
        </w:rPr>
        <w:t>god</w:t>
      </w:r>
      <w:r w:rsidRPr="630F0401" w:rsidR="064C0A1E">
        <w:rPr>
          <w:rFonts w:ascii="Calibri" w:hAnsi="Calibri" w:eastAsia="Calibri" w:cs="Calibri"/>
          <w:b w:val="0"/>
          <w:bCs w:val="0"/>
          <w:i w:val="0"/>
          <w:iCs w:val="0"/>
          <w:noProof w:val="0"/>
          <w:sz w:val="22"/>
          <w:szCs w:val="22"/>
          <w:lang w:val="en-GB"/>
        </w:rPr>
        <w:t xml:space="preserve">, which is then answered and needs to be interpreted by the person. </w:t>
      </w:r>
      <w:r w:rsidRPr="630F0401" w:rsidR="6270CBC5">
        <w:rPr>
          <w:rFonts w:ascii="Calibri" w:hAnsi="Calibri" w:eastAsia="Calibri" w:cs="Calibri"/>
          <w:b w:val="0"/>
          <w:bCs w:val="0"/>
          <w:i w:val="0"/>
          <w:iCs w:val="0"/>
          <w:noProof w:val="0"/>
          <w:sz w:val="22"/>
          <w:szCs w:val="22"/>
          <w:lang w:val="en-GB"/>
        </w:rPr>
        <w:t xml:space="preserve">Some dreams can be unprovoked, leaving the recipient with a curiosity to find out what the dream </w:t>
      </w:r>
      <w:r w:rsidRPr="630F0401" w:rsidR="6270CBC5">
        <w:rPr>
          <w:rFonts w:ascii="Calibri" w:hAnsi="Calibri" w:eastAsia="Calibri" w:cs="Calibri"/>
          <w:b w:val="0"/>
          <w:bCs w:val="0"/>
          <w:i w:val="0"/>
          <w:iCs w:val="0"/>
          <w:noProof w:val="0"/>
          <w:sz w:val="22"/>
          <w:szCs w:val="22"/>
          <w:lang w:val="en-GB"/>
        </w:rPr>
        <w:t xml:space="preserve">actually means</w:t>
      </w:r>
      <w:r w:rsidRPr="630F0401" w:rsidR="6270CBC5">
        <w:rPr>
          <w:rFonts w:ascii="Calibri" w:hAnsi="Calibri" w:eastAsia="Calibri" w:cs="Calibri"/>
          <w:b w:val="0"/>
          <w:bCs w:val="0"/>
          <w:i w:val="0"/>
          <w:iCs w:val="0"/>
          <w:noProof w:val="0"/>
          <w:sz w:val="22"/>
          <w:szCs w:val="22"/>
          <w:lang w:val="en-GB"/>
        </w:rPr>
        <w:t xml:space="preserve"> and how it is relevant to them. </w:t>
      </w:r>
      <w:r w:rsidRPr="630F0401" w:rsidR="064C0A1E">
        <w:rPr>
          <w:rFonts w:ascii="Calibri" w:hAnsi="Calibri" w:eastAsia="Calibri" w:cs="Calibri"/>
          <w:b w:val="0"/>
          <w:bCs w:val="0"/>
          <w:i w:val="0"/>
          <w:iCs w:val="0"/>
          <w:noProof w:val="0"/>
          <w:sz w:val="22"/>
          <w:szCs w:val="22"/>
          <w:lang w:val="en-GB"/>
        </w:rPr>
        <w:t xml:space="preserve">Dream books usually explain naturally occurring dreams, not those that are requested. It is important to note that many cultures, past and present, dreams are considered extremely important for enlightenment, whether profound or mundane. </w:t>
      </w:r>
    </w:p>
    <w:p w:rsidR="064C0A1E" w:rsidP="630F0401" w:rsidRDefault="064C0A1E" w14:paraId="18C12B12" w14:textId="3264B8B9">
      <w:pPr>
        <w:pStyle w:val="Normal"/>
        <w:rPr>
          <w:rFonts w:ascii="Calibri" w:hAnsi="Calibri" w:eastAsia="Calibri" w:cs="Calibri"/>
          <w:b w:val="0"/>
          <w:bCs w:val="0"/>
          <w:i w:val="0"/>
          <w:iCs w:val="0"/>
          <w:noProof w:val="0"/>
          <w:sz w:val="22"/>
          <w:szCs w:val="22"/>
          <w:lang w:val="en-GB"/>
        </w:rPr>
      </w:pPr>
      <w:r w:rsidRPr="630F0401" w:rsidR="064C0A1E">
        <w:rPr>
          <w:rFonts w:ascii="Calibri" w:hAnsi="Calibri" w:eastAsia="Calibri" w:cs="Calibri"/>
          <w:b w:val="0"/>
          <w:bCs w:val="0"/>
          <w:i w:val="0"/>
          <w:iCs w:val="0"/>
          <w:noProof w:val="0"/>
          <w:sz w:val="22"/>
          <w:szCs w:val="22"/>
          <w:lang w:val="en-GB"/>
        </w:rPr>
        <w:t>Dreams are something that we all have experienced and will continue to experience. In this experience we can question the meaning of a dream that does not make complete sense to us. Even now people have their dreams interpreted, so this practice that has been used for thousands of years. For Ancient Egyptians, this is clearly no different and was seen as an important part of their culture. Dream interpretations were something that was reserved for royalty and perhaps could have been used discretely by common people</w:t>
      </w:r>
      <w:r w:rsidRPr="630F0401">
        <w:rPr>
          <w:rStyle w:val="FootnoteReference"/>
          <w:rFonts w:ascii="Calibri" w:hAnsi="Calibri" w:eastAsia="Calibri" w:cs="Calibri"/>
          <w:b w:val="0"/>
          <w:bCs w:val="0"/>
          <w:i w:val="0"/>
          <w:iCs w:val="0"/>
          <w:noProof w:val="0"/>
          <w:sz w:val="22"/>
          <w:szCs w:val="22"/>
          <w:lang w:val="en-GB"/>
        </w:rPr>
        <w:footnoteReference w:id="9580"/>
      </w:r>
      <w:r w:rsidRPr="630F0401" w:rsidR="064C0A1E">
        <w:rPr>
          <w:rFonts w:ascii="Calibri" w:hAnsi="Calibri" w:eastAsia="Calibri" w:cs="Calibri"/>
          <w:b w:val="0"/>
          <w:bCs w:val="0"/>
          <w:i w:val="0"/>
          <w:iCs w:val="0"/>
          <w:noProof w:val="0"/>
          <w:sz w:val="22"/>
          <w:szCs w:val="22"/>
          <w:lang w:val="en-GB"/>
        </w:rPr>
        <w:t>, but dream books were not accessible to those common people. Then we see dream books were available for common people and people also made a career out of interpreting dreams professionally and then writing books. As it was not accessible for everyone to have their dreams interpretated, they would no doubt be making use of that service. Again, as it is documented, it was clearly an important practice and a part of Ancient Egyptian culture. As there were different methods of provoking dreams from gods, t</w:t>
      </w:r>
      <w:r w:rsidRPr="630F0401" w:rsidR="6270CBC5">
        <w:rPr>
          <w:rFonts w:ascii="Calibri" w:hAnsi="Calibri" w:eastAsia="Calibri" w:cs="Calibri"/>
          <w:b w:val="0"/>
          <w:bCs w:val="0"/>
          <w:i w:val="0"/>
          <w:iCs w:val="0"/>
          <w:noProof w:val="0"/>
          <w:sz w:val="22"/>
          <w:szCs w:val="22"/>
          <w:lang w:val="en-GB"/>
        </w:rPr>
        <w:t xml:space="preserve">his shows that there was a discussion amongst people to determine what was best practice when provoking dreams. </w:t>
      </w:r>
      <w:r w:rsidRPr="630F0401" w:rsidR="064C0A1E">
        <w:rPr>
          <w:rFonts w:ascii="Calibri" w:hAnsi="Calibri" w:eastAsia="Calibri" w:cs="Calibri"/>
          <w:b w:val="0"/>
          <w:bCs w:val="0"/>
          <w:i w:val="0"/>
          <w:iCs w:val="0"/>
          <w:noProof w:val="0"/>
          <w:sz w:val="22"/>
          <w:szCs w:val="22"/>
          <w:lang w:val="en-GB"/>
        </w:rPr>
        <w:t xml:space="preserve"> This shows the collective would be referring to dreams as oracles, premonitions and revelations about everyday life and even how to rule a country. As there is no order to dreams and it is rare to have the same dream twice, it shows there is no order in what we dream but there could be order to how they are interpreted. Some specific elements of a dream might have more significance than others, such as a dream that includes a spider; the two dreams may be very different from the other, but the fact they both have spiders may indicate that they are both dreaming of finances, due to money spiders. This shows that as both dreams are interpreted the same way, due to something specific or small within the dream, even though they are two different dreams. </w:t>
      </w:r>
      <w:proofErr w:type="gramStart"/>
      <w:r w:rsidRPr="630F0401" w:rsidR="064C0A1E">
        <w:rPr>
          <w:rFonts w:ascii="Calibri" w:hAnsi="Calibri" w:eastAsia="Calibri" w:cs="Calibri"/>
          <w:b w:val="0"/>
          <w:bCs w:val="0"/>
          <w:i w:val="0"/>
          <w:iCs w:val="0"/>
          <w:noProof w:val="0"/>
          <w:sz w:val="22"/>
          <w:szCs w:val="22"/>
          <w:lang w:val="en-GB"/>
        </w:rPr>
        <w:t>This being said, unless</w:t>
      </w:r>
      <w:proofErr w:type="gramEnd"/>
      <w:r w:rsidRPr="630F0401" w:rsidR="064C0A1E">
        <w:rPr>
          <w:rFonts w:ascii="Calibri" w:hAnsi="Calibri" w:eastAsia="Calibri" w:cs="Calibri"/>
          <w:b w:val="0"/>
          <w:bCs w:val="0"/>
          <w:i w:val="0"/>
          <w:iCs w:val="0"/>
          <w:noProof w:val="0"/>
          <w:sz w:val="22"/>
          <w:szCs w:val="22"/>
          <w:lang w:val="en-GB"/>
        </w:rPr>
        <w:t xml:space="preserve"> it comes from a dream interpretation book, dreams are related to the dreamer rather than no consistent order to what dreams mean, even if the books do attempt it, and there are few significant generic dreams that should be interpreted</w:t>
      </w:r>
      <w:r w:rsidRPr="630F0401">
        <w:rPr>
          <w:rStyle w:val="FootnoteReference"/>
          <w:rFonts w:ascii="Calibri" w:hAnsi="Calibri" w:eastAsia="Calibri" w:cs="Calibri"/>
          <w:b w:val="0"/>
          <w:bCs w:val="0"/>
          <w:i w:val="0"/>
          <w:iCs w:val="0"/>
          <w:noProof w:val="0"/>
          <w:sz w:val="22"/>
          <w:szCs w:val="22"/>
          <w:lang w:val="en-GB"/>
        </w:rPr>
        <w:footnoteReference w:id="12304"/>
      </w:r>
      <w:r w:rsidRPr="630F0401" w:rsidR="064C0A1E">
        <w:rPr>
          <w:rFonts w:ascii="Calibri" w:hAnsi="Calibri" w:eastAsia="Calibri" w:cs="Calibri"/>
          <w:b w:val="0"/>
          <w:bCs w:val="0"/>
          <w:i w:val="0"/>
          <w:iCs w:val="0"/>
          <w:noProof w:val="0"/>
          <w:sz w:val="22"/>
          <w:szCs w:val="22"/>
          <w:lang w:val="en-GB"/>
        </w:rPr>
        <w:t>.</w:t>
      </w:r>
    </w:p>
    <w:p w:rsidR="064C0A1E" w:rsidP="6270CBC5" w:rsidRDefault="064C0A1E" w14:paraId="68BC6A5D" w14:textId="45B061B8">
      <w:pPr>
        <w:pStyle w:val="Normal"/>
        <w:rPr>
          <w:rFonts w:ascii="Calibri" w:hAnsi="Calibri" w:eastAsia="Calibri" w:cs="Calibri"/>
          <w:b w:val="0"/>
          <w:bCs w:val="0"/>
          <w:i w:val="0"/>
          <w:iCs w:val="0"/>
          <w:noProof w:val="0"/>
          <w:sz w:val="22"/>
          <w:szCs w:val="22"/>
          <w:lang w:val="en-GB"/>
        </w:rPr>
      </w:pPr>
      <w:r w:rsidRPr="630F0401" w:rsidR="064C0A1E">
        <w:rPr>
          <w:rFonts w:ascii="Calibri" w:hAnsi="Calibri" w:eastAsia="Calibri" w:cs="Calibri"/>
          <w:b w:val="0"/>
          <w:bCs w:val="0"/>
          <w:i w:val="0"/>
          <w:iCs w:val="0"/>
          <w:noProof w:val="0"/>
          <w:sz w:val="22"/>
          <w:szCs w:val="22"/>
          <w:lang w:val="en-GB"/>
        </w:rPr>
        <w:t xml:space="preserve">Time divination in Ancient Egypt is both seen in days and months. </w:t>
      </w:r>
      <w:r w:rsidRPr="630F0401" w:rsidR="064C0A1E">
        <w:rPr>
          <w:rFonts w:ascii="Calibri" w:hAnsi="Calibri" w:eastAsia="Calibri" w:cs="Calibri"/>
          <w:b w:val="0"/>
          <w:bCs w:val="0"/>
          <w:i w:val="0"/>
          <w:iCs w:val="0"/>
          <w:noProof w:val="0"/>
          <w:sz w:val="22"/>
          <w:szCs w:val="22"/>
          <w:lang w:val="en-GB"/>
        </w:rPr>
        <w:t>Hemerology</w:t>
      </w:r>
      <w:r w:rsidRPr="630F0401" w:rsidR="064C0A1E">
        <w:rPr>
          <w:rFonts w:ascii="Calibri" w:hAnsi="Calibri" w:eastAsia="Calibri" w:cs="Calibri"/>
          <w:b w:val="0"/>
          <w:bCs w:val="0"/>
          <w:i w:val="0"/>
          <w:iCs w:val="0"/>
          <w:noProof w:val="0"/>
          <w:sz w:val="22"/>
          <w:szCs w:val="22"/>
          <w:lang w:val="en-GB"/>
        </w:rPr>
        <w:t xml:space="preserve"> (</w:t>
      </w:r>
      <w:r w:rsidRPr="630F0401" w:rsidR="064C0A1E">
        <w:rPr>
          <w:rFonts w:ascii="Calibri" w:hAnsi="Calibri" w:eastAsia="Calibri" w:cs="Calibri"/>
          <w:b w:val="0"/>
          <w:bCs w:val="0"/>
          <w:i w:val="0"/>
          <w:iCs w:val="0"/>
          <w:noProof w:val="0"/>
          <w:sz w:val="22"/>
          <w:szCs w:val="22"/>
          <w:lang w:val="en-GB"/>
        </w:rPr>
        <w:t>hemeros</w:t>
      </w:r>
      <w:r w:rsidRPr="630F0401" w:rsidR="064C0A1E">
        <w:rPr>
          <w:rFonts w:ascii="Calibri" w:hAnsi="Calibri" w:eastAsia="Calibri" w:cs="Calibri"/>
          <w:b w:val="0"/>
          <w:bCs w:val="0"/>
          <w:i w:val="0"/>
          <w:iCs w:val="0"/>
          <w:noProof w:val="0"/>
          <w:sz w:val="22"/>
          <w:szCs w:val="22"/>
          <w:lang w:val="en-GB"/>
        </w:rPr>
        <w:t xml:space="preserve"> meaning day)</w:t>
      </w:r>
      <w:r w:rsidRPr="630F0401" w:rsidR="064C0A1E">
        <w:rPr>
          <w:rFonts w:ascii="Calibri" w:hAnsi="Calibri" w:eastAsia="Calibri" w:cs="Calibri"/>
          <w:b w:val="0"/>
          <w:bCs w:val="0"/>
          <w:i w:val="0"/>
          <w:iCs w:val="0"/>
          <w:noProof w:val="0"/>
          <w:sz w:val="22"/>
          <w:szCs w:val="22"/>
          <w:lang w:val="en-GB"/>
        </w:rPr>
        <w:t xml:space="preserve"> is the classification of whether days are good or bad. The historian Herodotus </w:t>
      </w:r>
      <w:r w:rsidRPr="630F0401" w:rsidR="064C0A1E">
        <w:rPr>
          <w:rFonts w:ascii="Calibri" w:hAnsi="Calibri" w:eastAsia="Calibri" w:cs="Calibri"/>
          <w:b w:val="0"/>
          <w:bCs w:val="0"/>
          <w:i w:val="0"/>
          <w:iCs w:val="0"/>
          <w:noProof w:val="0"/>
          <w:sz w:val="22"/>
          <w:szCs w:val="22"/>
          <w:lang w:val="en-GB"/>
        </w:rPr>
        <w:t xml:space="preserve">states</w:t>
      </w:r>
      <w:r w:rsidRPr="630F0401" w:rsidR="064C0A1E">
        <w:rPr>
          <w:rFonts w:ascii="Calibri" w:hAnsi="Calibri" w:eastAsia="Calibri" w:cs="Calibri"/>
          <w:b w:val="0"/>
          <w:bCs w:val="0"/>
          <w:i w:val="0"/>
          <w:iCs w:val="0"/>
          <w:noProof w:val="0"/>
          <w:sz w:val="22"/>
          <w:szCs w:val="22"/>
          <w:lang w:val="en-GB"/>
        </w:rPr>
        <w:t xml:space="preserve">, ‘The Egyptians, too, found out which god every month and day belongs, and to tell by the day of a man’s birth what fortune he will have, when he will die and what manner of man he is.’</w:t>
      </w:r>
      <w:r w:rsidRPr="630F0401">
        <w:rPr>
          <w:rStyle w:val="FootnoteReference"/>
          <w:rFonts w:ascii="Calibri" w:hAnsi="Calibri" w:eastAsia="Calibri" w:cs="Calibri"/>
          <w:b w:val="0"/>
          <w:bCs w:val="0"/>
          <w:i w:val="0"/>
          <w:iCs w:val="0"/>
          <w:noProof w:val="0"/>
          <w:sz w:val="22"/>
          <w:szCs w:val="22"/>
          <w:lang w:val="en-GB"/>
        </w:rPr>
        <w:footnoteReference w:id="31110"/>
      </w:r>
      <w:r w:rsidRPr="630F0401" w:rsidR="064C0A1E">
        <w:rPr>
          <w:rFonts w:ascii="Calibri" w:hAnsi="Calibri" w:eastAsia="Calibri" w:cs="Calibri"/>
          <w:b w:val="0"/>
          <w:bCs w:val="0"/>
          <w:i w:val="0"/>
          <w:iCs w:val="0"/>
          <w:noProof w:val="0"/>
          <w:sz w:val="22"/>
          <w:szCs w:val="22"/>
          <w:lang w:val="en-GB"/>
        </w:rPr>
        <w:t xml:space="preserve"> Because the Ancient Egyptians have deities of good fortune, these would be connected to a particular month and then assigned to a person at birth as a guardian. There are also calendars of lucky and unlucky days in Egypt, </w:t>
      </w:r>
      <w:r w:rsidRPr="630F0401" w:rsidR="064C0A1E">
        <w:rPr>
          <w:rFonts w:ascii="Calibri" w:hAnsi="Calibri" w:eastAsia="Calibri" w:cs="Calibri"/>
          <w:b w:val="0"/>
          <w:bCs w:val="0"/>
          <w:i w:val="0"/>
          <w:iCs w:val="0"/>
          <w:noProof w:val="0"/>
          <w:sz w:val="22"/>
          <w:szCs w:val="22"/>
          <w:lang w:val="en-GB"/>
        </w:rPr>
        <w:t>similar to</w:t>
      </w:r>
      <w:r w:rsidRPr="630F0401" w:rsidR="064C0A1E">
        <w:rPr>
          <w:rFonts w:ascii="Calibri" w:hAnsi="Calibri" w:eastAsia="Calibri" w:cs="Calibri"/>
          <w:b w:val="0"/>
          <w:bCs w:val="0"/>
          <w:i w:val="0"/>
          <w:iCs w:val="0"/>
          <w:noProof w:val="0"/>
          <w:sz w:val="22"/>
          <w:szCs w:val="22"/>
          <w:lang w:val="en-GB"/>
        </w:rPr>
        <w:t xml:space="preserve"> a modern idea that Friday 13th is an unlucky day. The Egyptians had both a civil calendar which went from the Old Kingdom around 3500 BCE right through to the Greco-Roman period, and they also had a lunar calendar</w:t>
      </w:r>
      <w:r w:rsidRPr="630F0401" w:rsidR="064C0A1E">
        <w:rPr>
          <w:rFonts w:ascii="Calibri" w:hAnsi="Calibri" w:eastAsia="Calibri" w:cs="Calibri"/>
          <w:b w:val="0"/>
          <w:bCs w:val="0"/>
          <w:i w:val="0"/>
          <w:iCs w:val="0"/>
          <w:noProof w:val="0"/>
          <w:sz w:val="22"/>
          <w:szCs w:val="22"/>
          <w:lang w:val="en-GB"/>
        </w:rPr>
        <w:t xml:space="preserve">.  </w:t>
      </w:r>
      <w:r w:rsidRPr="630F0401" w:rsidR="064C0A1E">
        <w:rPr>
          <w:rFonts w:ascii="Calibri" w:hAnsi="Calibri" w:eastAsia="Calibri" w:cs="Calibri"/>
          <w:b w:val="0"/>
          <w:bCs w:val="0"/>
          <w:i w:val="0"/>
          <w:iCs w:val="0"/>
          <w:noProof w:val="0"/>
          <w:sz w:val="22"/>
          <w:szCs w:val="22"/>
          <w:lang w:val="en-GB"/>
        </w:rPr>
        <w:t xml:space="preserve">The civil calendar was of 360 days, divided into three seasons called </w:t>
      </w:r>
      <w:r w:rsidRPr="630F0401" w:rsidR="064C0A1E">
        <w:rPr>
          <w:rFonts w:ascii="Calibri" w:hAnsi="Calibri" w:eastAsia="Calibri" w:cs="Calibri"/>
          <w:b w:val="0"/>
          <w:bCs w:val="0"/>
          <w:i w:val="0"/>
          <w:iCs w:val="0"/>
          <w:noProof w:val="0"/>
          <w:sz w:val="22"/>
          <w:szCs w:val="22"/>
          <w:lang w:val="en-GB"/>
        </w:rPr>
        <w:t>Akhet</w:t>
      </w:r>
      <w:r w:rsidRPr="630F0401" w:rsidR="064C0A1E">
        <w:rPr>
          <w:rFonts w:ascii="Calibri" w:hAnsi="Calibri" w:eastAsia="Calibri" w:cs="Calibri"/>
          <w:b w:val="0"/>
          <w:bCs w:val="0"/>
          <w:i w:val="0"/>
          <w:iCs w:val="0"/>
          <w:noProof w:val="0"/>
          <w:sz w:val="22"/>
          <w:szCs w:val="22"/>
          <w:lang w:val="en-GB"/>
        </w:rPr>
        <w:t xml:space="preserve">, Peret and </w:t>
      </w:r>
      <w:r w:rsidRPr="630F0401" w:rsidR="064C0A1E">
        <w:rPr>
          <w:rFonts w:ascii="Calibri" w:hAnsi="Calibri" w:eastAsia="Calibri" w:cs="Calibri"/>
          <w:b w:val="0"/>
          <w:bCs w:val="0"/>
          <w:i w:val="0"/>
          <w:iCs w:val="0"/>
          <w:noProof w:val="0"/>
          <w:sz w:val="22"/>
          <w:szCs w:val="22"/>
          <w:lang w:val="en-GB"/>
        </w:rPr>
        <w:t>Shemu</w:t>
      </w:r>
      <w:r w:rsidRPr="630F0401" w:rsidR="064C0A1E">
        <w:rPr>
          <w:rFonts w:ascii="Calibri" w:hAnsi="Calibri" w:eastAsia="Calibri" w:cs="Calibri"/>
          <w:b w:val="0"/>
          <w:bCs w:val="0"/>
          <w:i w:val="0"/>
          <w:iCs w:val="0"/>
          <w:noProof w:val="0"/>
          <w:sz w:val="22"/>
          <w:szCs w:val="22"/>
          <w:lang w:val="en-GB"/>
        </w:rPr>
        <w:t xml:space="preserve"> and these were of fourth months each, divided into 30 days each. The calendar used for lucky and unlucky days were from the New Kingdom, but the language was from an earlier </w:t>
      </w:r>
      <w:r w:rsidRPr="630F0401" w:rsidR="064C0A1E">
        <w:rPr>
          <w:rFonts w:ascii="Calibri" w:hAnsi="Calibri" w:eastAsia="Calibri" w:cs="Calibri"/>
          <w:b w:val="0"/>
          <w:bCs w:val="0"/>
          <w:i w:val="0"/>
          <w:iCs w:val="0"/>
          <w:noProof w:val="0"/>
          <w:sz w:val="22"/>
          <w:szCs w:val="22"/>
          <w:lang w:val="en-GB"/>
        </w:rPr>
        <w:t>time period</w:t>
      </w:r>
      <w:r w:rsidRPr="630F0401" w:rsidR="064C0A1E">
        <w:rPr>
          <w:rFonts w:ascii="Calibri" w:hAnsi="Calibri" w:eastAsia="Calibri" w:cs="Calibri"/>
          <w:b w:val="0"/>
          <w:bCs w:val="0"/>
          <w:i w:val="0"/>
          <w:iCs w:val="0"/>
          <w:noProof w:val="0"/>
          <w:sz w:val="22"/>
          <w:szCs w:val="22"/>
          <w:lang w:val="en-GB"/>
        </w:rPr>
        <w:t xml:space="preserve">. The days were split into three sections, one good, one uncertain and one dangerous. The first part of the day was morning, the second was midday and the third was dusk, but there is no mention of whether this includes the night too. An example of some of the advice for </w:t>
      </w:r>
      <w:r w:rsidRPr="630F0401" w:rsidR="064C0A1E">
        <w:rPr>
          <w:rFonts w:ascii="Calibri" w:hAnsi="Calibri" w:eastAsia="Calibri" w:cs="Calibri"/>
          <w:b w:val="0"/>
          <w:bCs w:val="0"/>
          <w:i w:val="0"/>
          <w:iCs w:val="0"/>
          <w:noProof w:val="0"/>
          <w:sz w:val="22"/>
          <w:szCs w:val="22"/>
          <w:lang w:val="en-GB"/>
        </w:rPr>
        <w:t>a bad day</w:t>
      </w:r>
      <w:r w:rsidRPr="630F0401" w:rsidR="064C0A1E">
        <w:rPr>
          <w:rFonts w:ascii="Calibri" w:hAnsi="Calibri" w:eastAsia="Calibri" w:cs="Calibri"/>
          <w:b w:val="0"/>
          <w:bCs w:val="0"/>
          <w:i w:val="0"/>
          <w:iCs w:val="0"/>
          <w:noProof w:val="0"/>
          <w:sz w:val="22"/>
          <w:szCs w:val="22"/>
          <w:lang w:val="en-GB"/>
        </w:rPr>
        <w:t xml:space="preserve"> would be to not go out on this day and anyone born on this day will die from a serpent and an example for a good day would be a day the gods received their hearts. As there were five days </w:t>
      </w:r>
      <w:r w:rsidRPr="630F0401" w:rsidR="064C0A1E">
        <w:rPr>
          <w:rFonts w:ascii="Calibri" w:hAnsi="Calibri" w:eastAsia="Calibri" w:cs="Calibri"/>
          <w:b w:val="0"/>
          <w:bCs w:val="0"/>
          <w:i w:val="0"/>
          <w:iCs w:val="0"/>
          <w:noProof w:val="0"/>
          <w:sz w:val="22"/>
          <w:szCs w:val="22"/>
          <w:lang w:val="en-GB"/>
        </w:rPr>
        <w:t>remaining</w:t>
      </w:r>
      <w:r w:rsidRPr="630F0401" w:rsidR="064C0A1E">
        <w:rPr>
          <w:rFonts w:ascii="Calibri" w:hAnsi="Calibri" w:eastAsia="Calibri" w:cs="Calibri"/>
          <w:b w:val="0"/>
          <w:bCs w:val="0"/>
          <w:i w:val="0"/>
          <w:iCs w:val="0"/>
          <w:noProof w:val="0"/>
          <w:sz w:val="22"/>
          <w:szCs w:val="22"/>
          <w:lang w:val="en-GB"/>
        </w:rPr>
        <w:t xml:space="preserve"> of the year, the Ancient Egyptian saw these days as unlucky days and encouraged not to leave the house during these five days, or something bad would happen to them. This was then changed during the New Kingdom but the belief in lucky and unlucky days remained within the new calendar</w:t>
      </w:r>
      <w:r w:rsidRPr="630F0401">
        <w:rPr>
          <w:rStyle w:val="FootnoteReference"/>
          <w:rFonts w:ascii="Calibri" w:hAnsi="Calibri" w:eastAsia="Calibri" w:cs="Calibri"/>
          <w:b w:val="0"/>
          <w:bCs w:val="0"/>
          <w:i w:val="0"/>
          <w:iCs w:val="0"/>
          <w:noProof w:val="0"/>
          <w:sz w:val="22"/>
          <w:szCs w:val="22"/>
          <w:lang w:val="en-GB"/>
        </w:rPr>
        <w:footnoteReference w:id="14999"/>
      </w:r>
      <w:r w:rsidRPr="630F0401" w:rsidR="064C0A1E">
        <w:rPr>
          <w:rFonts w:ascii="Calibri" w:hAnsi="Calibri" w:eastAsia="Calibri" w:cs="Calibri"/>
          <w:b w:val="0"/>
          <w:bCs w:val="0"/>
          <w:i w:val="0"/>
          <w:iCs w:val="0"/>
          <w:noProof w:val="0"/>
          <w:sz w:val="22"/>
          <w:szCs w:val="22"/>
          <w:lang w:val="en-GB"/>
        </w:rPr>
        <w:t>.</w:t>
      </w:r>
    </w:p>
    <w:p w:rsidR="064C0A1E" w:rsidP="064C0A1E" w:rsidRDefault="064C0A1E" w14:paraId="640B29ED" w14:textId="6F11B389">
      <w:pPr>
        <w:pStyle w:val="Normal"/>
        <w:rPr>
          <w:rFonts w:ascii="Calibri" w:hAnsi="Calibri" w:eastAsia="Calibri" w:cs="Calibri"/>
          <w:b w:val="0"/>
          <w:bCs w:val="0"/>
          <w:i w:val="0"/>
          <w:iCs w:val="0"/>
          <w:noProof w:val="0"/>
          <w:sz w:val="22"/>
          <w:szCs w:val="22"/>
          <w:lang w:val="en-GB"/>
        </w:rPr>
      </w:pPr>
      <w:r w:rsidRPr="064C0A1E" w:rsidR="064C0A1E">
        <w:rPr>
          <w:rFonts w:ascii="Calibri" w:hAnsi="Calibri" w:eastAsia="Calibri" w:cs="Calibri"/>
          <w:b w:val="0"/>
          <w:bCs w:val="0"/>
          <w:i w:val="0"/>
          <w:iCs w:val="0"/>
          <w:noProof w:val="0"/>
          <w:sz w:val="22"/>
          <w:szCs w:val="22"/>
          <w:lang w:val="en-GB"/>
        </w:rPr>
        <w:t xml:space="preserve">Using time as divination was important to the Ancient Egyptians as a calendar is something that we all live by. We measure time through the calendar and during that time we eat, sleep, work and even give birth according to a calendar, therefore is an integral part of any society. As the Ancient Egyptians believed that there were days it would be luckier to stay home and rest, shows that it impacts </w:t>
      </w:r>
      <w:proofErr w:type="gramStart"/>
      <w:r w:rsidRPr="064C0A1E" w:rsidR="064C0A1E">
        <w:rPr>
          <w:rFonts w:ascii="Calibri" w:hAnsi="Calibri" w:eastAsia="Calibri" w:cs="Calibri"/>
          <w:b w:val="0"/>
          <w:bCs w:val="0"/>
          <w:i w:val="0"/>
          <w:iCs w:val="0"/>
          <w:noProof w:val="0"/>
          <w:sz w:val="22"/>
          <w:szCs w:val="22"/>
          <w:lang w:val="en-GB"/>
        </w:rPr>
        <w:t>society as a whole, and</w:t>
      </w:r>
      <w:proofErr w:type="gramEnd"/>
      <w:r w:rsidRPr="064C0A1E" w:rsidR="064C0A1E">
        <w:rPr>
          <w:rFonts w:ascii="Calibri" w:hAnsi="Calibri" w:eastAsia="Calibri" w:cs="Calibri"/>
          <w:b w:val="0"/>
          <w:bCs w:val="0"/>
          <w:i w:val="0"/>
          <w:iCs w:val="0"/>
          <w:noProof w:val="0"/>
          <w:sz w:val="22"/>
          <w:szCs w:val="22"/>
          <w:lang w:val="en-GB"/>
        </w:rPr>
        <w:t xml:space="preserve"> not just a certain class is subjective to it. As they also used different days to see what a person's death would be, that almost certainly would have impacted how someone lived day to day, therefore their culture. If we use the example of being born on a particular day means you will die from a serpent, then that person most certainly would stay away from serpents, perhaps more than people do anyway. These beliefs could also have the opposite effect on people born on a lucky day and leave people believing they are lucky all throughout life. This would have also impacted days in which festivals were celebrated and determine when the lucky days were for </w:t>
      </w:r>
      <w:proofErr w:type="gramStart"/>
      <w:r w:rsidRPr="064C0A1E" w:rsidR="064C0A1E">
        <w:rPr>
          <w:rFonts w:ascii="Calibri" w:hAnsi="Calibri" w:eastAsia="Calibri" w:cs="Calibri"/>
          <w:b w:val="0"/>
          <w:bCs w:val="0"/>
          <w:i w:val="0"/>
          <w:iCs w:val="0"/>
          <w:noProof w:val="0"/>
          <w:sz w:val="22"/>
          <w:szCs w:val="22"/>
          <w:lang w:val="en-GB"/>
        </w:rPr>
        <w:t>particular gods</w:t>
      </w:r>
      <w:proofErr w:type="gramEnd"/>
      <w:r w:rsidRPr="064C0A1E" w:rsidR="064C0A1E">
        <w:rPr>
          <w:rFonts w:ascii="Calibri" w:hAnsi="Calibri" w:eastAsia="Calibri" w:cs="Calibri"/>
          <w:b w:val="0"/>
          <w:bCs w:val="0"/>
          <w:i w:val="0"/>
          <w:iCs w:val="0"/>
          <w:noProof w:val="0"/>
          <w:sz w:val="22"/>
          <w:szCs w:val="22"/>
          <w:lang w:val="en-GB"/>
        </w:rPr>
        <w:t xml:space="preserve"> and even perhaps the unlucky days for other or less important gods. The use of cosmology is fundamental for using time as divination as time is measure by rising and setting sun (which is a problem that the Ancient Egyptians found, hence why adding 5 days at the end of their revised calendar). </w:t>
      </w:r>
    </w:p>
    <w:p w:rsidR="064C0A1E" w:rsidP="6270CBC5" w:rsidRDefault="064C0A1E" w14:paraId="63244248" w14:textId="5DBAF278">
      <w:pPr>
        <w:pStyle w:val="Normal"/>
        <w:rPr>
          <w:rFonts w:ascii="Calibri" w:hAnsi="Calibri" w:eastAsia="Calibri" w:cs="Calibri"/>
          <w:b w:val="0"/>
          <w:bCs w:val="0"/>
          <w:i w:val="1"/>
          <w:iCs w:val="1"/>
          <w:noProof w:val="0"/>
          <w:sz w:val="22"/>
          <w:szCs w:val="22"/>
          <w:lang w:val="en-GB"/>
        </w:rPr>
      </w:pPr>
      <w:r w:rsidRPr="6270CBC5" w:rsidR="064C0A1E">
        <w:rPr>
          <w:rFonts w:ascii="Calibri" w:hAnsi="Calibri" w:eastAsia="Calibri" w:cs="Calibri"/>
          <w:b w:val="0"/>
          <w:bCs w:val="0"/>
          <w:noProof w:val="0"/>
          <w:sz w:val="22"/>
          <w:szCs w:val="22"/>
          <w:lang w:val="en-GB"/>
        </w:rPr>
        <w:t xml:space="preserve">Celestial divination in Ancient Egypt had no distinction between astronomy and astrology, even though we see evidence of astrology at the end of the Ptolemaic period. </w:t>
      </w:r>
      <w:r w:rsidRPr="6270CBC5" w:rsidR="064C0A1E">
        <w:rPr>
          <w:rFonts w:ascii="Calibri" w:hAnsi="Calibri" w:eastAsia="Calibri" w:cs="Calibri"/>
          <w:b w:val="0"/>
          <w:bCs w:val="0"/>
          <w:noProof w:val="0"/>
          <w:sz w:val="22"/>
          <w:szCs w:val="22"/>
          <w:lang w:val="en-GB"/>
        </w:rPr>
        <w:t xml:space="preserve">Stars were the manifestations of the gods and represented constellations on astronomical ceilings of New Kingdom royal tombs. Within celestial divination, astral divination is the reading the will of the gods from the observation of the stars. This was a very old concern for Egyptians as we see in Old Kingdom Texts that they are concerned with rising, setting and ‘imperishable’ stars, these are the stars that never set. Decans are also an early concern for the Ancient Egyptians as they are a group of stars that rises at ten-day intervals. These were observed at rising and culminating very early on at roughly ca. 2100 BCE continuing up to Late Antiquity. Decans were also considered as deities and were combined with a zodiac ca. 200 BCE. Rising decans begin around 2100 BCE and the Transit Decans begin in the </w:t>
      </w:r>
      <w:r w:rsidRPr="630F0401" w:rsidR="064C0A1E">
        <w:rPr>
          <w:rFonts w:ascii="Calibri" w:hAnsi="Calibri" w:eastAsia="Calibri" w:cs="Calibri"/>
          <w:b w:val="0"/>
          <w:bCs w:val="0"/>
          <w:i w:val="1"/>
          <w:iCs w:val="1"/>
          <w:noProof w:val="0"/>
          <w:sz w:val="22"/>
          <w:szCs w:val="22"/>
          <w:lang w:val="en-GB"/>
        </w:rPr>
        <w:t>Book of Nut</w:t>
      </w:r>
      <w:r w:rsidRPr="630F0401" w:rsidR="064C0A1E">
        <w:rPr>
          <w:rFonts w:ascii="Calibri" w:hAnsi="Calibri" w:eastAsia="Calibri" w:cs="Calibri"/>
          <w:b w:val="0"/>
          <w:bCs w:val="0"/>
          <w:i w:val="0"/>
          <w:iCs w:val="0"/>
          <w:noProof w:val="0"/>
          <w:sz w:val="22"/>
          <w:szCs w:val="22"/>
          <w:lang w:val="en-GB"/>
        </w:rPr>
        <w:t xml:space="preserve">. Also, in Egypt we have the idea of eclipses of heavenly bodies also used in divination, which we see in </w:t>
      </w:r>
      <w:r w:rsidRPr="630F0401" w:rsidR="064C0A1E">
        <w:rPr>
          <w:rFonts w:ascii="Calibri" w:hAnsi="Calibri" w:eastAsia="Calibri" w:cs="Calibri"/>
          <w:b w:val="0"/>
          <w:bCs w:val="0"/>
          <w:i w:val="0"/>
          <w:iCs w:val="0"/>
          <w:noProof w:val="0"/>
          <w:sz w:val="22"/>
          <w:szCs w:val="22"/>
          <w:lang w:val="en-GB"/>
        </w:rPr>
        <w:t>Osorkan</w:t>
      </w:r>
      <w:r w:rsidRPr="630F0401" w:rsidR="064C0A1E">
        <w:rPr>
          <w:rFonts w:ascii="Calibri" w:hAnsi="Calibri" w:eastAsia="Calibri" w:cs="Calibri"/>
          <w:b w:val="0"/>
          <w:bCs w:val="0"/>
          <w:i w:val="0"/>
          <w:iCs w:val="0"/>
          <w:noProof w:val="0"/>
          <w:sz w:val="22"/>
          <w:szCs w:val="22"/>
          <w:lang w:val="en-GB"/>
        </w:rPr>
        <w:t xml:space="preserve"> Chronicle, 23</w:t>
      </w:r>
      <w:r w:rsidRPr="630F0401" w:rsidR="064C0A1E">
        <w:rPr>
          <w:rFonts w:ascii="Calibri" w:hAnsi="Calibri" w:eastAsia="Calibri" w:cs="Calibri"/>
          <w:b w:val="0"/>
          <w:bCs w:val="0"/>
          <w:i w:val="0"/>
          <w:iCs w:val="0"/>
          <w:noProof w:val="0"/>
          <w:sz w:val="22"/>
          <w:szCs w:val="22"/>
          <w:vertAlign w:val="superscript"/>
          <w:lang w:val="en-GB"/>
        </w:rPr>
        <w:t>rd</w:t>
      </w:r>
      <w:r w:rsidRPr="630F0401" w:rsidR="064C0A1E">
        <w:rPr>
          <w:rFonts w:ascii="Calibri" w:hAnsi="Calibri" w:eastAsia="Calibri" w:cs="Calibri"/>
          <w:b w:val="0"/>
          <w:bCs w:val="0"/>
          <w:i w:val="0"/>
          <w:iCs w:val="0"/>
          <w:noProof w:val="0"/>
          <w:sz w:val="22"/>
          <w:szCs w:val="22"/>
          <w:lang w:val="en-GB"/>
        </w:rPr>
        <w:t xml:space="preserve"> Dynasty, 8</w:t>
      </w:r>
      <w:r w:rsidRPr="630F0401" w:rsidR="064C0A1E">
        <w:rPr>
          <w:rFonts w:ascii="Calibri" w:hAnsi="Calibri" w:eastAsia="Calibri" w:cs="Calibri"/>
          <w:b w:val="0"/>
          <w:bCs w:val="0"/>
          <w:i w:val="0"/>
          <w:iCs w:val="0"/>
          <w:noProof w:val="0"/>
          <w:sz w:val="22"/>
          <w:szCs w:val="22"/>
          <w:vertAlign w:val="superscript"/>
          <w:lang w:val="en-GB"/>
        </w:rPr>
        <w:t>th</w:t>
      </w:r>
      <w:r w:rsidRPr="630F0401" w:rsidR="064C0A1E">
        <w:rPr>
          <w:rFonts w:ascii="Calibri" w:hAnsi="Calibri" w:eastAsia="Calibri" w:cs="Calibri"/>
          <w:b w:val="0"/>
          <w:bCs w:val="0"/>
          <w:i w:val="0"/>
          <w:iCs w:val="0"/>
          <w:noProof w:val="0"/>
          <w:sz w:val="22"/>
          <w:szCs w:val="22"/>
          <w:lang w:val="en-GB"/>
        </w:rPr>
        <w:t xml:space="preserve"> Century BCE and then in later texts on eclipse </w:t>
      </w:r>
      <w:r w:rsidRPr="630F0401" w:rsidR="064C0A1E">
        <w:rPr>
          <w:rFonts w:ascii="Calibri" w:hAnsi="Calibri" w:eastAsia="Calibri" w:cs="Calibri"/>
          <w:b w:val="0"/>
          <w:bCs w:val="0"/>
          <w:i w:val="0"/>
          <w:iCs w:val="0"/>
          <w:noProof w:val="0"/>
          <w:sz w:val="22"/>
          <w:szCs w:val="22"/>
          <w:lang w:val="en-GB"/>
        </w:rPr>
        <w:t>omina</w:t>
      </w:r>
      <w:r w:rsidRPr="630F0401" w:rsidR="064C0A1E">
        <w:rPr>
          <w:rFonts w:ascii="Calibri" w:hAnsi="Calibri" w:eastAsia="Calibri" w:cs="Calibri"/>
          <w:b w:val="0"/>
          <w:bCs w:val="0"/>
          <w:i w:val="0"/>
          <w:iCs w:val="0"/>
          <w:noProof w:val="0"/>
          <w:sz w:val="22"/>
          <w:szCs w:val="22"/>
          <w:lang w:val="en-GB"/>
        </w:rPr>
        <w:t xml:space="preserve">. This was a practice that had been taken from the Babylonians, and then adapted into Egypt. We also see the combination of zodiac with rising of Sothis (Sirius), for example in P. Cairo 31222: </w:t>
      </w:r>
      <w:r w:rsidRPr="630F0401" w:rsidR="064C0A1E">
        <w:rPr>
          <w:rFonts w:ascii="Calibri" w:hAnsi="Calibri" w:eastAsia="Calibri" w:cs="Calibri"/>
          <w:b w:val="0"/>
          <w:bCs w:val="0"/>
          <w:i w:val="1"/>
          <w:iCs w:val="1"/>
          <w:noProof w:val="0"/>
          <w:sz w:val="22"/>
          <w:szCs w:val="22"/>
          <w:lang w:val="en-GB"/>
        </w:rPr>
        <w:t>‘If it rises when Mars is in the sign of Gemini: some people in the land of Syria will rebel against the King of Egypt’.</w:t>
      </w:r>
      <w:r w:rsidRPr="630F0401" w:rsidR="064C0A1E">
        <w:rPr>
          <w:rFonts w:ascii="Calibri" w:hAnsi="Calibri" w:eastAsia="Calibri" w:cs="Calibri"/>
          <w:b w:val="0"/>
          <w:bCs w:val="0"/>
          <w:i w:val="0"/>
          <w:iCs w:val="0"/>
          <w:noProof w:val="0"/>
          <w:sz w:val="22"/>
          <w:szCs w:val="22"/>
          <w:lang w:val="en-GB"/>
        </w:rPr>
        <w:t xml:space="preserve"> Decans are completely an Ancient Egyptian concept, and it played a crucial part in replacing the houses in Hellenistic astrology</w:t>
      </w:r>
      <w:r w:rsidRPr="630F0401">
        <w:rPr>
          <w:rStyle w:val="FootnoteReference"/>
          <w:rFonts w:ascii="Calibri" w:hAnsi="Calibri" w:eastAsia="Calibri" w:cs="Calibri"/>
          <w:b w:val="0"/>
          <w:bCs w:val="0"/>
          <w:i w:val="0"/>
          <w:iCs w:val="0"/>
          <w:noProof w:val="0"/>
          <w:sz w:val="22"/>
          <w:szCs w:val="22"/>
          <w:lang w:val="en-GB"/>
        </w:rPr>
        <w:footnoteReference w:id="15378"/>
      </w:r>
      <w:r w:rsidRPr="630F0401" w:rsidR="064C0A1E">
        <w:rPr>
          <w:rFonts w:ascii="Calibri" w:hAnsi="Calibri" w:eastAsia="Calibri" w:cs="Calibri"/>
          <w:b w:val="0"/>
          <w:bCs w:val="0"/>
          <w:i w:val="0"/>
          <w:iCs w:val="0"/>
          <w:noProof w:val="0"/>
          <w:sz w:val="22"/>
          <w:szCs w:val="22"/>
          <w:lang w:val="en-GB"/>
        </w:rPr>
        <w:t xml:space="preserve">. </w:t>
      </w:r>
    </w:p>
    <w:p w:rsidR="064C0A1E" w:rsidP="630F0401" w:rsidRDefault="064C0A1E" w14:paraId="4881119A" w14:textId="28EB741C">
      <w:pPr>
        <w:pStyle w:val="Normal"/>
        <w:rPr>
          <w:rFonts w:ascii="Calibri" w:hAnsi="Calibri" w:eastAsia="Calibri" w:cs="Calibri"/>
          <w:b w:val="0"/>
          <w:bCs w:val="0"/>
          <w:i w:val="0"/>
          <w:iCs w:val="0"/>
          <w:noProof w:val="0"/>
          <w:sz w:val="22"/>
          <w:szCs w:val="22"/>
          <w:lang w:val="en-GB"/>
        </w:rPr>
      </w:pPr>
      <w:r w:rsidRPr="630F0401" w:rsidR="064C0A1E">
        <w:rPr>
          <w:rFonts w:ascii="Calibri" w:hAnsi="Calibri" w:eastAsia="Calibri" w:cs="Calibri"/>
          <w:b w:val="0"/>
          <w:bCs w:val="0"/>
          <w:i w:val="0"/>
          <w:iCs w:val="0"/>
          <w:noProof w:val="0"/>
          <w:sz w:val="22"/>
          <w:szCs w:val="22"/>
          <w:lang w:val="en-GB"/>
        </w:rPr>
        <w:t xml:space="preserve">Celestial divination was important to the Ancient Egyptians because, as said before, the stars were manifestations of the gods. This means that the Egyptians saw the stars as something that held messages from the gods and were meant to be interpreted. As this was a practise that originated elsewhere and then adapted, it shows that again the Ancient Egyptians saw its merit and wanted to use it for themselves. As they saw the planets as gods or </w:t>
      </w:r>
      <w:proofErr w:type="gramStart"/>
      <w:r w:rsidRPr="630F0401" w:rsidR="064C0A1E">
        <w:rPr>
          <w:rFonts w:ascii="Calibri" w:hAnsi="Calibri" w:eastAsia="Calibri" w:cs="Calibri"/>
          <w:b w:val="0"/>
          <w:bCs w:val="0"/>
          <w:i w:val="0"/>
          <w:iCs w:val="0"/>
          <w:noProof w:val="0"/>
          <w:sz w:val="22"/>
          <w:szCs w:val="22"/>
          <w:lang w:val="en-GB"/>
        </w:rPr>
        <w:t>gods</w:t>
      </w:r>
      <w:proofErr w:type="gramEnd"/>
      <w:r w:rsidRPr="630F0401" w:rsidR="064C0A1E">
        <w:rPr>
          <w:rFonts w:ascii="Calibri" w:hAnsi="Calibri" w:eastAsia="Calibri" w:cs="Calibri"/>
          <w:b w:val="0"/>
          <w:bCs w:val="0"/>
          <w:i w:val="0"/>
          <w:iCs w:val="0"/>
          <w:noProof w:val="0"/>
          <w:sz w:val="22"/>
          <w:szCs w:val="22"/>
          <w:lang w:val="en-GB"/>
        </w:rPr>
        <w:t xml:space="preserve"> representatives, it is another way that human interaction with the gods is related to cosmology. The use of decans was clearly well situated within Ancient Egyptian culture as it was later used to develop the house in Hellenistic astrology</w:t>
      </w:r>
      <w:r w:rsidRPr="630F0401">
        <w:rPr>
          <w:rStyle w:val="FootnoteReference"/>
          <w:rFonts w:ascii="Calibri" w:hAnsi="Calibri" w:eastAsia="Calibri" w:cs="Calibri"/>
          <w:b w:val="0"/>
          <w:bCs w:val="0"/>
          <w:i w:val="0"/>
          <w:iCs w:val="0"/>
          <w:noProof w:val="0"/>
          <w:sz w:val="22"/>
          <w:szCs w:val="22"/>
          <w:lang w:val="en-GB"/>
        </w:rPr>
        <w:footnoteReference w:id="6592"/>
      </w:r>
      <w:r w:rsidRPr="630F0401" w:rsidR="064C0A1E">
        <w:rPr>
          <w:rFonts w:ascii="Calibri" w:hAnsi="Calibri" w:eastAsia="Calibri" w:cs="Calibri"/>
          <w:b w:val="0"/>
          <w:bCs w:val="0"/>
          <w:i w:val="0"/>
          <w:iCs w:val="0"/>
          <w:noProof w:val="0"/>
          <w:sz w:val="22"/>
          <w:szCs w:val="22"/>
          <w:lang w:val="en-GB"/>
        </w:rPr>
        <w:t xml:space="preserve">. Not only did this impact the Egyptians, but later </w:t>
      </w:r>
      <w:proofErr w:type="gramStart"/>
      <w:r w:rsidRPr="630F0401" w:rsidR="064C0A1E">
        <w:rPr>
          <w:rFonts w:ascii="Calibri" w:hAnsi="Calibri" w:eastAsia="Calibri" w:cs="Calibri"/>
          <w:b w:val="0"/>
          <w:bCs w:val="0"/>
          <w:i w:val="0"/>
          <w:iCs w:val="0"/>
          <w:noProof w:val="0"/>
          <w:sz w:val="22"/>
          <w:szCs w:val="22"/>
          <w:lang w:val="en-GB"/>
        </w:rPr>
        <w:t>has an effect on</w:t>
      </w:r>
      <w:proofErr w:type="gramEnd"/>
      <w:r w:rsidRPr="630F0401" w:rsidR="064C0A1E">
        <w:rPr>
          <w:rFonts w:ascii="Calibri" w:hAnsi="Calibri" w:eastAsia="Calibri" w:cs="Calibri"/>
          <w:b w:val="0"/>
          <w:bCs w:val="0"/>
          <w:i w:val="0"/>
          <w:iCs w:val="0"/>
          <w:noProof w:val="0"/>
          <w:sz w:val="22"/>
          <w:szCs w:val="22"/>
          <w:lang w:val="en-GB"/>
        </w:rPr>
        <w:t xml:space="preserve"> the rest of the world and its cosmology, not just then but right up until the present day. Cosmology again is fundamental in interpreting celestial divination and therefore it is a necessity when interpreting the stars. As the stars were organised and predictable, visible stars were consistent and were probably understood as a definitive answer. Those stars that would appear from no overcast were probably the stars used for interpretation. As astrology is a practice that is commonly used today, we must pay homage to the use of celestial, astral and astrological divination used before, during and after Ancient Egypt</w:t>
      </w:r>
      <w:r w:rsidRPr="630F0401">
        <w:rPr>
          <w:rStyle w:val="FootnoteReference"/>
          <w:rFonts w:ascii="Calibri" w:hAnsi="Calibri" w:eastAsia="Calibri" w:cs="Calibri"/>
          <w:b w:val="0"/>
          <w:bCs w:val="0"/>
          <w:i w:val="0"/>
          <w:iCs w:val="0"/>
          <w:noProof w:val="0"/>
          <w:sz w:val="22"/>
          <w:szCs w:val="22"/>
          <w:lang w:val="en-GB"/>
        </w:rPr>
        <w:footnoteReference w:id="18412"/>
      </w:r>
      <w:r w:rsidRPr="630F0401" w:rsidR="064C0A1E">
        <w:rPr>
          <w:rFonts w:ascii="Calibri" w:hAnsi="Calibri" w:eastAsia="Calibri" w:cs="Calibri"/>
          <w:b w:val="0"/>
          <w:bCs w:val="0"/>
          <w:i w:val="0"/>
          <w:iCs w:val="0"/>
          <w:noProof w:val="0"/>
          <w:sz w:val="22"/>
          <w:szCs w:val="22"/>
          <w:lang w:val="en-GB"/>
        </w:rPr>
        <w:t xml:space="preserve">.</w:t>
      </w:r>
    </w:p>
    <w:p w:rsidR="064C0A1E" w:rsidP="064C0A1E" w:rsidRDefault="064C0A1E" w14:paraId="629CC7C5" w14:textId="04CEF4C6">
      <w:pPr>
        <w:pStyle w:val="Normal"/>
        <w:rPr>
          <w:rFonts w:ascii="Calibri" w:hAnsi="Calibri" w:eastAsia="Calibri" w:cs="Calibri"/>
          <w:b w:val="0"/>
          <w:bCs w:val="0"/>
          <w:noProof w:val="0"/>
          <w:sz w:val="22"/>
          <w:szCs w:val="22"/>
          <w:lang w:val="en-GB"/>
        </w:rPr>
      </w:pPr>
      <w:r w:rsidRPr="6270CBC5" w:rsidR="064C0A1E">
        <w:rPr>
          <w:rFonts w:ascii="Calibri" w:hAnsi="Calibri" w:eastAsia="Calibri" w:cs="Calibri"/>
          <w:b w:val="0"/>
          <w:bCs w:val="0"/>
          <w:noProof w:val="0"/>
          <w:sz w:val="22"/>
          <w:szCs w:val="22"/>
          <w:lang w:val="en-GB"/>
        </w:rPr>
        <w:t xml:space="preserve">In conclusion, cosmology means the order of looking at the world and the heavens. We can see through the different methods of divination used in Ancient Egypt that cosmology and divination go hand in hand with their practices. Both cosmology and divination were used across Ancient Egypt, and many other countries during that time, and even similar methods are used today. It is not something that stopped with the Ancient Egyptians as we have seen and had a greater impact in years to come. The role of divination also surpassed the elite classes of the time </w:t>
      </w:r>
      <w:proofErr w:type="gramStart"/>
      <w:r w:rsidRPr="6270CBC5" w:rsidR="064C0A1E">
        <w:rPr>
          <w:rFonts w:ascii="Calibri" w:hAnsi="Calibri" w:eastAsia="Calibri" w:cs="Calibri"/>
          <w:b w:val="0"/>
          <w:bCs w:val="0"/>
          <w:noProof w:val="0"/>
          <w:sz w:val="22"/>
          <w:szCs w:val="22"/>
          <w:lang w:val="en-GB"/>
        </w:rPr>
        <w:t>and also</w:t>
      </w:r>
      <w:proofErr w:type="gramEnd"/>
      <w:r w:rsidRPr="6270CBC5" w:rsidR="064C0A1E">
        <w:rPr>
          <w:rFonts w:ascii="Calibri" w:hAnsi="Calibri" w:eastAsia="Calibri" w:cs="Calibri"/>
          <w:b w:val="0"/>
          <w:bCs w:val="0"/>
          <w:noProof w:val="0"/>
          <w:sz w:val="22"/>
          <w:szCs w:val="22"/>
          <w:lang w:val="en-GB"/>
        </w:rPr>
        <w:t xml:space="preserve"> impacted common people and their culture, to the point of asking about field boundaries and marriage. But also relied upon to see who the next leader should be and how the Queen should travel her next journey. Divination was in integral part of Ancient Egyptian culture that was so prominent that it was recorded for others to explore the credibility and the outcomes of using divination when approaching the gods. As divination was used from the Old Kingdom right through to the New Kingdom, it was a clearly embedded part of the Ancient Egyptian culture. These practices will have been handed down through generations but was not something that was explicit to the household but rather </w:t>
      </w:r>
      <w:proofErr w:type="gramStart"/>
      <w:r w:rsidRPr="6270CBC5" w:rsidR="064C0A1E">
        <w:rPr>
          <w:rFonts w:ascii="Calibri" w:hAnsi="Calibri" w:eastAsia="Calibri" w:cs="Calibri"/>
          <w:b w:val="0"/>
          <w:bCs w:val="0"/>
          <w:noProof w:val="0"/>
          <w:sz w:val="22"/>
          <w:szCs w:val="22"/>
          <w:lang w:val="en-GB"/>
        </w:rPr>
        <w:t>society as a whole</w:t>
      </w:r>
      <w:proofErr w:type="gramEnd"/>
      <w:r w:rsidRPr="6270CBC5" w:rsidR="064C0A1E">
        <w:rPr>
          <w:rFonts w:ascii="Calibri" w:hAnsi="Calibri" w:eastAsia="Calibri" w:cs="Calibri"/>
          <w:b w:val="0"/>
          <w:bCs w:val="0"/>
          <w:noProof w:val="0"/>
          <w:sz w:val="22"/>
          <w:szCs w:val="22"/>
          <w:lang w:val="en-GB"/>
        </w:rPr>
        <w:t xml:space="preserve">. The processions will have been provided by people who have taken up a career in delivering oracles and will have believed in the benefit of them to society. Again, dreams are something that everyone experiences and as the interpretation was not given to common people earlier during the time period, when common people were able to have their dreams interpreted it would have been a phenomenon, one which has been embedded by Ancient Egyptian culture. Just as we see with tea being part of the British culture, this was once only accessible to royalty and the wealthy, the moment the common people of Britain had access to it, it is something that is well affirmed in the culture. Using time as divination clearly will impact all people during Ancient Egypt and clearly was credible for it to impact the calendar so heavily, and even the revised one. Celestial divination again shows the connection between the heavens and the world and is a practice that has been used and trusted throughout thousands of years.  Therefore, it would be safe to say that the relationship between cosmology and divination is synonymous and with cosmology, however divination may not be seen as such an effective method of speaking with the gods, whereas cosmology could be the preferred method. Although divination and its practices vary, without cosmology and the understanding of the order or the world and the heavens, divination could be inconsistent and vary from place to place, whereas in Ancient Egypt, divination </w:t>
      </w:r>
      <w:proofErr w:type="gramStart"/>
      <w:r w:rsidRPr="6270CBC5" w:rsidR="064C0A1E">
        <w:rPr>
          <w:rFonts w:ascii="Calibri" w:hAnsi="Calibri" w:eastAsia="Calibri" w:cs="Calibri"/>
          <w:b w:val="0"/>
          <w:bCs w:val="0"/>
          <w:noProof w:val="0"/>
          <w:sz w:val="22"/>
          <w:szCs w:val="22"/>
          <w:lang w:val="en-GB"/>
        </w:rPr>
        <w:t>was something that was</w:t>
      </w:r>
      <w:proofErr w:type="gramEnd"/>
      <w:r w:rsidRPr="6270CBC5" w:rsidR="064C0A1E">
        <w:rPr>
          <w:rFonts w:ascii="Calibri" w:hAnsi="Calibri" w:eastAsia="Calibri" w:cs="Calibri"/>
          <w:b w:val="0"/>
          <w:bCs w:val="0"/>
          <w:noProof w:val="0"/>
          <w:sz w:val="22"/>
          <w:szCs w:val="22"/>
          <w:lang w:val="en-GB"/>
        </w:rPr>
        <w:t xml:space="preserve"> practiced as a society and not just home to home. Finally, this essay has examined the roles and relationships between cosmology and divination in Ancient Egypt and discussed how the two are related and how humans interpret the divine. </w:t>
      </w:r>
    </w:p>
    <w:p w:rsidR="064C0A1E" w:rsidP="064C0A1E" w:rsidRDefault="064C0A1E" w14:paraId="196EF6CC" w14:textId="66B87DC9">
      <w:pPr>
        <w:pStyle w:val="Normal"/>
        <w:rPr>
          <w:rFonts w:ascii="Calibri" w:hAnsi="Calibri" w:eastAsia="Calibri" w:cs="Calibri"/>
          <w:b w:val="1"/>
          <w:bCs w:val="1"/>
          <w:noProof w:val="0"/>
          <w:sz w:val="22"/>
          <w:szCs w:val="22"/>
          <w:lang w:val="en-GB"/>
        </w:rPr>
      </w:pPr>
      <w:r w:rsidRPr="064C0A1E" w:rsidR="064C0A1E">
        <w:rPr>
          <w:rFonts w:ascii="Calibri" w:hAnsi="Calibri" w:eastAsia="Calibri" w:cs="Calibri"/>
          <w:b w:val="1"/>
          <w:bCs w:val="1"/>
          <w:noProof w:val="0"/>
          <w:sz w:val="22"/>
          <w:szCs w:val="22"/>
          <w:lang w:val="en-GB"/>
        </w:rPr>
        <w:t>Bibliography</w:t>
      </w:r>
    </w:p>
    <w:p w:rsidR="064C0A1E" w:rsidP="064C0A1E" w:rsidRDefault="064C0A1E" w14:paraId="1AC7E67B" w14:textId="30954517">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Blackman, Aylward M., "Oracles </w:t>
      </w:r>
      <w:proofErr w:type="gramStart"/>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w:t>
      </w:r>
      <w:proofErr w:type="gramEnd"/>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Ancient Egypt", </w:t>
      </w:r>
      <w:r w:rsidRPr="064C0A1E" w:rsidR="064C0A1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The Journal </w:t>
      </w:r>
      <w:proofErr w:type="gramStart"/>
      <w:r w:rsidRPr="064C0A1E" w:rsidR="064C0A1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Of</w:t>
      </w:r>
      <w:proofErr w:type="gramEnd"/>
      <w:r w:rsidRPr="064C0A1E" w:rsidR="064C0A1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Egyptian Archaeology</w:t>
      </w:r>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11 (1925), 249 &lt;https://doi.org/10.2307/3854149&gt;</w:t>
      </w:r>
      <w:r w:rsidRPr="064C0A1E"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064C0A1E" w:rsidP="6270CBC5" w:rsidRDefault="064C0A1E" w14:paraId="73A6EC08" w14:textId="5A69ED11">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roofErr w:type="spellStart"/>
      <w:r w:rsidRPr="6270CBC5"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Dunand</w:t>
      </w:r>
      <w:proofErr w:type="spellEnd"/>
      <w:r w:rsidRPr="6270CBC5"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Françoise, and Christiane Zivie-Coche. Gods and Men in Egypt: 3000 BCE to 395 CE. Translated by David Lorton. Ithaca, NY: Cornell University Press, 2004.</w:t>
      </w:r>
    </w:p>
    <w:p w:rsidR="6270CBC5" w:rsidP="6270CBC5" w:rsidRDefault="6270CBC5" w14:paraId="4188EB9B" w14:textId="30A17386">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0CBC5" w:rsidR="6270CBC5">
        <w:rPr>
          <w:sz w:val="22"/>
          <w:szCs w:val="22"/>
        </w:rPr>
        <w:t>Greenbaum, Dorian. “Cosmology, Magic and Divination – Ancient Divination in Egypt and the Near East” March 15, 2022. PowerPoint Presentation.</w:t>
      </w:r>
      <w:r w:rsidRPr="6270CBC5" w:rsidR="6270CB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6270CBC5" w:rsidP="6270CBC5" w:rsidRDefault="6270CBC5" w14:paraId="007D4404" w14:textId="5AA3600C">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roofErr w:type="spellStart"/>
      <w:r w:rsidRPr="6270CBC5" w:rsidR="6270CBC5">
        <w:rPr>
          <w:rFonts w:ascii="Calibri" w:hAnsi="Calibri" w:eastAsia="Calibri" w:cs="Calibri"/>
          <w:b w:val="0"/>
          <w:bCs w:val="0"/>
          <w:i w:val="0"/>
          <w:iCs w:val="0"/>
          <w:caps w:val="0"/>
          <w:smallCaps w:val="0"/>
          <w:noProof w:val="0"/>
          <w:color w:val="000000" w:themeColor="text1" w:themeTint="FF" w:themeShade="FF"/>
          <w:sz w:val="22"/>
          <w:szCs w:val="22"/>
          <w:lang w:val="en-GB"/>
        </w:rPr>
        <w:t>Krutchen</w:t>
      </w:r>
      <w:proofErr w:type="spellEnd"/>
      <w:r w:rsidRPr="6270CBC5" w:rsidR="6270CBC5">
        <w:rPr>
          <w:rFonts w:ascii="Calibri" w:hAnsi="Calibri" w:eastAsia="Calibri" w:cs="Calibri"/>
          <w:b w:val="0"/>
          <w:bCs w:val="0"/>
          <w:i w:val="0"/>
          <w:iCs w:val="0"/>
          <w:caps w:val="0"/>
          <w:smallCaps w:val="0"/>
          <w:noProof w:val="0"/>
          <w:color w:val="000000" w:themeColor="text1" w:themeTint="FF" w:themeShade="FF"/>
          <w:sz w:val="22"/>
          <w:szCs w:val="22"/>
          <w:lang w:val="en-GB"/>
        </w:rPr>
        <w:t>, Jean-Marie., ‘</w:t>
      </w:r>
      <w:r w:rsidRPr="6270CBC5" w:rsidR="6270CBC5">
        <w:rPr>
          <w:rFonts w:ascii="Calibri" w:hAnsi="Calibri" w:eastAsia="Calibri" w:cs="Calibri"/>
          <w:b w:val="0"/>
          <w:bCs w:val="0"/>
          <w:i w:val="1"/>
          <w:iCs w:val="1"/>
          <w:caps w:val="0"/>
          <w:smallCaps w:val="0"/>
          <w:noProof w:val="0"/>
          <w:color w:val="000000" w:themeColor="text1" w:themeTint="FF" w:themeShade="FF"/>
          <w:sz w:val="22"/>
          <w:szCs w:val="22"/>
          <w:lang w:val="en-GB"/>
        </w:rPr>
        <w:t xml:space="preserve">Oracles’. </w:t>
      </w:r>
      <w:r w:rsidRPr="6270CBC5" w:rsidR="6270CBC5">
        <w:rPr>
          <w:rFonts w:ascii="Calibri" w:hAnsi="Calibri" w:eastAsia="Calibri" w:cs="Calibri"/>
          <w:b w:val="0"/>
          <w:bCs w:val="0"/>
          <w:i w:val="0"/>
          <w:iCs w:val="0"/>
          <w:caps w:val="0"/>
          <w:smallCaps w:val="0"/>
          <w:noProof w:val="0"/>
          <w:color w:val="000000" w:themeColor="text1" w:themeTint="FF" w:themeShade="FF"/>
          <w:sz w:val="22"/>
          <w:szCs w:val="22"/>
          <w:lang w:val="en-GB"/>
        </w:rPr>
        <w:t>Oxford/New York University Press 2002. pp. 298-302.</w:t>
      </w:r>
    </w:p>
    <w:p w:rsidR="064C0A1E" w:rsidP="6270CBC5" w:rsidRDefault="064C0A1E" w14:paraId="23018139" w14:textId="7D534D6D">
      <w:pPr>
        <w:ind w:left="450" w:hanging="4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70CBC5"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Lehoux, Daryn, "Tomorrow's News Today: Astrology, Fate, And </w:t>
      </w:r>
      <w:r w:rsidRPr="6270CBC5"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w:t>
      </w:r>
      <w:r w:rsidRPr="6270CBC5"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Way Out", </w:t>
      </w:r>
      <w:r w:rsidRPr="6270CBC5" w:rsidR="064C0A1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Representations</w:t>
      </w:r>
      <w:r w:rsidRPr="6270CBC5"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95 (2006), 105-122 &lt;https://doi.org/10.1525/rep.2006.95.1.105&gt;</w:t>
      </w:r>
    </w:p>
    <w:p w:rsidR="064C0A1E" w:rsidP="6270CBC5" w:rsidRDefault="064C0A1E" w14:paraId="2D3BC1B4" w14:textId="7D8DA47F">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270CBC5"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 Cairo 86637, P. Sallier IV, recto; P. BM 10474</w:t>
      </w:r>
      <w:r w:rsidRPr="6270CBC5" w:rsidR="064C0A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roofErr w:type="spellStart"/>
      <w:proofErr w:type="spellEnd"/>
    </w:p>
    <w:p w:rsidR="064C0A1E" w:rsidP="6270CBC5" w:rsidRDefault="064C0A1E" w14:paraId="5991AD6B" w14:textId="640EB573">
      <w:pPr>
        <w:pStyle w:val="Normal"/>
        <w:bidi w:val="0"/>
        <w:rPr>
          <w:rFonts w:ascii="Calibri" w:hAnsi="Calibri" w:eastAsia="Calibri" w:cs="Calibri"/>
          <w:b w:val="0"/>
          <w:bCs w:val="0"/>
          <w:i w:val="0"/>
          <w:iCs w:val="0"/>
          <w:caps w:val="0"/>
          <w:smallCaps w:val="0"/>
          <w:noProof w:val="0"/>
          <w:color w:val="000000" w:themeColor="text1" w:themeTint="FF" w:themeShade="FF"/>
          <w:sz w:val="22"/>
          <w:szCs w:val="22"/>
          <w:lang w:val="en-GB"/>
        </w:rPr>
      </w:pPr>
      <w:r w:rsidRPr="6270CBC5" w:rsidR="6270CB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Penelope.uchicago.edu. 2022. </w:t>
      </w:r>
      <w:proofErr w:type="spellStart"/>
      <w:r w:rsidRPr="6270CBC5" w:rsidR="6270CBC5">
        <w:rPr>
          <w:rFonts w:ascii="Calibri" w:hAnsi="Calibri" w:eastAsia="Calibri" w:cs="Calibri"/>
          <w:b w:val="0"/>
          <w:bCs w:val="0"/>
          <w:i w:val="1"/>
          <w:iCs w:val="1"/>
          <w:caps w:val="0"/>
          <w:smallCaps w:val="0"/>
          <w:noProof w:val="0"/>
          <w:color w:val="000000" w:themeColor="text1" w:themeTint="FF" w:themeShade="FF"/>
          <w:sz w:val="22"/>
          <w:szCs w:val="22"/>
          <w:lang w:val="en-GB"/>
        </w:rPr>
        <w:t>LacusCurtius</w:t>
      </w:r>
      <w:proofErr w:type="spellEnd"/>
      <w:r w:rsidRPr="6270CBC5" w:rsidR="6270CBC5">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 Cicero — De </w:t>
      </w:r>
      <w:proofErr w:type="spellStart"/>
      <w:r w:rsidRPr="6270CBC5" w:rsidR="6270CBC5">
        <w:rPr>
          <w:rFonts w:ascii="Calibri" w:hAnsi="Calibri" w:eastAsia="Calibri" w:cs="Calibri"/>
          <w:b w:val="0"/>
          <w:bCs w:val="0"/>
          <w:i w:val="1"/>
          <w:iCs w:val="1"/>
          <w:caps w:val="0"/>
          <w:smallCaps w:val="0"/>
          <w:noProof w:val="0"/>
          <w:color w:val="000000" w:themeColor="text1" w:themeTint="FF" w:themeShade="FF"/>
          <w:sz w:val="22"/>
          <w:szCs w:val="22"/>
          <w:lang w:val="en-GB"/>
        </w:rPr>
        <w:t>Divinatione</w:t>
      </w:r>
      <w:proofErr w:type="spellEnd"/>
      <w:r w:rsidRPr="6270CBC5" w:rsidR="6270CBC5">
        <w:rPr>
          <w:rFonts w:ascii="Calibri" w:hAnsi="Calibri" w:eastAsia="Calibri" w:cs="Calibri"/>
          <w:b w:val="0"/>
          <w:bCs w:val="0"/>
          <w:i w:val="1"/>
          <w:iCs w:val="1"/>
          <w:caps w:val="0"/>
          <w:smallCaps w:val="0"/>
          <w:noProof w:val="0"/>
          <w:color w:val="000000" w:themeColor="text1" w:themeTint="FF" w:themeShade="FF"/>
          <w:sz w:val="22"/>
          <w:szCs w:val="22"/>
          <w:lang w:val="en-GB"/>
        </w:rPr>
        <w:t>: Book I</w:t>
      </w:r>
      <w:r w:rsidRPr="6270CBC5" w:rsidR="6270CBC5">
        <w:rPr>
          <w:rFonts w:ascii="Calibri" w:hAnsi="Calibri" w:eastAsia="Calibri" w:cs="Calibri"/>
          <w:b w:val="0"/>
          <w:bCs w:val="0"/>
          <w:i w:val="0"/>
          <w:iCs w:val="0"/>
          <w:caps w:val="0"/>
          <w:smallCaps w:val="0"/>
          <w:noProof w:val="0"/>
          <w:color w:val="000000" w:themeColor="text1" w:themeTint="FF" w:themeShade="FF"/>
          <w:sz w:val="22"/>
          <w:szCs w:val="22"/>
          <w:lang w:val="en-GB"/>
        </w:rPr>
        <w:t>. [online] Available at: &lt;https://penelope.uchicago.edu/Thayer/E/Roman/Texts/Cicero/de_Divinatione/1*.html&gt; [Accessed 03 May 2022].</w:t>
      </w:r>
      <w:r w:rsidRPr="6270CBC5" w:rsidR="6270CB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64C0A1E" w:rsidP="6270CBC5" w:rsidRDefault="064C0A1E" w14:paraId="0A37F331" w14:textId="4ACEFFB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0CBC5" w:rsidR="064C0A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Redford, Donald B., ed. </w:t>
      </w:r>
      <w:r w:rsidRPr="6270CBC5" w:rsidR="064C0A1E">
        <w:rPr>
          <w:rFonts w:ascii="Calibri" w:hAnsi="Calibri" w:eastAsia="Calibri" w:cs="Calibri"/>
          <w:b w:val="0"/>
          <w:bCs w:val="0"/>
          <w:i w:val="1"/>
          <w:iCs w:val="1"/>
          <w:caps w:val="0"/>
          <w:smallCaps w:val="0"/>
          <w:noProof w:val="0"/>
          <w:color w:val="000000" w:themeColor="text1" w:themeTint="FF" w:themeShade="FF"/>
          <w:sz w:val="22"/>
          <w:szCs w:val="22"/>
          <w:lang w:val="en-GB"/>
        </w:rPr>
        <w:t>The Ancient Gods Speak: A Guide to Egyptian Religion</w:t>
      </w:r>
      <w:r w:rsidRPr="6270CBC5" w:rsidR="064C0A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Oxford/New York: Oxford University Press, 2002. </w:t>
      </w:r>
      <w:proofErr w:type="spellStart"/>
      <w:r w:rsidRPr="6270CBC5" w:rsidR="064C0A1E">
        <w:rPr>
          <w:rFonts w:ascii="Calibri" w:hAnsi="Calibri" w:eastAsia="Calibri" w:cs="Calibri"/>
          <w:b w:val="0"/>
          <w:bCs w:val="0"/>
          <w:i w:val="0"/>
          <w:iCs w:val="0"/>
          <w:caps w:val="0"/>
          <w:smallCaps w:val="0"/>
          <w:noProof w:val="0"/>
          <w:color w:val="000000" w:themeColor="text1" w:themeTint="FF" w:themeShade="FF"/>
          <w:sz w:val="22"/>
          <w:szCs w:val="22"/>
          <w:lang w:val="en-GB"/>
        </w:rPr>
        <w:t>S.v.</w:t>
      </w:r>
      <w:proofErr w:type="spellEnd"/>
      <w:r w:rsidRPr="6270CBC5" w:rsidR="064C0A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‘Oracles</w:t>
      </w:r>
      <w:r w:rsidRPr="6270CBC5" w:rsidR="064C0A1E">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64C0A1E" w:rsidP="6270CBC5" w:rsidRDefault="064C0A1E" w14:paraId="2B5FB678" w14:textId="60DB725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0CBC5" w:rsidR="6270CB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Redford, Donald B., </w:t>
      </w:r>
      <w:r w:rsidRPr="6270CBC5" w:rsidR="6270CBC5">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Ancient Gods Speak: A Guide to Egyptian Religion. </w:t>
      </w:r>
      <w:r w:rsidRPr="6270CBC5" w:rsidR="6270CB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Oxford//New York: Oxford University Press, 2002. </w:t>
      </w:r>
    </w:p>
    <w:p w:rsidR="064C0A1E" w:rsidP="6270CBC5" w:rsidRDefault="064C0A1E" w14:paraId="64DCC4E4" w14:textId="68A3FD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0CBC5" w:rsidR="064C0A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von Lieven, Alexandra. 'Divination in </w:t>
      </w:r>
      <w:proofErr w:type="spellStart"/>
      <w:r w:rsidRPr="6270CBC5" w:rsidR="064C0A1E">
        <w:rPr>
          <w:rFonts w:ascii="Calibri" w:hAnsi="Calibri" w:eastAsia="Calibri" w:cs="Calibri"/>
          <w:b w:val="0"/>
          <w:bCs w:val="0"/>
          <w:i w:val="0"/>
          <w:iCs w:val="0"/>
          <w:caps w:val="0"/>
          <w:smallCaps w:val="0"/>
          <w:noProof w:val="0"/>
          <w:color w:val="000000" w:themeColor="text1" w:themeTint="FF" w:themeShade="FF"/>
          <w:sz w:val="22"/>
          <w:szCs w:val="22"/>
          <w:lang w:val="en-GB"/>
        </w:rPr>
        <w:t>Ägypten</w:t>
      </w:r>
      <w:proofErr w:type="spellEnd"/>
      <w:r w:rsidRPr="6270CBC5" w:rsidR="064C0A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roofErr w:type="spellStart"/>
      <w:r w:rsidRPr="6270CBC5" w:rsidR="064C0A1E">
        <w:rPr>
          <w:rFonts w:ascii="Calibri" w:hAnsi="Calibri" w:eastAsia="Calibri" w:cs="Calibri"/>
          <w:b w:val="0"/>
          <w:bCs w:val="0"/>
          <w:i w:val="0"/>
          <w:iCs w:val="0"/>
          <w:caps w:val="0"/>
          <w:smallCaps w:val="0"/>
          <w:noProof w:val="0"/>
          <w:color w:val="000000" w:themeColor="text1" w:themeTint="FF" w:themeShade="FF"/>
          <w:sz w:val="22"/>
          <w:szCs w:val="22"/>
          <w:lang w:val="en-GB"/>
        </w:rPr>
        <w:t>Altorientalische</w:t>
      </w:r>
      <w:proofErr w:type="spellEnd"/>
      <w:r w:rsidRPr="6270CBC5" w:rsidR="064C0A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roofErr w:type="spellStart"/>
      <w:r w:rsidRPr="6270CBC5" w:rsidR="064C0A1E">
        <w:rPr>
          <w:rFonts w:ascii="Calibri" w:hAnsi="Calibri" w:eastAsia="Calibri" w:cs="Calibri"/>
          <w:b w:val="0"/>
          <w:bCs w:val="0"/>
          <w:i w:val="0"/>
          <w:iCs w:val="0"/>
          <w:caps w:val="0"/>
          <w:smallCaps w:val="0"/>
          <w:noProof w:val="0"/>
          <w:color w:val="000000" w:themeColor="text1" w:themeTint="FF" w:themeShade="FF"/>
          <w:sz w:val="22"/>
          <w:szCs w:val="22"/>
          <w:lang w:val="en-GB"/>
        </w:rPr>
        <w:t>Forschungen</w:t>
      </w:r>
      <w:proofErr w:type="spellEnd"/>
      <w:r w:rsidRPr="6270CBC5" w:rsidR="064C0A1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26, no. 1 (1999): 77-126.</w:t>
      </w:r>
    </w:p>
    <w:sectPr>
      <w:pgSz w:w="11906" w:h="16838" w:orient="portrait"/>
      <w:pgMar w:top="1440" w:right="1440" w:bottom="1440" w:left="1440" w:header="720" w:footer="720" w:gutter="0"/>
      <w:cols w:space="720"/>
      <w:docGrid w:linePitch="360"/>
      <w:headerReference w:type="default" r:id="R6ce3210227544bdf"/>
      <w:footerReference w:type="default" r:id="R402a4469c85e44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4C0A1E" w:rsidTr="064C0A1E" w14:paraId="09A3FBBA">
      <w:tc>
        <w:tcPr>
          <w:tcW w:w="3005" w:type="dxa"/>
          <w:tcMar/>
        </w:tcPr>
        <w:p w:rsidR="064C0A1E" w:rsidP="064C0A1E" w:rsidRDefault="064C0A1E" w14:paraId="2E8D11CA" w14:textId="58D18F00">
          <w:pPr>
            <w:pStyle w:val="Header"/>
            <w:bidi w:val="0"/>
            <w:ind w:left="-115"/>
            <w:jc w:val="left"/>
          </w:pPr>
        </w:p>
      </w:tc>
      <w:tc>
        <w:tcPr>
          <w:tcW w:w="3005" w:type="dxa"/>
          <w:tcMar/>
        </w:tcPr>
        <w:p w:rsidR="064C0A1E" w:rsidP="064C0A1E" w:rsidRDefault="064C0A1E" w14:paraId="6AA44717" w14:textId="555E960C">
          <w:pPr>
            <w:pStyle w:val="Header"/>
            <w:bidi w:val="0"/>
            <w:jc w:val="center"/>
          </w:pPr>
        </w:p>
      </w:tc>
      <w:tc>
        <w:tcPr>
          <w:tcW w:w="3005" w:type="dxa"/>
          <w:tcMar/>
        </w:tcPr>
        <w:p w:rsidR="064C0A1E" w:rsidP="064C0A1E" w:rsidRDefault="064C0A1E" w14:paraId="295F37A4" w14:textId="58D132B8">
          <w:pPr>
            <w:pStyle w:val="Header"/>
            <w:bidi w:val="0"/>
            <w:ind w:right="-115"/>
            <w:jc w:val="right"/>
          </w:pPr>
        </w:p>
      </w:tc>
    </w:tr>
  </w:tbl>
  <w:p w:rsidR="064C0A1E" w:rsidP="064C0A1E" w:rsidRDefault="064C0A1E" w14:paraId="28368DA7" w14:textId="566FD9BA">
    <w:pPr>
      <w:pStyle w:val="Footer"/>
      <w:bidi w:val="0"/>
    </w:pPr>
  </w:p>
</w:ftr>
</file>

<file path=word/footnotes.xml><?xml version="1.0" encoding="utf-8"?>
<w:footnotes xmlns:w14="http://schemas.microsoft.com/office/word/2010/wordml" xmlns:w="http://schemas.openxmlformats.org/wordprocessingml/2006/main">
  <w:footnote w:type="separator" w:id="-1">
    <w:p w:rsidR="064C0A1E" w:rsidRDefault="064C0A1E" w14:paraId="286F501C" w14:textId="25E896E0">
      <w:pPr>
        <w:spacing w:after="0" w:line="240" w:lineRule="auto"/>
      </w:pPr>
      <w:r>
        <w:separator/>
      </w:r>
    </w:p>
  </w:footnote>
  <w:footnote w:type="continuationSeparator" w:id="0">
    <w:p w:rsidR="064C0A1E" w:rsidRDefault="064C0A1E" w14:paraId="6CE357ED" w14:textId="517DE3B9">
      <w:pPr>
        <w:spacing w:after="0" w:line="240" w:lineRule="auto"/>
      </w:pPr>
      <w:r>
        <w:continuationSeparator/>
      </w:r>
    </w:p>
  </w:footnote>
  <w:footnote w:id="14609">
    <w:p w:rsidR="064C0A1E" w:rsidP="064C0A1E" w:rsidRDefault="064C0A1E" w14:paraId="68520D41" w14:textId="5BC0C039">
      <w:pPr>
        <w:pStyle w:val="FootnoteText"/>
        <w:bidi w:val="0"/>
        <w:rPr>
          <w:noProof w:val="0"/>
          <w:sz w:val="20"/>
          <w:szCs w:val="20"/>
          <w:lang w:val="en-GB"/>
        </w:rPr>
      </w:pPr>
      <w:r w:rsidRPr="064C0A1E">
        <w:rPr>
          <w:rStyle w:val="FootnoteReference"/>
          <w:sz w:val="20"/>
          <w:szCs w:val="20"/>
        </w:rPr>
        <w:footnoteRef/>
      </w:r>
      <w:r w:rsidRPr="064C0A1E" w:rsidR="064C0A1E">
        <w:rPr>
          <w:sz w:val="20"/>
          <w:szCs w:val="20"/>
        </w:rPr>
        <w:t xml:space="preserve"> von Lieven 1999, 78</w:t>
      </w:r>
    </w:p>
  </w:footnote>
  <w:footnote w:id="7562">
    <w:p w:rsidR="064C0A1E" w:rsidP="064C0A1E" w:rsidRDefault="064C0A1E" w14:paraId="2A6E4175" w14:textId="0A34C140">
      <w:pPr>
        <w:pStyle w:val="FootnoteText"/>
        <w:bidi w:val="0"/>
      </w:pPr>
      <w:r w:rsidRPr="064C0A1E">
        <w:rPr>
          <w:rStyle w:val="FootnoteReference"/>
          <w:sz w:val="20"/>
          <w:szCs w:val="20"/>
        </w:rPr>
        <w:footnoteRef/>
      </w:r>
      <w:r w:rsidRPr="064C0A1E" w:rsidR="064C0A1E">
        <w:rPr>
          <w:sz w:val="20"/>
          <w:szCs w:val="20"/>
        </w:rPr>
        <w:t xml:space="preserve"> Redford 2002, 299</w:t>
      </w:r>
    </w:p>
  </w:footnote>
  <w:footnote w:id="3428">
    <w:p w:rsidR="064C0A1E" w:rsidP="064C0A1E" w:rsidRDefault="064C0A1E" w14:paraId="599B6D49" w14:textId="4D463CAB">
      <w:pPr>
        <w:pStyle w:val="FootnoteText"/>
        <w:bidi w:val="0"/>
        <w:rPr>
          <w:noProof w:val="0"/>
          <w:sz w:val="20"/>
          <w:szCs w:val="20"/>
          <w:lang w:val="en-GB"/>
        </w:rPr>
      </w:pPr>
      <w:r w:rsidRPr="064C0A1E">
        <w:rPr>
          <w:rStyle w:val="FootnoteReference"/>
          <w:sz w:val="20"/>
          <w:szCs w:val="20"/>
        </w:rPr>
        <w:footnoteRef/>
      </w:r>
      <w:r w:rsidRPr="064C0A1E" w:rsidR="064C0A1E">
        <w:rPr>
          <w:sz w:val="20"/>
          <w:szCs w:val="20"/>
        </w:rPr>
        <w:t xml:space="preserve"> Kruchten, JM, 2002, pp. 298-302.</w:t>
      </w:r>
    </w:p>
  </w:footnote>
  <w:footnote w:id="20347">
    <w:p w:rsidR="064C0A1E" w:rsidP="6270CBC5" w:rsidRDefault="064C0A1E" w14:paraId="4ECC9C86" w14:textId="46143313">
      <w:pPr>
        <w:pStyle w:val="FootnoteText"/>
        <w:bidi w:val="0"/>
        <w:rPr>
          <w:b w:val="0"/>
          <w:bCs w:val="0"/>
          <w:i w:val="1"/>
          <w:iCs w:val="1"/>
          <w:caps w:val="0"/>
          <w:smallCaps w:val="0"/>
          <w:noProof w:val="0"/>
          <w:color w:val="283041"/>
          <w:sz w:val="20"/>
          <w:szCs w:val="20"/>
          <w:lang w:val="en-GB"/>
        </w:rPr>
      </w:pPr>
      <w:r w:rsidRPr="064C0A1E">
        <w:rPr>
          <w:rStyle w:val="FootnoteReference"/>
          <w:sz w:val="20"/>
          <w:szCs w:val="20"/>
        </w:rPr>
        <w:footnoteRef/>
      </w:r>
      <w:r w:rsidRPr="064C0A1E" w:rsidR="6270CBC5">
        <w:rPr>
          <w:sz w:val="20"/>
          <w:szCs w:val="20"/>
        </w:rPr>
        <w:t xml:space="preserve"> </w:t>
      </w:r>
      <w:r w:rsidRPr="6270CBC5" w:rsidR="6270CBC5">
        <w:rPr>
          <w:b w:val="0"/>
          <w:bCs w:val="0"/>
          <w:i w:val="0"/>
          <w:iCs w:val="0"/>
          <w:caps w:val="0"/>
          <w:smallCaps w:val="0"/>
          <w:noProof w:val="0"/>
          <w:color w:val="283041"/>
          <w:sz w:val="21"/>
          <w:szCs w:val="21"/>
          <w:lang w:val="en-GB"/>
        </w:rPr>
        <w:t xml:space="preserve">Papyrus Brooklyn, 47-218-3, cited in Kruchten, ‘Oracles’, p. 300, in Redford, ed., </w:t>
      </w:r>
      <w:r w:rsidRPr="6270CBC5" w:rsidR="6270CBC5">
        <w:rPr>
          <w:b w:val="0"/>
          <w:bCs w:val="0"/>
          <w:i w:val="1"/>
          <w:iCs w:val="1"/>
          <w:caps w:val="0"/>
          <w:smallCaps w:val="0"/>
          <w:noProof w:val="0"/>
          <w:color w:val="283041"/>
          <w:sz w:val="21"/>
          <w:szCs w:val="21"/>
          <w:lang w:val="en-GB"/>
        </w:rPr>
        <w:t>The Ancient Gods Speak</w:t>
      </w:r>
    </w:p>
  </w:footnote>
  <w:footnote w:id="16326">
    <w:p w:rsidR="064C0A1E" w:rsidP="064C0A1E" w:rsidRDefault="064C0A1E" w14:paraId="0D506D9F" w14:textId="0B8B4076">
      <w:pPr>
        <w:pStyle w:val="FootnoteText"/>
        <w:bidi w:val="0"/>
        <w:rPr>
          <w:noProof w:val="0"/>
          <w:sz w:val="20"/>
          <w:szCs w:val="20"/>
          <w:lang w:val="en-GB"/>
        </w:rPr>
      </w:pPr>
      <w:r w:rsidRPr="064C0A1E">
        <w:rPr>
          <w:rStyle w:val="FootnoteReference"/>
          <w:sz w:val="20"/>
          <w:szCs w:val="20"/>
        </w:rPr>
        <w:footnoteRef/>
      </w:r>
      <w:r w:rsidRPr="064C0A1E" w:rsidR="064C0A1E">
        <w:rPr>
          <w:sz w:val="20"/>
          <w:szCs w:val="20"/>
        </w:rPr>
        <w:t xml:space="preserve"> </w:t>
      </w:r>
      <w:r w:rsidRPr="064C0A1E" w:rsidR="064C0A1E">
        <w:rPr>
          <w:sz w:val="20"/>
          <w:szCs w:val="20"/>
        </w:rPr>
        <w:t>Kruchten, JM, 2002, pp. 298-302.</w:t>
      </w:r>
    </w:p>
  </w:footnote>
  <w:footnote w:id="4248">
    <w:p w:rsidR="064C0A1E" w:rsidP="6270CBC5" w:rsidRDefault="064C0A1E" w14:paraId="7B8E13E3" w14:textId="539B6EE5">
      <w:pPr>
        <w:pStyle w:val="FootnoteText"/>
        <w:bidi w:val="0"/>
        <w:rPr>
          <w:b w:val="0"/>
          <w:bCs w:val="0"/>
          <w:i w:val="0"/>
          <w:iCs w:val="0"/>
          <w:caps w:val="0"/>
          <w:smallCaps w:val="0"/>
          <w:noProof w:val="0"/>
          <w:color w:val="283041"/>
          <w:sz w:val="20"/>
          <w:szCs w:val="20"/>
          <w:lang w:val="en-GB"/>
        </w:rPr>
      </w:pPr>
      <w:r w:rsidRPr="064C0A1E">
        <w:rPr>
          <w:rStyle w:val="FootnoteReference"/>
          <w:sz w:val="20"/>
          <w:szCs w:val="20"/>
        </w:rPr>
        <w:footnoteRef/>
      </w:r>
      <w:r w:rsidRPr="064C0A1E" w:rsidR="6270CBC5">
        <w:rPr>
          <w:sz w:val="20"/>
          <w:szCs w:val="20"/>
        </w:rPr>
        <w:t xml:space="preserve"> </w:t>
      </w:r>
      <w:r w:rsidRPr="6270CBC5" w:rsidR="6270CBC5">
        <w:rPr>
          <w:b w:val="0"/>
          <w:bCs w:val="0"/>
          <w:i w:val="0"/>
          <w:iCs w:val="0"/>
          <w:caps w:val="0"/>
          <w:smallCaps w:val="0"/>
          <w:noProof w:val="0"/>
          <w:color w:val="283041"/>
          <w:sz w:val="21"/>
          <w:szCs w:val="21"/>
          <w:lang w:val="en-GB"/>
        </w:rPr>
        <w:t xml:space="preserve">Kruchten, Jean-Marie. ‘Oracles’ in Redford’s </w:t>
      </w:r>
      <w:r w:rsidRPr="6270CBC5" w:rsidR="6270CBC5">
        <w:rPr>
          <w:b w:val="0"/>
          <w:bCs w:val="0"/>
          <w:i w:val="1"/>
          <w:iCs w:val="1"/>
          <w:caps w:val="0"/>
          <w:smallCaps w:val="0"/>
          <w:noProof w:val="0"/>
          <w:color w:val="283041"/>
          <w:sz w:val="21"/>
          <w:szCs w:val="21"/>
          <w:lang w:val="en-GB"/>
        </w:rPr>
        <w:t>The Ancient Gods Speak</w:t>
      </w:r>
      <w:r w:rsidRPr="6270CBC5" w:rsidR="6270CBC5">
        <w:rPr>
          <w:b w:val="0"/>
          <w:bCs w:val="0"/>
          <w:i w:val="0"/>
          <w:iCs w:val="0"/>
          <w:caps w:val="0"/>
          <w:smallCaps w:val="0"/>
          <w:noProof w:val="0"/>
          <w:color w:val="283041"/>
          <w:sz w:val="21"/>
          <w:szCs w:val="21"/>
          <w:lang w:val="en-GB"/>
        </w:rPr>
        <w:t>, p. 301</w:t>
      </w:r>
    </w:p>
  </w:footnote>
  <w:footnote w:id="9379">
    <w:p w:rsidR="064C0A1E" w:rsidP="064C0A1E" w:rsidRDefault="064C0A1E" w14:paraId="75B88809" w14:textId="215BAB21">
      <w:pPr>
        <w:pStyle w:val="FootnoteText"/>
        <w:bidi w:val="0"/>
        <w:rPr>
          <w:b w:val="0"/>
          <w:bCs w:val="0"/>
          <w:i w:val="0"/>
          <w:iCs w:val="0"/>
          <w:caps w:val="0"/>
          <w:smallCaps w:val="0"/>
          <w:strike w:val="0"/>
          <w:dstrike w:val="0"/>
          <w:noProof w:val="0"/>
          <w:color w:val="000000" w:themeColor="text1" w:themeTint="FF" w:themeShade="FF"/>
          <w:sz w:val="20"/>
          <w:szCs w:val="20"/>
          <w:u w:val="none"/>
          <w:lang w:val="en-GB"/>
        </w:rPr>
      </w:pPr>
      <w:r w:rsidRPr="064C0A1E">
        <w:rPr>
          <w:rStyle w:val="FootnoteReference"/>
          <w:sz w:val="20"/>
          <w:szCs w:val="20"/>
        </w:rPr>
        <w:footnoteRef/>
      </w:r>
      <w:r w:rsidRPr="064C0A1E" w:rsidR="064C0A1E">
        <w:rPr>
          <w:sz w:val="20"/>
          <w:szCs w:val="20"/>
        </w:rPr>
        <w:t xml:space="preserve"> </w:t>
      </w:r>
      <w:r w:rsidRPr="064C0A1E" w:rsidR="064C0A1E">
        <w:rPr>
          <w:b w:val="0"/>
          <w:bCs w:val="0"/>
          <w:i w:val="0"/>
          <w:iCs w:val="0"/>
          <w:caps w:val="0"/>
          <w:smallCaps w:val="0"/>
          <w:strike w:val="0"/>
          <w:dstrike w:val="0"/>
          <w:noProof w:val="0"/>
          <w:color w:val="000000" w:themeColor="text1" w:themeTint="FF" w:themeShade="FF"/>
          <w:sz w:val="19"/>
          <w:szCs w:val="19"/>
          <w:u w:val="none"/>
          <w:lang w:val="en-GB"/>
        </w:rPr>
        <w:t>Kruchten, JM, 2002, pp. 298-302.</w:t>
      </w:r>
    </w:p>
  </w:footnote>
  <w:footnote w:id="2928">
    <w:p w:rsidR="064C0A1E" w:rsidP="064C0A1E" w:rsidRDefault="064C0A1E" w14:paraId="1C57B2BE" w14:textId="694EF7E8">
      <w:pPr>
        <w:pStyle w:val="FootnoteText"/>
        <w:bidi w:val="0"/>
        <w:rPr>
          <w:b w:val="0"/>
          <w:bCs w:val="0"/>
          <w:i w:val="0"/>
          <w:iCs w:val="0"/>
          <w:caps w:val="0"/>
          <w:smallCaps w:val="0"/>
          <w:strike w:val="0"/>
          <w:dstrike w:val="0"/>
          <w:noProof w:val="0"/>
          <w:color w:val="000000" w:themeColor="text1" w:themeTint="FF" w:themeShade="FF"/>
          <w:sz w:val="20"/>
          <w:szCs w:val="20"/>
          <w:u w:val="none"/>
          <w:lang w:val="en-GB"/>
        </w:rPr>
      </w:pPr>
      <w:r w:rsidRPr="064C0A1E">
        <w:rPr>
          <w:rStyle w:val="FootnoteReference"/>
          <w:sz w:val="20"/>
          <w:szCs w:val="20"/>
        </w:rPr>
        <w:footnoteRef/>
      </w:r>
      <w:r w:rsidRPr="064C0A1E" w:rsidR="064C0A1E">
        <w:rPr>
          <w:sz w:val="20"/>
          <w:szCs w:val="20"/>
        </w:rPr>
        <w:t xml:space="preserve"> </w:t>
      </w:r>
      <w:r w:rsidRPr="064C0A1E" w:rsidR="064C0A1E">
        <w:rPr>
          <w:b w:val="0"/>
          <w:bCs w:val="0"/>
          <w:i w:val="0"/>
          <w:iCs w:val="0"/>
          <w:caps w:val="0"/>
          <w:smallCaps w:val="0"/>
          <w:strike w:val="0"/>
          <w:dstrike w:val="0"/>
          <w:noProof w:val="0"/>
          <w:color w:val="000000" w:themeColor="text1" w:themeTint="FF" w:themeShade="FF"/>
          <w:sz w:val="19"/>
          <w:szCs w:val="19"/>
          <w:u w:val="none"/>
          <w:lang w:val="en-GB"/>
        </w:rPr>
        <w:t>Kruchten, JM, 2002, pp. 298-302.</w:t>
      </w:r>
    </w:p>
  </w:footnote>
  <w:footnote w:id="31398">
    <w:p w:rsidR="064C0A1E" w:rsidP="064C0A1E" w:rsidRDefault="064C0A1E" w14:paraId="6FFA89BC" w14:textId="548528BB">
      <w:pPr>
        <w:pStyle w:val="FootnoteText"/>
        <w:bidi w:val="0"/>
        <w:rPr>
          <w:noProof w:val="0"/>
          <w:sz w:val="20"/>
          <w:szCs w:val="20"/>
          <w:lang w:val="en-GB"/>
        </w:rPr>
      </w:pPr>
      <w:r w:rsidRPr="064C0A1E">
        <w:rPr>
          <w:rStyle w:val="FootnoteReference"/>
          <w:sz w:val="20"/>
          <w:szCs w:val="20"/>
        </w:rPr>
        <w:footnoteRef/>
      </w:r>
      <w:r w:rsidRPr="064C0A1E" w:rsidR="064C0A1E">
        <w:rPr>
          <w:sz w:val="20"/>
          <w:szCs w:val="20"/>
        </w:rPr>
        <w:t xml:space="preserve"> Dunand and Zivie-Coche 2004, p. 135; trans. based on S. Sauneron, Les songes et leur interprétation (Paris, 1959), p. 37</w:t>
      </w:r>
    </w:p>
  </w:footnote>
  <w:footnote w:id="31110">
    <w:p w:rsidR="064C0A1E" w:rsidP="064C0A1E" w:rsidRDefault="064C0A1E" w14:paraId="0A40C976" w14:textId="50910DE3">
      <w:pPr>
        <w:pStyle w:val="FootnoteText"/>
        <w:bidi w:val="0"/>
        <w:rPr>
          <w:noProof w:val="0"/>
          <w:sz w:val="20"/>
          <w:szCs w:val="20"/>
          <w:lang w:val="en-GB"/>
        </w:rPr>
      </w:pPr>
      <w:r w:rsidRPr="064C0A1E">
        <w:rPr>
          <w:rStyle w:val="FootnoteReference"/>
          <w:sz w:val="20"/>
          <w:szCs w:val="20"/>
        </w:rPr>
        <w:footnoteRef/>
      </w:r>
      <w:r w:rsidRPr="064C0A1E" w:rsidR="064C0A1E">
        <w:rPr>
          <w:sz w:val="20"/>
          <w:szCs w:val="20"/>
        </w:rPr>
        <w:t xml:space="preserve"> Histories II, 82.1, trans. Carter</w:t>
      </w:r>
    </w:p>
  </w:footnote>
  <w:footnote w:id="15625">
    <w:p w:rsidR="064C0A1E" w:rsidP="6270CBC5" w:rsidRDefault="064C0A1E" w14:paraId="77949CC1" w14:textId="2A3D1748">
      <w:pPr>
        <w:pStyle w:val="FootnoteText"/>
        <w:bidi w:val="0"/>
        <w:rPr>
          <w:i w:val="0"/>
          <w:iCs w:val="0"/>
          <w:sz w:val="20"/>
          <w:szCs w:val="20"/>
        </w:rPr>
      </w:pPr>
      <w:r w:rsidRPr="064C0A1E">
        <w:rPr>
          <w:rStyle w:val="FootnoteReference"/>
          <w:sz w:val="20"/>
          <w:szCs w:val="20"/>
        </w:rPr>
        <w:footnoteRef/>
      </w:r>
      <w:r w:rsidRPr="064C0A1E" w:rsidR="6270CBC5">
        <w:rPr>
          <w:sz w:val="20"/>
          <w:szCs w:val="20"/>
        </w:rPr>
        <w:t xml:space="preserve"> Aylward M. Blackman, “Oracles </w:t>
      </w:r>
      <w:r w:rsidRPr="064C0A1E" w:rsidR="6270CBC5">
        <w:rPr>
          <w:sz w:val="20"/>
          <w:szCs w:val="20"/>
        </w:rPr>
        <w:t>In</w:t>
      </w:r>
      <w:r w:rsidRPr="064C0A1E" w:rsidR="6270CBC5">
        <w:rPr>
          <w:sz w:val="20"/>
          <w:szCs w:val="20"/>
        </w:rPr>
        <w:t xml:space="preserve"> Ancient Egypt”, </w:t>
      </w:r>
      <w:r w:rsidRPr="6270CBC5" w:rsidR="6270CBC5">
        <w:rPr>
          <w:i w:val="1"/>
          <w:iCs w:val="1"/>
          <w:sz w:val="20"/>
          <w:szCs w:val="20"/>
        </w:rPr>
        <w:t xml:space="preserve">The Journal Egyptian Archaeology, </w:t>
      </w:r>
      <w:r w:rsidRPr="6270CBC5" w:rsidR="6270CBC5">
        <w:rPr>
          <w:i w:val="0"/>
          <w:iCs w:val="0"/>
          <w:sz w:val="20"/>
          <w:szCs w:val="20"/>
        </w:rPr>
        <w:t>11.3/4 (1925), 253-255</w:t>
      </w:r>
    </w:p>
  </w:footnote>
  <w:footnote w:id="31127">
    <w:p w:rsidR="064C0A1E" w:rsidP="064C0A1E" w:rsidRDefault="064C0A1E" w14:paraId="133FF88F" w14:textId="3F77A2E8">
      <w:pPr>
        <w:pStyle w:val="FootnoteText"/>
        <w:bidi w:val="0"/>
      </w:pPr>
      <w:r w:rsidRPr="064C0A1E">
        <w:rPr>
          <w:rStyle w:val="FootnoteReference"/>
          <w:sz w:val="20"/>
          <w:szCs w:val="20"/>
        </w:rPr>
        <w:footnoteRef/>
      </w:r>
      <w:r w:rsidRPr="064C0A1E" w:rsidR="6270CBC5">
        <w:rPr>
          <w:sz w:val="20"/>
          <w:szCs w:val="20"/>
        </w:rPr>
        <w:t xml:space="preserve"> Daryn </w:t>
      </w:r>
      <w:proofErr w:type="spellStart"/>
      <w:r w:rsidRPr="064C0A1E" w:rsidR="6270CBC5">
        <w:rPr>
          <w:sz w:val="20"/>
          <w:szCs w:val="20"/>
        </w:rPr>
        <w:t xml:space="preserve">Lexhous</w:t>
      </w:r>
      <w:proofErr w:type="spellEnd"/>
      <w:r w:rsidRPr="064C0A1E" w:rsidR="6270CBC5">
        <w:rPr>
          <w:sz w:val="20"/>
          <w:szCs w:val="20"/>
        </w:rPr>
        <w:t xml:space="preserve"> “Tomorrow’s News </w:t>
      </w:r>
      <w:r w:rsidRPr="064C0A1E" w:rsidR="6270CBC5">
        <w:rPr>
          <w:sz w:val="20"/>
          <w:szCs w:val="20"/>
        </w:rPr>
        <w:t>Today</w:t>
      </w:r>
      <w:r w:rsidRPr="064C0A1E" w:rsidR="6270CBC5">
        <w:rPr>
          <w:sz w:val="20"/>
          <w:szCs w:val="20"/>
        </w:rPr>
        <w:t xml:space="preserve">: Astrology, Fate, And </w:t>
      </w:r>
      <w:proofErr w:type="gramStart"/>
      <w:r w:rsidRPr="064C0A1E" w:rsidR="6270CBC5">
        <w:rPr>
          <w:sz w:val="20"/>
          <w:szCs w:val="20"/>
        </w:rPr>
        <w:t>The</w:t>
      </w:r>
      <w:proofErr w:type="gramEnd"/>
      <w:r w:rsidRPr="064C0A1E" w:rsidR="6270CBC5">
        <w:rPr>
          <w:sz w:val="20"/>
          <w:szCs w:val="20"/>
        </w:rPr>
        <w:t xml:space="preserve"> Way Out”, </w:t>
      </w:r>
      <w:r w:rsidRPr="6270CBC5" w:rsidR="6270CBC5">
        <w:rPr>
          <w:i w:val="1"/>
          <w:iCs w:val="1"/>
          <w:sz w:val="20"/>
          <w:szCs w:val="20"/>
        </w:rPr>
        <w:t>Representations,</w:t>
      </w:r>
      <w:r w:rsidRPr="6270CBC5" w:rsidR="6270CBC5">
        <w:rPr>
          <w:i w:val="0"/>
          <w:iCs w:val="0"/>
          <w:sz w:val="20"/>
          <w:szCs w:val="20"/>
        </w:rPr>
        <w:t xml:space="preserve"> 95.1 (2006), 105-122</w:t>
      </w:r>
    </w:p>
  </w:footnote>
  <w:footnote w:id="25200">
    <w:p w:rsidR="6270CBC5" w:rsidP="6270CBC5" w:rsidRDefault="6270CBC5" w14:paraId="5942C07E" w14:textId="31E457A8">
      <w:pPr>
        <w:pStyle w:val="FootnoteText"/>
        <w:bidi w:val="0"/>
      </w:pPr>
      <w:r w:rsidRPr="6270CBC5">
        <w:rPr>
          <w:rStyle w:val="FootnoteReference"/>
          <w:sz w:val="20"/>
          <w:szCs w:val="20"/>
        </w:rPr>
        <w:footnoteRef/>
      </w:r>
      <w:r w:rsidRPr="6270CBC5" w:rsidR="6270CBC5">
        <w:rPr>
          <w:sz w:val="20"/>
          <w:szCs w:val="20"/>
        </w:rPr>
        <w:t xml:space="preserve"> Greenbaum, Dorian. “Cosmology, Magic and Divination – Ancient Divination in Egypt and the Near East” March 15, 2022. PowerPoint Presentation.</w:t>
      </w:r>
    </w:p>
  </w:footnote>
  <w:footnote w:id="25288">
    <w:p w:rsidR="6270CBC5" w:rsidP="6270CBC5" w:rsidRDefault="6270CBC5" w14:paraId="5604A909" w14:textId="12CD3988">
      <w:pPr>
        <w:pStyle w:val="FootnoteText"/>
        <w:bidi w:val="0"/>
        <w:rPr>
          <w:b w:val="0"/>
          <w:bCs w:val="0"/>
          <w:i w:val="0"/>
          <w:iCs w:val="0"/>
          <w:caps w:val="0"/>
          <w:smallCaps w:val="0"/>
          <w:strike w:val="0"/>
          <w:dstrike w:val="0"/>
          <w:noProof w:val="0"/>
          <w:color w:val="000000" w:themeColor="text1" w:themeTint="FF" w:themeShade="FF"/>
          <w:sz w:val="20"/>
          <w:szCs w:val="20"/>
          <w:u w:val="none"/>
          <w:lang w:val="en-GB"/>
        </w:rPr>
      </w:pPr>
      <w:r w:rsidRPr="6270CBC5">
        <w:rPr>
          <w:rStyle w:val="FootnoteReference"/>
          <w:sz w:val="20"/>
          <w:szCs w:val="20"/>
        </w:rPr>
        <w:footnoteRef/>
      </w:r>
      <w:r w:rsidRPr="6270CBC5" w:rsidR="6270CBC5">
        <w:rPr>
          <w:sz w:val="20"/>
          <w:szCs w:val="20"/>
        </w:rPr>
        <w:t xml:space="preserve"> </w:t>
      </w:r>
      <w:r w:rsidRPr="6270CBC5" w:rsidR="6270CBC5">
        <w:rPr>
          <w:b w:val="0"/>
          <w:bCs w:val="0"/>
          <w:i w:val="0"/>
          <w:iCs w:val="0"/>
          <w:caps w:val="0"/>
          <w:smallCaps w:val="0"/>
          <w:strike w:val="0"/>
          <w:dstrike w:val="0"/>
          <w:noProof w:val="0"/>
          <w:color w:val="000000" w:themeColor="text1" w:themeTint="FF" w:themeShade="FF"/>
          <w:sz w:val="19"/>
          <w:szCs w:val="19"/>
          <w:u w:val="none"/>
          <w:lang w:val="en-GB"/>
        </w:rPr>
        <w:t>Greenbaum, Dorian. “Cosmology, Magic and Divination – Ancient Divination in Egypt and the Near East” March 15, 2022. PowerPoint Presentation.</w:t>
      </w:r>
    </w:p>
  </w:footnote>
  <w:footnote w:id="27639">
    <w:p w:rsidR="6270CBC5" w:rsidP="6270CBC5" w:rsidRDefault="6270CBC5" w14:paraId="3E2832C0" w14:textId="77066551">
      <w:pPr>
        <w:pStyle w:val="Normal"/>
        <w:bidi w:val="0"/>
        <w:spacing w:after="160" w:line="259" w:lineRule="auto"/>
        <w:ind w:left="450" w:hanging="450"/>
        <w:rPr>
          <w:rFonts w:ascii="Calibri" w:hAnsi="Calibri" w:eastAsia="Calibri" w:cs="Calibri"/>
          <w:b w:val="0"/>
          <w:bCs w:val="0"/>
          <w:i w:val="0"/>
          <w:iCs w:val="0"/>
          <w:caps w:val="0"/>
          <w:smallCaps w:val="0"/>
          <w:noProof w:val="0"/>
          <w:color w:val="000000" w:themeColor="text1" w:themeTint="FF" w:themeShade="FF"/>
          <w:sz w:val="22"/>
          <w:szCs w:val="22"/>
          <w:lang w:val="en-GB"/>
        </w:rPr>
      </w:pPr>
      <w:r w:rsidRPr="6270CBC5">
        <w:rPr>
          <w:rStyle w:val="FootnoteReference"/>
          <w:sz w:val="20"/>
          <w:szCs w:val="20"/>
        </w:rPr>
        <w:footnoteRef/>
      </w:r>
      <w:r w:rsidRPr="6270CBC5" w:rsidR="6270CBC5">
        <w:rPr>
          <w:sz w:val="20"/>
          <w:szCs w:val="20"/>
        </w:rPr>
        <w:t xml:space="preserve"> </w:t>
      </w:r>
      <w:r w:rsidRPr="6270CBC5" w:rsidR="6270CBC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Penelope.uchicago.edu. 2022. </w:t>
      </w:r>
      <w:proofErr w:type="spellStart"/>
      <w:r w:rsidRPr="6270CBC5" w:rsidR="6270CBC5">
        <w:rPr>
          <w:rFonts w:ascii="Calibri" w:hAnsi="Calibri" w:eastAsia="Calibri" w:cs="Calibri"/>
          <w:b w:val="0"/>
          <w:bCs w:val="0"/>
          <w:i w:val="1"/>
          <w:iCs w:val="1"/>
          <w:caps w:val="0"/>
          <w:smallCaps w:val="0"/>
          <w:noProof w:val="0"/>
          <w:color w:val="000000" w:themeColor="text1" w:themeTint="FF" w:themeShade="FF"/>
          <w:sz w:val="22"/>
          <w:szCs w:val="22"/>
          <w:lang w:val="en-GB"/>
        </w:rPr>
        <w:t>LacusCurtius</w:t>
      </w:r>
      <w:proofErr w:type="spellEnd"/>
      <w:r w:rsidRPr="6270CBC5" w:rsidR="6270CBC5">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 Cicero — De </w:t>
      </w:r>
      <w:proofErr w:type="spellStart"/>
      <w:r w:rsidRPr="6270CBC5" w:rsidR="6270CBC5">
        <w:rPr>
          <w:rFonts w:ascii="Calibri" w:hAnsi="Calibri" w:eastAsia="Calibri" w:cs="Calibri"/>
          <w:b w:val="0"/>
          <w:bCs w:val="0"/>
          <w:i w:val="1"/>
          <w:iCs w:val="1"/>
          <w:caps w:val="0"/>
          <w:smallCaps w:val="0"/>
          <w:noProof w:val="0"/>
          <w:color w:val="000000" w:themeColor="text1" w:themeTint="FF" w:themeShade="FF"/>
          <w:sz w:val="22"/>
          <w:szCs w:val="22"/>
          <w:lang w:val="en-GB"/>
        </w:rPr>
        <w:t>Divinatione</w:t>
      </w:r>
      <w:proofErr w:type="spellEnd"/>
      <w:r w:rsidRPr="6270CBC5" w:rsidR="6270CBC5">
        <w:rPr>
          <w:rFonts w:ascii="Calibri" w:hAnsi="Calibri" w:eastAsia="Calibri" w:cs="Calibri"/>
          <w:b w:val="0"/>
          <w:bCs w:val="0"/>
          <w:i w:val="1"/>
          <w:iCs w:val="1"/>
          <w:caps w:val="0"/>
          <w:smallCaps w:val="0"/>
          <w:noProof w:val="0"/>
          <w:color w:val="000000" w:themeColor="text1" w:themeTint="FF" w:themeShade="FF"/>
          <w:sz w:val="22"/>
          <w:szCs w:val="22"/>
          <w:lang w:val="en-GB"/>
        </w:rPr>
        <w:t>: Book I</w:t>
      </w:r>
      <w:r w:rsidRPr="6270CBC5" w:rsidR="6270CBC5">
        <w:rPr>
          <w:rFonts w:ascii="Calibri" w:hAnsi="Calibri" w:eastAsia="Calibri" w:cs="Calibri"/>
          <w:b w:val="0"/>
          <w:bCs w:val="0"/>
          <w:i w:val="0"/>
          <w:iCs w:val="0"/>
          <w:caps w:val="0"/>
          <w:smallCaps w:val="0"/>
          <w:noProof w:val="0"/>
          <w:color w:val="000000" w:themeColor="text1" w:themeTint="FF" w:themeShade="FF"/>
          <w:sz w:val="22"/>
          <w:szCs w:val="22"/>
          <w:lang w:val="en-GB"/>
        </w:rPr>
        <w:t>. [online] Available at: &lt;https://penelope.uchicago.edu/Thayer/E/Roman/Texts/Cicero/de_Divinatione/1*.html&gt; [Accessed 03 May 2022].</w:t>
      </w:r>
    </w:p>
  </w:footnote>
  <w:footnote w:id="8517">
    <w:p w:rsidR="6270CBC5" w:rsidP="6270CBC5" w:rsidRDefault="6270CBC5" w14:paraId="0C890F53" w14:textId="3FF4BD86">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0CBC5">
        <w:rPr>
          <w:rStyle w:val="FootnoteReference"/>
          <w:sz w:val="20"/>
          <w:szCs w:val="20"/>
        </w:rPr>
        <w:footnoteRef/>
      </w:r>
      <w:r w:rsidRPr="6270CBC5" w:rsidR="6270CBC5">
        <w:rPr>
          <w:sz w:val="20"/>
          <w:szCs w:val="20"/>
        </w:rPr>
        <w:t xml:space="preserve"> </w:t>
      </w:r>
      <w:r w:rsidRPr="6270CBC5" w:rsidR="6270CBC5">
        <w:rPr>
          <w:sz w:val="22"/>
          <w:szCs w:val="22"/>
        </w:rPr>
        <w:t>Greenbaum, Dorian. “Cosmology, Magic and Divination – Ancient Divination in Egypt and the Near East” March 15, 2022. PowerPoint Presentation.</w:t>
      </w:r>
    </w:p>
  </w:footnote>
  <w:footnote w:id="6427">
    <w:p w:rsidR="6270CBC5" w:rsidP="6270CBC5" w:rsidRDefault="6270CBC5" w14:paraId="3D0EE15D" w14:textId="33DB998B">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0CBC5">
        <w:rPr>
          <w:rStyle w:val="FootnoteReference"/>
          <w:sz w:val="20"/>
          <w:szCs w:val="20"/>
        </w:rPr>
        <w:footnoteRef/>
      </w:r>
      <w:r w:rsidRPr="6270CBC5" w:rsidR="6270CBC5">
        <w:rPr>
          <w:sz w:val="20"/>
          <w:szCs w:val="20"/>
        </w:rPr>
        <w:t xml:space="preserve"> </w:t>
      </w:r>
      <w:r w:rsidRPr="6270CBC5" w:rsidR="6270CBC5">
        <w:rPr>
          <w:sz w:val="22"/>
          <w:szCs w:val="22"/>
        </w:rPr>
        <w:t>Greenbaum, Dorian. “Cosmology, Magic and Divination – Ancient Divination in Egypt and the Near East” March 15, 2022. PowerPoint Presentation.</w:t>
      </w:r>
    </w:p>
  </w:footnote>
  <w:footnote w:id="14999">
    <w:p w:rsidR="6270CBC5" w:rsidP="6270CBC5" w:rsidRDefault="6270CBC5" w14:paraId="27996337" w14:textId="7EB99489">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0CBC5">
        <w:rPr>
          <w:rStyle w:val="FootnoteReference"/>
          <w:sz w:val="20"/>
          <w:szCs w:val="20"/>
        </w:rPr>
        <w:footnoteRef/>
      </w:r>
      <w:r w:rsidRPr="6270CBC5" w:rsidR="6270CBC5">
        <w:rPr>
          <w:sz w:val="20"/>
          <w:szCs w:val="20"/>
        </w:rPr>
        <w:t xml:space="preserve"> </w:t>
      </w:r>
      <w:r w:rsidRPr="6270CBC5" w:rsidR="6270CBC5">
        <w:rPr>
          <w:sz w:val="22"/>
          <w:szCs w:val="22"/>
        </w:rPr>
        <w:t>Greenbaum, Dorian. “Cosmology, Magic and Divination – Ancient Divination in Egypt and the Near East” March 15, 2022. PowerPoint Presentation.</w:t>
      </w:r>
    </w:p>
    <w:p w:rsidR="6270CBC5" w:rsidP="6270CBC5" w:rsidRDefault="6270CBC5" w14:paraId="2D60C594" w14:textId="226241F8">
      <w:pPr>
        <w:pStyle w:val="FootnoteText"/>
        <w:bidi w:val="0"/>
        <w:rPr>
          <w:sz w:val="20"/>
          <w:szCs w:val="20"/>
        </w:rPr>
      </w:pPr>
    </w:p>
  </w:footnote>
  <w:footnote w:id="15378">
    <w:p w:rsidR="6270CBC5" w:rsidP="6270CBC5" w:rsidRDefault="6270CBC5" w14:paraId="15519313" w14:textId="4E2FEF55">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270CBC5">
        <w:rPr>
          <w:rStyle w:val="FootnoteReference"/>
          <w:sz w:val="20"/>
          <w:szCs w:val="20"/>
        </w:rPr>
        <w:footnoteRef/>
      </w:r>
      <w:r w:rsidRPr="6270CBC5" w:rsidR="6270CBC5">
        <w:rPr>
          <w:sz w:val="20"/>
          <w:szCs w:val="20"/>
        </w:rPr>
        <w:t xml:space="preserve"> </w:t>
      </w:r>
      <w:r w:rsidRPr="6270CBC5" w:rsidR="6270CBC5">
        <w:rPr>
          <w:sz w:val="22"/>
          <w:szCs w:val="22"/>
        </w:rPr>
        <w:t>Greenbaum, Dorian. “Cosmology, Magic and Divination – Ancient Divination in Egypt and the Near East” March 15, 2022. PowerPoint Presentation.</w:t>
      </w:r>
    </w:p>
  </w:footnote>
  <w:footnote w:id="6592">
    <w:p w:rsidR="6270CBC5" w:rsidP="6270CBC5" w:rsidRDefault="6270CBC5" w14:paraId="1E3C3F6B" w14:textId="4E8B7DC9">
      <w:pPr>
        <w:pStyle w:val="FootnoteText"/>
        <w:bidi w:val="0"/>
        <w:rPr>
          <w:b w:val="0"/>
          <w:bCs w:val="0"/>
          <w:i w:val="0"/>
          <w:iCs w:val="0"/>
          <w:caps w:val="0"/>
          <w:smallCaps w:val="0"/>
          <w:noProof w:val="0"/>
          <w:color w:val="283041"/>
          <w:sz w:val="20"/>
          <w:szCs w:val="20"/>
          <w:lang w:val="en-GB"/>
        </w:rPr>
      </w:pPr>
      <w:r w:rsidRPr="6270CBC5">
        <w:rPr>
          <w:rStyle w:val="FootnoteReference"/>
          <w:sz w:val="20"/>
          <w:szCs w:val="20"/>
        </w:rPr>
        <w:footnoteRef/>
      </w:r>
      <w:r w:rsidRPr="6270CBC5" w:rsidR="6270CBC5">
        <w:rPr>
          <w:sz w:val="20"/>
          <w:szCs w:val="20"/>
        </w:rPr>
        <w:t xml:space="preserve"> Greenbaum, D., Ross, Micah., </w:t>
      </w:r>
      <w:r w:rsidRPr="6270CBC5" w:rsidR="6270CBC5">
        <w:rPr>
          <w:b w:val="0"/>
          <w:bCs w:val="0"/>
          <w:i w:val="0"/>
          <w:iCs w:val="0"/>
          <w:caps w:val="0"/>
          <w:smallCaps w:val="0"/>
          <w:noProof w:val="0"/>
          <w:color w:val="283041"/>
          <w:sz w:val="21"/>
          <w:szCs w:val="21"/>
          <w:lang w:val="en-GB"/>
        </w:rPr>
        <w:t xml:space="preserve">'The Role of Egypt in the Development of the Horoscope'. In </w:t>
      </w:r>
      <w:r w:rsidRPr="6270CBC5" w:rsidR="6270CBC5">
        <w:rPr>
          <w:b w:val="0"/>
          <w:bCs w:val="0"/>
          <w:i w:val="1"/>
          <w:iCs w:val="1"/>
          <w:caps w:val="0"/>
          <w:smallCaps w:val="0"/>
          <w:noProof w:val="0"/>
          <w:color w:val="283041"/>
          <w:sz w:val="21"/>
          <w:szCs w:val="21"/>
          <w:lang w:val="en-GB"/>
        </w:rPr>
        <w:t>Egypt in Transition: Social and Religious Development of Egypt in the First Millennium BCE</w:t>
      </w:r>
      <w:r w:rsidRPr="6270CBC5" w:rsidR="6270CBC5">
        <w:rPr>
          <w:b w:val="0"/>
          <w:bCs w:val="0"/>
          <w:i w:val="0"/>
          <w:iCs w:val="0"/>
          <w:caps w:val="0"/>
          <w:smallCaps w:val="0"/>
          <w:noProof w:val="0"/>
          <w:color w:val="283041"/>
          <w:sz w:val="21"/>
          <w:szCs w:val="21"/>
          <w:lang w:val="en-GB"/>
        </w:rPr>
        <w:t xml:space="preserve">, edited by Ladislav Bareš, Filip Coppens and Kveta </w:t>
      </w:r>
      <w:proofErr w:type="spellStart"/>
      <w:r w:rsidRPr="6270CBC5" w:rsidR="6270CBC5">
        <w:rPr>
          <w:b w:val="0"/>
          <w:bCs w:val="0"/>
          <w:i w:val="0"/>
          <w:iCs w:val="0"/>
          <w:caps w:val="0"/>
          <w:smallCaps w:val="0"/>
          <w:noProof w:val="0"/>
          <w:color w:val="283041"/>
          <w:sz w:val="21"/>
          <w:szCs w:val="21"/>
          <w:lang w:val="en-GB"/>
        </w:rPr>
        <w:t>Smolarikova</w:t>
      </w:r>
      <w:proofErr w:type="spellEnd"/>
      <w:r w:rsidRPr="6270CBC5" w:rsidR="6270CBC5">
        <w:rPr>
          <w:b w:val="0"/>
          <w:bCs w:val="0"/>
          <w:i w:val="0"/>
          <w:iCs w:val="0"/>
          <w:caps w:val="0"/>
          <w:smallCaps w:val="0"/>
          <w:noProof w:val="0"/>
          <w:color w:val="283041"/>
          <w:sz w:val="21"/>
          <w:szCs w:val="21"/>
          <w:lang w:val="en-GB"/>
        </w:rPr>
        <w:t>, 146-82, Prague: Faculty of Arts, Charles University in Prague, 2010.</w:t>
      </w:r>
    </w:p>
  </w:footnote>
  <w:footnote w:id="25358">
    <w:p w:rsidR="630F0401" w:rsidP="630F0401" w:rsidRDefault="630F0401" w14:paraId="68481C88" w14:textId="65BA7856">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30F0401">
        <w:rPr>
          <w:rStyle w:val="FootnoteReference"/>
          <w:sz w:val="20"/>
          <w:szCs w:val="20"/>
        </w:rPr>
        <w:footnoteRef/>
      </w:r>
      <w:r w:rsidRPr="630F0401" w:rsidR="630F0401">
        <w:rPr>
          <w:sz w:val="20"/>
          <w:szCs w:val="20"/>
        </w:rPr>
        <w:t xml:space="preserve"> </w:t>
      </w:r>
      <w:r w:rsidRPr="630F0401" w:rsidR="630F0401">
        <w:rPr>
          <w:sz w:val="22"/>
          <w:szCs w:val="22"/>
        </w:rPr>
        <w:t>Greenbaum, Dorian. “Cosmology, Magic and Divination – Ancient Divination in Egypt and the Near East” March 15, 2022. PowerPoint Presentation.</w:t>
      </w:r>
    </w:p>
  </w:footnote>
  <w:footnote w:id="16981">
    <w:p w:rsidR="630F0401" w:rsidP="630F0401" w:rsidRDefault="630F0401" w14:paraId="45609552" w14:textId="51C2A82C">
      <w:pPr>
        <w:pStyle w:val="FootnoteText"/>
        <w:bidi w:val="0"/>
        <w:rPr>
          <w:i w:val="0"/>
          <w:iCs w:val="0"/>
          <w:sz w:val="20"/>
          <w:szCs w:val="20"/>
        </w:rPr>
      </w:pPr>
      <w:r w:rsidRPr="630F0401">
        <w:rPr>
          <w:rStyle w:val="FootnoteReference"/>
          <w:sz w:val="20"/>
          <w:szCs w:val="20"/>
        </w:rPr>
        <w:footnoteRef/>
      </w:r>
      <w:r w:rsidRPr="630F0401" w:rsidR="630F0401">
        <w:rPr>
          <w:sz w:val="20"/>
          <w:szCs w:val="20"/>
        </w:rPr>
        <w:t xml:space="preserve"> </w:t>
      </w:r>
      <w:r w:rsidRPr="630F0401" w:rsidR="630F0401">
        <w:rPr>
          <w:sz w:val="20"/>
          <w:szCs w:val="20"/>
        </w:rPr>
        <w:t xml:space="preserve">Aylward M. Blackman, “Oracles </w:t>
      </w:r>
      <w:r w:rsidRPr="630F0401" w:rsidR="630F0401">
        <w:rPr>
          <w:sz w:val="20"/>
          <w:szCs w:val="20"/>
        </w:rPr>
        <w:t>In</w:t>
      </w:r>
      <w:r w:rsidRPr="630F0401" w:rsidR="630F0401">
        <w:rPr>
          <w:sz w:val="20"/>
          <w:szCs w:val="20"/>
        </w:rPr>
        <w:t xml:space="preserve"> Ancient Egypt”, </w:t>
      </w:r>
      <w:r w:rsidRPr="630F0401" w:rsidR="630F0401">
        <w:rPr>
          <w:i w:val="1"/>
          <w:iCs w:val="1"/>
          <w:sz w:val="20"/>
          <w:szCs w:val="20"/>
        </w:rPr>
        <w:t xml:space="preserve">The Journal Egyptian Archaeology, </w:t>
      </w:r>
      <w:r w:rsidRPr="630F0401" w:rsidR="630F0401">
        <w:rPr>
          <w:i w:val="0"/>
          <w:iCs w:val="0"/>
          <w:sz w:val="20"/>
          <w:szCs w:val="20"/>
        </w:rPr>
        <w:t>11.3/4 (1925), 253-255</w:t>
      </w:r>
    </w:p>
  </w:footnote>
  <w:footnote w:id="3624">
    <w:p w:rsidR="630F0401" w:rsidP="630F0401" w:rsidRDefault="630F0401" w14:paraId="1AB6245E" w14:textId="19C54357">
      <w:pPr>
        <w:pStyle w:val="FootnoteText"/>
        <w:bidi w:val="0"/>
        <w:rPr>
          <w:sz w:val="20"/>
          <w:szCs w:val="20"/>
        </w:rPr>
      </w:pPr>
      <w:r w:rsidRPr="630F0401">
        <w:rPr>
          <w:rStyle w:val="FootnoteReference"/>
          <w:sz w:val="20"/>
          <w:szCs w:val="20"/>
        </w:rPr>
        <w:footnoteRef/>
      </w:r>
      <w:r w:rsidRPr="630F0401" w:rsidR="630F0401">
        <w:rPr>
          <w:sz w:val="20"/>
          <w:szCs w:val="20"/>
        </w:rPr>
        <w:t xml:space="preserve"> </w:t>
      </w:r>
      <w:r w:rsidRPr="630F0401" w:rsidR="630F0401">
        <w:rPr>
          <w:sz w:val="20"/>
          <w:szCs w:val="20"/>
        </w:rPr>
        <w:t>Redford 2002, 299</w:t>
      </w:r>
    </w:p>
  </w:footnote>
  <w:footnote w:id="32555">
    <w:p w:rsidR="630F0401" w:rsidP="630F0401" w:rsidRDefault="630F0401" w14:paraId="09AC0FBD" w14:textId="379E5BE0">
      <w:pPr>
        <w:pStyle w:val="FootnoteText"/>
        <w:bidi w:val="0"/>
        <w:rPr>
          <w:b w:val="0"/>
          <w:bCs w:val="0"/>
          <w:i w:val="0"/>
          <w:iCs w:val="0"/>
          <w:caps w:val="0"/>
          <w:smallCaps w:val="0"/>
          <w:noProof w:val="0"/>
          <w:color w:val="283041"/>
          <w:sz w:val="21"/>
          <w:szCs w:val="21"/>
          <w:lang w:val="en-GB"/>
        </w:rPr>
      </w:pPr>
      <w:r w:rsidRPr="630F0401">
        <w:rPr>
          <w:rStyle w:val="FootnoteReference"/>
          <w:sz w:val="20"/>
          <w:szCs w:val="20"/>
        </w:rPr>
        <w:footnoteRef/>
      </w:r>
      <w:r w:rsidRPr="630F0401" w:rsidR="630F0401">
        <w:rPr>
          <w:sz w:val="20"/>
          <w:szCs w:val="20"/>
        </w:rPr>
        <w:t xml:space="preserve"> </w:t>
      </w:r>
      <w:r w:rsidRPr="630F0401" w:rsidR="630F0401">
        <w:rPr>
          <w:b w:val="0"/>
          <w:bCs w:val="0"/>
          <w:i w:val="0"/>
          <w:iCs w:val="0"/>
          <w:caps w:val="0"/>
          <w:smallCaps w:val="0"/>
          <w:noProof w:val="0"/>
          <w:color w:val="283041"/>
          <w:sz w:val="21"/>
          <w:szCs w:val="21"/>
          <w:lang w:val="en-GB"/>
        </w:rPr>
        <w:t xml:space="preserve">Kruchten, Jean-Marie. ‘Oracles’ in Redford’s </w:t>
      </w:r>
      <w:r w:rsidRPr="630F0401" w:rsidR="630F0401">
        <w:rPr>
          <w:b w:val="0"/>
          <w:bCs w:val="0"/>
          <w:i w:val="1"/>
          <w:iCs w:val="1"/>
          <w:caps w:val="0"/>
          <w:smallCaps w:val="0"/>
          <w:noProof w:val="0"/>
          <w:color w:val="283041"/>
          <w:sz w:val="21"/>
          <w:szCs w:val="21"/>
          <w:lang w:val="en-GB"/>
        </w:rPr>
        <w:t>The Ancient Gods Speak</w:t>
      </w:r>
    </w:p>
  </w:footnote>
  <w:footnote w:id="11015">
    <w:p w:rsidR="630F0401" w:rsidP="630F0401" w:rsidRDefault="630F0401" w14:paraId="29ED598E" w14:textId="1C58C512">
      <w:pPr>
        <w:pStyle w:val="FootnoteText"/>
        <w:bidi w:val="0"/>
        <w:rPr>
          <w:b w:val="0"/>
          <w:bCs w:val="0"/>
          <w:i w:val="0"/>
          <w:iCs w:val="0"/>
          <w:caps w:val="0"/>
          <w:smallCaps w:val="0"/>
          <w:noProof w:val="0"/>
          <w:color w:val="283041"/>
          <w:sz w:val="21"/>
          <w:szCs w:val="21"/>
          <w:lang w:val="en-GB"/>
        </w:rPr>
      </w:pPr>
      <w:r w:rsidRPr="630F0401">
        <w:rPr>
          <w:rStyle w:val="FootnoteReference"/>
          <w:sz w:val="20"/>
          <w:szCs w:val="20"/>
        </w:rPr>
        <w:footnoteRef/>
      </w:r>
      <w:r w:rsidRPr="630F0401" w:rsidR="630F0401">
        <w:rPr>
          <w:sz w:val="20"/>
          <w:szCs w:val="20"/>
        </w:rPr>
        <w:t xml:space="preserve"> </w:t>
      </w:r>
      <w:r w:rsidRPr="630F0401" w:rsidR="630F0401">
        <w:rPr>
          <w:b w:val="0"/>
          <w:bCs w:val="0"/>
          <w:i w:val="0"/>
          <w:iCs w:val="0"/>
          <w:caps w:val="0"/>
          <w:smallCaps w:val="0"/>
          <w:noProof w:val="0"/>
          <w:color w:val="283041"/>
          <w:sz w:val="21"/>
          <w:szCs w:val="21"/>
          <w:lang w:val="en-GB"/>
        </w:rPr>
        <w:t xml:space="preserve">Kruchten, Jean-Marie. ‘Oracles’ in Redford’s </w:t>
      </w:r>
      <w:r w:rsidRPr="630F0401" w:rsidR="630F0401">
        <w:rPr>
          <w:b w:val="0"/>
          <w:bCs w:val="0"/>
          <w:i w:val="1"/>
          <w:iCs w:val="1"/>
          <w:caps w:val="0"/>
          <w:smallCaps w:val="0"/>
          <w:noProof w:val="0"/>
          <w:color w:val="283041"/>
          <w:sz w:val="21"/>
          <w:szCs w:val="21"/>
          <w:lang w:val="en-GB"/>
        </w:rPr>
        <w:t>The Ancient Gods Speak</w:t>
      </w:r>
    </w:p>
  </w:footnote>
  <w:footnote w:id="9580">
    <w:p w:rsidR="630F0401" w:rsidP="630F0401" w:rsidRDefault="630F0401" w14:paraId="216995DC" w14:textId="55FD00AA">
      <w:pPr>
        <w:pStyle w:val="FootnoteText"/>
        <w:bidi w:val="0"/>
        <w:rPr>
          <w:noProof w:val="0"/>
          <w:sz w:val="20"/>
          <w:szCs w:val="20"/>
          <w:lang w:val="en-GB"/>
        </w:rPr>
      </w:pPr>
      <w:r w:rsidRPr="630F0401">
        <w:rPr>
          <w:rStyle w:val="FootnoteReference"/>
          <w:sz w:val="20"/>
          <w:szCs w:val="20"/>
        </w:rPr>
        <w:footnoteRef/>
      </w:r>
      <w:r w:rsidRPr="630F0401" w:rsidR="630F0401">
        <w:rPr>
          <w:sz w:val="20"/>
          <w:szCs w:val="20"/>
        </w:rPr>
        <w:t xml:space="preserve"> </w:t>
      </w:r>
      <w:proofErr w:type="spellStart"/>
      <w:r w:rsidRPr="630F0401" w:rsidR="630F0401">
        <w:rPr>
          <w:sz w:val="20"/>
          <w:szCs w:val="20"/>
        </w:rPr>
        <w:t>Dunand</w:t>
      </w:r>
      <w:proofErr w:type="spellEnd"/>
      <w:r w:rsidRPr="630F0401" w:rsidR="630F0401">
        <w:rPr>
          <w:sz w:val="20"/>
          <w:szCs w:val="20"/>
        </w:rPr>
        <w:t xml:space="preserve"> and Zivie-Coche 2004, p. 135; trans. based on S. </w:t>
      </w:r>
      <w:proofErr w:type="spellStart"/>
      <w:r w:rsidRPr="630F0401" w:rsidR="630F0401">
        <w:rPr>
          <w:sz w:val="20"/>
          <w:szCs w:val="20"/>
        </w:rPr>
        <w:t>Sauneron</w:t>
      </w:r>
      <w:proofErr w:type="spellEnd"/>
      <w:r w:rsidRPr="630F0401" w:rsidR="630F0401">
        <w:rPr>
          <w:sz w:val="20"/>
          <w:szCs w:val="20"/>
        </w:rPr>
        <w:t xml:space="preserve">, Les </w:t>
      </w:r>
      <w:proofErr w:type="spellStart"/>
      <w:r w:rsidRPr="630F0401" w:rsidR="630F0401">
        <w:rPr>
          <w:sz w:val="20"/>
          <w:szCs w:val="20"/>
        </w:rPr>
        <w:t>songes</w:t>
      </w:r>
      <w:proofErr w:type="spellEnd"/>
      <w:r w:rsidRPr="630F0401" w:rsidR="630F0401">
        <w:rPr>
          <w:sz w:val="20"/>
          <w:szCs w:val="20"/>
        </w:rPr>
        <w:t xml:space="preserve"> et </w:t>
      </w:r>
      <w:proofErr w:type="spellStart"/>
      <w:r w:rsidRPr="630F0401" w:rsidR="630F0401">
        <w:rPr>
          <w:sz w:val="20"/>
          <w:szCs w:val="20"/>
        </w:rPr>
        <w:t>leur</w:t>
      </w:r>
      <w:proofErr w:type="spellEnd"/>
      <w:r w:rsidRPr="630F0401" w:rsidR="630F0401">
        <w:rPr>
          <w:sz w:val="20"/>
          <w:szCs w:val="20"/>
        </w:rPr>
        <w:t xml:space="preserve"> </w:t>
      </w:r>
      <w:proofErr w:type="spellStart"/>
      <w:r w:rsidRPr="630F0401" w:rsidR="630F0401">
        <w:rPr>
          <w:sz w:val="20"/>
          <w:szCs w:val="20"/>
        </w:rPr>
        <w:t>interprétation</w:t>
      </w:r>
      <w:proofErr w:type="spellEnd"/>
      <w:r w:rsidRPr="630F0401" w:rsidR="630F0401">
        <w:rPr>
          <w:sz w:val="20"/>
          <w:szCs w:val="20"/>
        </w:rPr>
        <w:t xml:space="preserve"> (Paris, 1959), p. 134</w:t>
      </w:r>
    </w:p>
    <w:p w:rsidR="630F0401" w:rsidP="630F0401" w:rsidRDefault="630F0401" w14:paraId="1CCD6216" w14:textId="7E59F4E3">
      <w:pPr>
        <w:pStyle w:val="FootnoteText"/>
        <w:bidi w:val="0"/>
        <w:rPr>
          <w:sz w:val="20"/>
          <w:szCs w:val="20"/>
        </w:rPr>
      </w:pPr>
    </w:p>
  </w:footnote>
  <w:footnote w:id="12304">
    <w:p w:rsidR="630F0401" w:rsidP="630F0401" w:rsidRDefault="630F0401" w14:paraId="762AC55D" w14:textId="0442A59E">
      <w:pPr>
        <w:pStyle w:val="FootnoteText"/>
        <w:bidi w:val="0"/>
        <w:rPr>
          <w:noProof w:val="0"/>
          <w:sz w:val="20"/>
          <w:szCs w:val="20"/>
          <w:lang w:val="en-GB"/>
        </w:rPr>
      </w:pPr>
      <w:r w:rsidRPr="630F0401">
        <w:rPr>
          <w:rStyle w:val="FootnoteReference"/>
          <w:sz w:val="20"/>
          <w:szCs w:val="20"/>
        </w:rPr>
        <w:footnoteRef/>
      </w:r>
      <w:r w:rsidRPr="630F0401" w:rsidR="630F0401">
        <w:rPr>
          <w:sz w:val="20"/>
          <w:szCs w:val="20"/>
        </w:rPr>
        <w:t xml:space="preserve"> </w:t>
      </w:r>
      <w:proofErr w:type="spellStart"/>
      <w:r w:rsidRPr="630F0401" w:rsidR="630F0401">
        <w:rPr>
          <w:sz w:val="20"/>
          <w:szCs w:val="20"/>
        </w:rPr>
        <w:t>Dunand</w:t>
      </w:r>
      <w:proofErr w:type="spellEnd"/>
      <w:r w:rsidRPr="630F0401" w:rsidR="630F0401">
        <w:rPr>
          <w:sz w:val="20"/>
          <w:szCs w:val="20"/>
        </w:rPr>
        <w:t xml:space="preserve"> and Zivie-Coche 2004, p. 135; trans. based on S. </w:t>
      </w:r>
      <w:proofErr w:type="spellStart"/>
      <w:r w:rsidRPr="630F0401" w:rsidR="630F0401">
        <w:rPr>
          <w:sz w:val="20"/>
          <w:szCs w:val="20"/>
        </w:rPr>
        <w:t>Sauneron</w:t>
      </w:r>
      <w:proofErr w:type="spellEnd"/>
      <w:r w:rsidRPr="630F0401" w:rsidR="630F0401">
        <w:rPr>
          <w:sz w:val="20"/>
          <w:szCs w:val="20"/>
        </w:rPr>
        <w:t xml:space="preserve">, Les </w:t>
      </w:r>
      <w:proofErr w:type="spellStart"/>
      <w:r w:rsidRPr="630F0401" w:rsidR="630F0401">
        <w:rPr>
          <w:sz w:val="20"/>
          <w:szCs w:val="20"/>
        </w:rPr>
        <w:t>songes</w:t>
      </w:r>
      <w:proofErr w:type="spellEnd"/>
      <w:r w:rsidRPr="630F0401" w:rsidR="630F0401">
        <w:rPr>
          <w:sz w:val="20"/>
          <w:szCs w:val="20"/>
        </w:rPr>
        <w:t xml:space="preserve"> et </w:t>
      </w:r>
      <w:proofErr w:type="spellStart"/>
      <w:r w:rsidRPr="630F0401" w:rsidR="630F0401">
        <w:rPr>
          <w:sz w:val="20"/>
          <w:szCs w:val="20"/>
        </w:rPr>
        <w:t>leur</w:t>
      </w:r>
      <w:proofErr w:type="spellEnd"/>
      <w:r w:rsidRPr="630F0401" w:rsidR="630F0401">
        <w:rPr>
          <w:sz w:val="20"/>
          <w:szCs w:val="20"/>
        </w:rPr>
        <w:t xml:space="preserve"> </w:t>
      </w:r>
      <w:proofErr w:type="spellStart"/>
      <w:r w:rsidRPr="630F0401" w:rsidR="630F0401">
        <w:rPr>
          <w:sz w:val="20"/>
          <w:szCs w:val="20"/>
        </w:rPr>
        <w:t>interprétation</w:t>
      </w:r>
      <w:proofErr w:type="spellEnd"/>
      <w:r w:rsidRPr="630F0401" w:rsidR="630F0401">
        <w:rPr>
          <w:sz w:val="20"/>
          <w:szCs w:val="20"/>
        </w:rPr>
        <w:t xml:space="preserve"> (Paris, 1959), p. 134</w:t>
      </w:r>
    </w:p>
  </w:footnote>
  <w:footnote w:id="18412">
    <w:p w:rsidR="630F0401" w:rsidP="630F0401" w:rsidRDefault="630F0401" w14:paraId="0A754532" w14:textId="33C9EE9E">
      <w:pPr>
        <w:pStyle w:val="FootnoteText"/>
        <w:bidi w:val="0"/>
        <w:rPr>
          <w:rFonts w:ascii="Calibri" w:hAnsi="Calibri" w:eastAsia="Calibri" w:cs="Calibri"/>
          <w:b w:val="0"/>
          <w:bCs w:val="0"/>
          <w:i w:val="0"/>
          <w:iCs w:val="0"/>
          <w:caps w:val="0"/>
          <w:smallCaps w:val="0"/>
          <w:noProof w:val="0"/>
          <w:color w:val="000000" w:themeColor="text1" w:themeTint="FF" w:themeShade="FF"/>
          <w:sz w:val="20"/>
          <w:szCs w:val="20"/>
          <w:lang w:val="en-GB"/>
        </w:rPr>
      </w:pPr>
      <w:r w:rsidRPr="630F0401">
        <w:rPr>
          <w:rStyle w:val="FootnoteReference"/>
          <w:sz w:val="20"/>
          <w:szCs w:val="20"/>
        </w:rPr>
        <w:footnoteRef/>
      </w:r>
      <w:r w:rsidRPr="630F0401" w:rsidR="630F0401">
        <w:rPr>
          <w:sz w:val="20"/>
          <w:szCs w:val="20"/>
        </w:rPr>
        <w:t xml:space="preserve"> </w:t>
      </w:r>
      <w:r w:rsidRPr="630F0401" w:rsidR="630F0401">
        <w:rPr>
          <w:sz w:val="22"/>
          <w:szCs w:val="22"/>
        </w:rPr>
        <w:t>Greenbaum, Dorian. “Cosmology, Magic and Divination – Ancient Divination in Egypt and the Near East” March 15, 2022. PowerPoint Presentation.</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4C0A1E" w:rsidTr="064C0A1E" w14:paraId="7320E22B">
      <w:tc>
        <w:tcPr>
          <w:tcW w:w="3005" w:type="dxa"/>
          <w:tcMar/>
        </w:tcPr>
        <w:p w:rsidR="064C0A1E" w:rsidP="064C0A1E" w:rsidRDefault="064C0A1E" w14:paraId="2327749A" w14:textId="0D6E2DFE">
          <w:pPr>
            <w:pStyle w:val="Header"/>
            <w:bidi w:val="0"/>
            <w:ind w:left="-115"/>
            <w:jc w:val="left"/>
          </w:pPr>
          <w:r w:rsidR="064C0A1E">
            <w:rPr/>
            <w:t>Emily Wilkinson</w:t>
          </w:r>
        </w:p>
        <w:p w:rsidR="064C0A1E" w:rsidP="064C0A1E" w:rsidRDefault="064C0A1E" w14:paraId="77F70A2A" w14:textId="459E50C8">
          <w:pPr>
            <w:pStyle w:val="Header"/>
            <w:bidi w:val="0"/>
            <w:ind w:left="-115"/>
            <w:jc w:val="left"/>
          </w:pPr>
          <w:r w:rsidR="064C0A1E">
            <w:rPr/>
            <w:t>2025536</w:t>
          </w:r>
        </w:p>
        <w:p w:rsidR="064C0A1E" w:rsidP="064C0A1E" w:rsidRDefault="064C0A1E" w14:paraId="2B8EFEEA" w14:textId="7986EE57">
          <w:pPr>
            <w:pStyle w:val="Header"/>
            <w:bidi w:val="0"/>
            <w:ind w:left="-115"/>
            <w:jc w:val="left"/>
          </w:pPr>
          <w:r w:rsidR="064C0A1E">
            <w:rPr/>
            <w:t>HPCA7027</w:t>
          </w:r>
        </w:p>
        <w:p w:rsidR="064C0A1E" w:rsidP="064C0A1E" w:rsidRDefault="064C0A1E" w14:paraId="0A4A702F" w14:textId="441A034F">
          <w:pPr>
            <w:pStyle w:val="Header"/>
            <w:bidi w:val="0"/>
            <w:ind w:left="-115"/>
            <w:jc w:val="left"/>
          </w:pPr>
          <w:r w:rsidR="064C0A1E">
            <w:rPr/>
            <w:t>Essay 2</w:t>
          </w:r>
        </w:p>
      </w:tc>
      <w:tc>
        <w:tcPr>
          <w:tcW w:w="3005" w:type="dxa"/>
          <w:tcMar/>
        </w:tcPr>
        <w:p w:rsidR="064C0A1E" w:rsidP="064C0A1E" w:rsidRDefault="064C0A1E" w14:paraId="5F6B466C" w14:textId="6D2B2D12">
          <w:pPr>
            <w:pStyle w:val="Header"/>
            <w:bidi w:val="0"/>
            <w:jc w:val="center"/>
          </w:pPr>
        </w:p>
      </w:tc>
      <w:tc>
        <w:tcPr>
          <w:tcW w:w="3005" w:type="dxa"/>
          <w:tcMar/>
        </w:tcPr>
        <w:p w:rsidR="064C0A1E" w:rsidP="064C0A1E" w:rsidRDefault="064C0A1E" w14:paraId="308C8B9A" w14:textId="35640D29">
          <w:pPr>
            <w:pStyle w:val="Header"/>
            <w:bidi w:val="0"/>
            <w:ind w:right="-115"/>
            <w:jc w:val="right"/>
          </w:pPr>
        </w:p>
      </w:tc>
    </w:tr>
  </w:tbl>
  <w:p w:rsidR="064C0A1E" w:rsidP="064C0A1E" w:rsidRDefault="064C0A1E" w14:paraId="666615C0" w14:textId="320610C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D38258"/>
    <w:rsid w:val="0057EEB1"/>
    <w:rsid w:val="011AE36E"/>
    <w:rsid w:val="02E78205"/>
    <w:rsid w:val="02EEA4A3"/>
    <w:rsid w:val="02EEA4A3"/>
    <w:rsid w:val="0447CC45"/>
    <w:rsid w:val="044C1FA9"/>
    <w:rsid w:val="044C1FA9"/>
    <w:rsid w:val="0464F88F"/>
    <w:rsid w:val="04CA68D1"/>
    <w:rsid w:val="0528554C"/>
    <w:rsid w:val="053249C5"/>
    <w:rsid w:val="05DEDDC4"/>
    <w:rsid w:val="05DEDDC4"/>
    <w:rsid w:val="064C0A1E"/>
    <w:rsid w:val="0687B2C1"/>
    <w:rsid w:val="06A047C3"/>
    <w:rsid w:val="06C86342"/>
    <w:rsid w:val="06C86342"/>
    <w:rsid w:val="06CE1A26"/>
    <w:rsid w:val="06CE1A26"/>
    <w:rsid w:val="06EC565C"/>
    <w:rsid w:val="06EC565C"/>
    <w:rsid w:val="07485531"/>
    <w:rsid w:val="07512CC8"/>
    <w:rsid w:val="0831DF28"/>
    <w:rsid w:val="0831DF28"/>
    <w:rsid w:val="085B1310"/>
    <w:rsid w:val="085FF60E"/>
    <w:rsid w:val="085FF60E"/>
    <w:rsid w:val="0869EA87"/>
    <w:rsid w:val="093D9B2C"/>
    <w:rsid w:val="0A000404"/>
    <w:rsid w:val="0A7CB21F"/>
    <w:rsid w:val="0AB70DC9"/>
    <w:rsid w:val="0AC29678"/>
    <w:rsid w:val="0B385EBF"/>
    <w:rsid w:val="0B5A9089"/>
    <w:rsid w:val="0B61DBFF"/>
    <w:rsid w:val="0B61DBFF"/>
    <w:rsid w:val="0B9BD465"/>
    <w:rsid w:val="0C2CBD47"/>
    <w:rsid w:val="0C2CBD47"/>
    <w:rsid w:val="0D37A4C6"/>
    <w:rsid w:val="0D37A4C6"/>
    <w:rsid w:val="0D515908"/>
    <w:rsid w:val="0D515908"/>
    <w:rsid w:val="0D9D140D"/>
    <w:rsid w:val="0D9D140D"/>
    <w:rsid w:val="0DB452E1"/>
    <w:rsid w:val="0DC58DB8"/>
    <w:rsid w:val="0E805464"/>
    <w:rsid w:val="0F38E46E"/>
    <w:rsid w:val="0F502342"/>
    <w:rsid w:val="0F7FD8B3"/>
    <w:rsid w:val="0F96BFD6"/>
    <w:rsid w:val="0FACDCB0"/>
    <w:rsid w:val="0FE55E81"/>
    <w:rsid w:val="100D1B78"/>
    <w:rsid w:val="10354D22"/>
    <w:rsid w:val="1069E8B3"/>
    <w:rsid w:val="1069E8B3"/>
    <w:rsid w:val="10F724FD"/>
    <w:rsid w:val="10F724FD"/>
    <w:rsid w:val="111967DA"/>
    <w:rsid w:val="111967DA"/>
    <w:rsid w:val="11E9FC45"/>
    <w:rsid w:val="11FF33CA"/>
    <w:rsid w:val="124FAEAC"/>
    <w:rsid w:val="125CBAFF"/>
    <w:rsid w:val="12C38074"/>
    <w:rsid w:val="12E47D72"/>
    <w:rsid w:val="136CEDE4"/>
    <w:rsid w:val="13EB7F0D"/>
    <w:rsid w:val="14804DD3"/>
    <w:rsid w:val="14F868C3"/>
    <w:rsid w:val="15175758"/>
    <w:rsid w:val="15388AA5"/>
    <w:rsid w:val="15388AA5"/>
    <w:rsid w:val="153D59D6"/>
    <w:rsid w:val="15ECD8FD"/>
    <w:rsid w:val="16232B46"/>
    <w:rsid w:val="16232B46"/>
    <w:rsid w:val="16A13666"/>
    <w:rsid w:val="16A13666"/>
    <w:rsid w:val="16D45B06"/>
    <w:rsid w:val="177F293C"/>
    <w:rsid w:val="177F293C"/>
    <w:rsid w:val="17B7EE95"/>
    <w:rsid w:val="17B7EE95"/>
    <w:rsid w:val="180017A6"/>
    <w:rsid w:val="180017A6"/>
    <w:rsid w:val="18702B67"/>
    <w:rsid w:val="18F70588"/>
    <w:rsid w:val="18F70588"/>
    <w:rsid w:val="190236E2"/>
    <w:rsid w:val="19AFDE8E"/>
    <w:rsid w:val="19BA9FAE"/>
    <w:rsid w:val="19F7A29C"/>
    <w:rsid w:val="1A42086E"/>
    <w:rsid w:val="1AB011E3"/>
    <w:rsid w:val="1AB011E3"/>
    <w:rsid w:val="1ABF91E5"/>
    <w:rsid w:val="1B2D6DA1"/>
    <w:rsid w:val="1CC93E02"/>
    <w:rsid w:val="1CF24070"/>
    <w:rsid w:val="1D730B5D"/>
    <w:rsid w:val="1D9560A4"/>
    <w:rsid w:val="1DCA76AB"/>
    <w:rsid w:val="1DD26431"/>
    <w:rsid w:val="1DD57951"/>
    <w:rsid w:val="1DD57951"/>
    <w:rsid w:val="1DD5A805"/>
    <w:rsid w:val="1DD5A805"/>
    <w:rsid w:val="1E971A3E"/>
    <w:rsid w:val="1EDF6CEB"/>
    <w:rsid w:val="1F66470C"/>
    <w:rsid w:val="1F66470C"/>
    <w:rsid w:val="1F717866"/>
    <w:rsid w:val="1F93BB43"/>
    <w:rsid w:val="1FACE3A0"/>
    <w:rsid w:val="1FACE3A0"/>
    <w:rsid w:val="2032488F"/>
    <w:rsid w:val="207B3D4C"/>
    <w:rsid w:val="20BA8256"/>
    <w:rsid w:val="20F3C23E"/>
    <w:rsid w:val="2102176D"/>
    <w:rsid w:val="210A04F3"/>
    <w:rsid w:val="210A04F3"/>
    <w:rsid w:val="210D48C7"/>
    <w:rsid w:val="212F8BA4"/>
    <w:rsid w:val="215ED0DB"/>
    <w:rsid w:val="21E7E35D"/>
    <w:rsid w:val="225652B7"/>
    <w:rsid w:val="2271ED42"/>
    <w:rsid w:val="22A8EA74"/>
    <w:rsid w:val="22A91928"/>
    <w:rsid w:val="22FAA13C"/>
    <w:rsid w:val="236A8B61"/>
    <w:rsid w:val="2383B3BE"/>
    <w:rsid w:val="2383B3BE"/>
    <w:rsid w:val="23F34176"/>
    <w:rsid w:val="240DBDA3"/>
    <w:rsid w:val="242B6300"/>
    <w:rsid w:val="24368D40"/>
    <w:rsid w:val="2444E989"/>
    <w:rsid w:val="2444E989"/>
    <w:rsid w:val="246E61B1"/>
    <w:rsid w:val="246F19EC"/>
    <w:rsid w:val="24CB5C06"/>
    <w:rsid w:val="24E6F717"/>
    <w:rsid w:val="24F1596C"/>
    <w:rsid w:val="24F9ED1F"/>
    <w:rsid w:val="24F9ED1F"/>
    <w:rsid w:val="251F841F"/>
    <w:rsid w:val="256153E0"/>
    <w:rsid w:val="25D58890"/>
    <w:rsid w:val="25D58890"/>
    <w:rsid w:val="25DD7616"/>
    <w:rsid w:val="25E0B9EA"/>
    <w:rsid w:val="27794677"/>
    <w:rsid w:val="27794677"/>
    <w:rsid w:val="27954D06"/>
    <w:rsid w:val="27A60273"/>
    <w:rsid w:val="27E3097E"/>
    <w:rsid w:val="283DFC84"/>
    <w:rsid w:val="283DFC84"/>
    <w:rsid w:val="28602E4E"/>
    <w:rsid w:val="28864F31"/>
    <w:rsid w:val="28864F31"/>
    <w:rsid w:val="28F0D606"/>
    <w:rsid w:val="291516D8"/>
    <w:rsid w:val="293252D2"/>
    <w:rsid w:val="293252D2"/>
    <w:rsid w:val="293A9D89"/>
    <w:rsid w:val="29830B1D"/>
    <w:rsid w:val="29AF33BE"/>
    <w:rsid w:val="29AFAE90"/>
    <w:rsid w:val="29BEFFDE"/>
    <w:rsid w:val="29D9CCE5"/>
    <w:rsid w:val="29F00B7D"/>
    <w:rsid w:val="29FBFEAF"/>
    <w:rsid w:val="2A9AA484"/>
    <w:rsid w:val="2AE57376"/>
    <w:rsid w:val="2AE9803C"/>
    <w:rsid w:val="2B85BB97"/>
    <w:rsid w:val="2BBDEFF3"/>
    <w:rsid w:val="2BEB89A9"/>
    <w:rsid w:val="2BEB89A9"/>
    <w:rsid w:val="2C4F95CC"/>
    <w:rsid w:val="2C8143D7"/>
    <w:rsid w:val="2C9D59BA"/>
    <w:rsid w:val="2CBC6AD1"/>
    <w:rsid w:val="2CBC6AD1"/>
    <w:rsid w:val="2D22A87E"/>
    <w:rsid w:val="2D27AC3F"/>
    <w:rsid w:val="2D426DF6"/>
    <w:rsid w:val="2D4CD8E1"/>
    <w:rsid w:val="2DA161E0"/>
    <w:rsid w:val="2DC44729"/>
    <w:rsid w:val="2EEF0DC9"/>
    <w:rsid w:val="2F84585C"/>
    <w:rsid w:val="2F8F2414"/>
    <w:rsid w:val="2FDC5B22"/>
    <w:rsid w:val="2FE7FBBB"/>
    <w:rsid w:val="30120ABC"/>
    <w:rsid w:val="3048B03D"/>
    <w:rsid w:val="308479A3"/>
    <w:rsid w:val="308479A3"/>
    <w:rsid w:val="30B67AE6"/>
    <w:rsid w:val="30B67AE6"/>
    <w:rsid w:val="311BEB28"/>
    <w:rsid w:val="312028BD"/>
    <w:rsid w:val="3174F4A5"/>
    <w:rsid w:val="31A19818"/>
    <w:rsid w:val="31E0EBF0"/>
    <w:rsid w:val="31F619A1"/>
    <w:rsid w:val="32C6C4D6"/>
    <w:rsid w:val="32D93518"/>
    <w:rsid w:val="339693B4"/>
    <w:rsid w:val="339693B4"/>
    <w:rsid w:val="3399D788"/>
    <w:rsid w:val="33AACE7B"/>
    <w:rsid w:val="33AACE7B"/>
    <w:rsid w:val="34B28A10"/>
    <w:rsid w:val="34BCC4CB"/>
    <w:rsid w:val="34C5BDC4"/>
    <w:rsid w:val="34C5BDC4"/>
    <w:rsid w:val="357777AA"/>
    <w:rsid w:val="35A0585A"/>
    <w:rsid w:val="36757975"/>
    <w:rsid w:val="36B7F1C1"/>
    <w:rsid w:val="36F3BB27"/>
    <w:rsid w:val="36F3BB27"/>
    <w:rsid w:val="378B2CAC"/>
    <w:rsid w:val="387B3FAE"/>
    <w:rsid w:val="38C144CA"/>
    <w:rsid w:val="38C18CCB"/>
    <w:rsid w:val="38C6BE45"/>
    <w:rsid w:val="38C6BE45"/>
    <w:rsid w:val="392B3AA2"/>
    <w:rsid w:val="3936065A"/>
    <w:rsid w:val="3980068A"/>
    <w:rsid w:val="3980068A"/>
    <w:rsid w:val="39EFF0AF"/>
    <w:rsid w:val="3A329134"/>
    <w:rsid w:val="3AC9E935"/>
    <w:rsid w:val="3B1BD6EB"/>
    <w:rsid w:val="3B27FCEE"/>
    <w:rsid w:val="3B27FCEE"/>
    <w:rsid w:val="3B93AE96"/>
    <w:rsid w:val="3C07AC58"/>
    <w:rsid w:val="3C0F9A21"/>
    <w:rsid w:val="3C149D00"/>
    <w:rsid w:val="3C4C2617"/>
    <w:rsid w:val="3C65B996"/>
    <w:rsid w:val="3C65B996"/>
    <w:rsid w:val="3CA361ED"/>
    <w:rsid w:val="3E09777D"/>
    <w:rsid w:val="3E09777D"/>
    <w:rsid w:val="3E2C8F3B"/>
    <w:rsid w:val="3E468761"/>
    <w:rsid w:val="3E5377AD"/>
    <w:rsid w:val="3F1CD76C"/>
    <w:rsid w:val="3F35FFC9"/>
    <w:rsid w:val="3F35FFC9"/>
    <w:rsid w:val="3F963E91"/>
    <w:rsid w:val="40412EAA"/>
    <w:rsid w:val="404216FC"/>
    <w:rsid w:val="4050D5EA"/>
    <w:rsid w:val="4068EBA1"/>
    <w:rsid w:val="4068EBA1"/>
    <w:rsid w:val="40785A90"/>
    <w:rsid w:val="4088AA5B"/>
    <w:rsid w:val="40895183"/>
    <w:rsid w:val="40895183"/>
    <w:rsid w:val="409A9D6D"/>
    <w:rsid w:val="40A28AF3"/>
    <w:rsid w:val="40B8A7CD"/>
    <w:rsid w:val="410F33A2"/>
    <w:rsid w:val="416933BE"/>
    <w:rsid w:val="41731F5E"/>
    <w:rsid w:val="41A788BD"/>
    <w:rsid w:val="43AFFB52"/>
    <w:rsid w:val="43AFFB52"/>
    <w:rsid w:val="44018366"/>
    <w:rsid w:val="44018366"/>
    <w:rsid w:val="4466973B"/>
    <w:rsid w:val="448A95E8"/>
    <w:rsid w:val="454887DF"/>
    <w:rsid w:val="459D540A"/>
    <w:rsid w:val="46148962"/>
    <w:rsid w:val="4615BECD"/>
    <w:rsid w:val="463D5ABE"/>
    <w:rsid w:val="46F7EBDF"/>
    <w:rsid w:val="4711143C"/>
    <w:rsid w:val="4767295C"/>
    <w:rsid w:val="4767295C"/>
    <w:rsid w:val="477EEFF8"/>
    <w:rsid w:val="477EEFF8"/>
    <w:rsid w:val="47C629E0"/>
    <w:rsid w:val="47D92B1F"/>
    <w:rsid w:val="47F94E80"/>
    <w:rsid w:val="481EFAB0"/>
    <w:rsid w:val="48B4015F"/>
    <w:rsid w:val="49951EE1"/>
    <w:rsid w:val="49951EE1"/>
    <w:rsid w:val="49CB7388"/>
    <w:rsid w:val="4A193CF6"/>
    <w:rsid w:val="4A26FBA8"/>
    <w:rsid w:val="4A496D39"/>
    <w:rsid w:val="4A89ED47"/>
    <w:rsid w:val="4A89ED8A"/>
    <w:rsid w:val="4AB96B2B"/>
    <w:rsid w:val="4C15B5DE"/>
    <w:rsid w:val="4C553B8C"/>
    <w:rsid w:val="4CF34B4C"/>
    <w:rsid w:val="4E00D8AC"/>
    <w:rsid w:val="4E00D8AC"/>
    <w:rsid w:val="4E203D57"/>
    <w:rsid w:val="4E5A1F92"/>
    <w:rsid w:val="4E8F1BAD"/>
    <w:rsid w:val="4EC7EC99"/>
    <w:rsid w:val="4EE97BB4"/>
    <w:rsid w:val="4EFA6CCB"/>
    <w:rsid w:val="4FCCEA63"/>
    <w:rsid w:val="4FDE3F82"/>
    <w:rsid w:val="4FF5EFF3"/>
    <w:rsid w:val="502144AE"/>
    <w:rsid w:val="50B8AEBD"/>
    <w:rsid w:val="50E0066E"/>
    <w:rsid w:val="51A1472D"/>
    <w:rsid w:val="51A1472D"/>
    <w:rsid w:val="51A45EAB"/>
    <w:rsid w:val="52320D8D"/>
    <w:rsid w:val="52320D8D"/>
    <w:rsid w:val="5271BF91"/>
    <w:rsid w:val="5272897E"/>
    <w:rsid w:val="5272897E"/>
    <w:rsid w:val="52F30C6A"/>
    <w:rsid w:val="52F3AE7A"/>
    <w:rsid w:val="533D178E"/>
    <w:rsid w:val="53512023"/>
    <w:rsid w:val="53592D71"/>
    <w:rsid w:val="53628CD0"/>
    <w:rsid w:val="53749CE4"/>
    <w:rsid w:val="5397C90E"/>
    <w:rsid w:val="539B5DBC"/>
    <w:rsid w:val="540361D1"/>
    <w:rsid w:val="540361D1"/>
    <w:rsid w:val="54066C59"/>
    <w:rsid w:val="54547F1F"/>
    <w:rsid w:val="54547F1F"/>
    <w:rsid w:val="548EDCCB"/>
    <w:rsid w:val="54E41272"/>
    <w:rsid w:val="54ECF084"/>
    <w:rsid w:val="55056B3E"/>
    <w:rsid w:val="55504F04"/>
    <w:rsid w:val="55504F04"/>
    <w:rsid w:val="555EABA9"/>
    <w:rsid w:val="55FE5C52"/>
    <w:rsid w:val="560D18E2"/>
    <w:rsid w:val="56FA7C0A"/>
    <w:rsid w:val="5773E8AF"/>
    <w:rsid w:val="5773E8AF"/>
    <w:rsid w:val="582C9E94"/>
    <w:rsid w:val="5879F91F"/>
    <w:rsid w:val="5879F91F"/>
    <w:rsid w:val="59C86EF5"/>
    <w:rsid w:val="59ECF9E3"/>
    <w:rsid w:val="5A14B6DA"/>
    <w:rsid w:val="5A14B6DA"/>
    <w:rsid w:val="5A23C027"/>
    <w:rsid w:val="5A321CCC"/>
    <w:rsid w:val="5A321CCC"/>
    <w:rsid w:val="5A5F6B84"/>
    <w:rsid w:val="5A76E0EA"/>
    <w:rsid w:val="5B409020"/>
    <w:rsid w:val="5B643F56"/>
    <w:rsid w:val="5B987184"/>
    <w:rsid w:val="5BA66FA1"/>
    <w:rsid w:val="5BF0B411"/>
    <w:rsid w:val="5C2AA69B"/>
    <w:rsid w:val="5C4668A7"/>
    <w:rsid w:val="5C4759D2"/>
    <w:rsid w:val="5D07FD3D"/>
    <w:rsid w:val="5D75BEB1"/>
    <w:rsid w:val="5D837C68"/>
    <w:rsid w:val="5D9D5AA2"/>
    <w:rsid w:val="5D9D5AA2"/>
    <w:rsid w:val="5DD6A660"/>
    <w:rsid w:val="5DD6A660"/>
    <w:rsid w:val="5DF31A6F"/>
    <w:rsid w:val="5E2B8AD1"/>
    <w:rsid w:val="5E2B8AD1"/>
    <w:rsid w:val="5E87E935"/>
    <w:rsid w:val="5E9BE018"/>
    <w:rsid w:val="5EC06B06"/>
    <w:rsid w:val="5EF7314A"/>
    <w:rsid w:val="5EFE37E1"/>
    <w:rsid w:val="60140143"/>
    <w:rsid w:val="60140143"/>
    <w:rsid w:val="6037B079"/>
    <w:rsid w:val="60AD5F73"/>
    <w:rsid w:val="60BB1D2A"/>
    <w:rsid w:val="60BB1D2A"/>
    <w:rsid w:val="60FE17BE"/>
    <w:rsid w:val="60FE17BE"/>
    <w:rsid w:val="612ABB31"/>
    <w:rsid w:val="612ABB31"/>
    <w:rsid w:val="61D380DA"/>
    <w:rsid w:val="61DB6E60"/>
    <w:rsid w:val="61FECA02"/>
    <w:rsid w:val="621A0743"/>
    <w:rsid w:val="6270CBC5"/>
    <w:rsid w:val="630F0401"/>
    <w:rsid w:val="6375B5C2"/>
    <w:rsid w:val="63773EC1"/>
    <w:rsid w:val="63E3CACA"/>
    <w:rsid w:val="63E3CACA"/>
    <w:rsid w:val="63E50035"/>
    <w:rsid w:val="63F2BDEC"/>
    <w:rsid w:val="63F99AE7"/>
    <w:rsid w:val="63F99AE7"/>
    <w:rsid w:val="65130F22"/>
    <w:rsid w:val="65130F22"/>
    <w:rsid w:val="651894F4"/>
    <w:rsid w:val="65D38258"/>
    <w:rsid w:val="66417306"/>
    <w:rsid w:val="665A6CAF"/>
    <w:rsid w:val="66735E1E"/>
    <w:rsid w:val="66FB2768"/>
    <w:rsid w:val="6702432F"/>
    <w:rsid w:val="671CA0F7"/>
    <w:rsid w:val="67DBE91C"/>
    <w:rsid w:val="68592EAF"/>
    <w:rsid w:val="6888AC93"/>
    <w:rsid w:val="6888AC93"/>
    <w:rsid w:val="6896F7C9"/>
    <w:rsid w:val="6896F7C9"/>
    <w:rsid w:val="68B7DDFD"/>
    <w:rsid w:val="68B7DDFD"/>
    <w:rsid w:val="69540E64"/>
    <w:rsid w:val="69540E64"/>
    <w:rsid w:val="697913C8"/>
    <w:rsid w:val="697913C8"/>
    <w:rsid w:val="69870ACB"/>
    <w:rsid w:val="699CE000"/>
    <w:rsid w:val="69EAAE2A"/>
    <w:rsid w:val="6A5441B9"/>
    <w:rsid w:val="6AFB5DA0"/>
    <w:rsid w:val="6AFB5DA0"/>
    <w:rsid w:val="6B11A055"/>
    <w:rsid w:val="6B454D00"/>
    <w:rsid w:val="6B56B3EA"/>
    <w:rsid w:val="6B8250A6"/>
    <w:rsid w:val="6B8250A6"/>
    <w:rsid w:val="6BAE954E"/>
    <w:rsid w:val="6C1EB2E3"/>
    <w:rsid w:val="6CBA6DF8"/>
    <w:rsid w:val="6CDA2CB2"/>
    <w:rsid w:val="6D1B64FB"/>
    <w:rsid w:val="6D691D56"/>
    <w:rsid w:val="6D691D56"/>
    <w:rsid w:val="6D6A68EC"/>
    <w:rsid w:val="6D797239"/>
    <w:rsid w:val="6DAD80EA"/>
    <w:rsid w:val="6E6BC8D3"/>
    <w:rsid w:val="6E9E0CFF"/>
    <w:rsid w:val="6F3D5E19"/>
    <w:rsid w:val="6F3D5E19"/>
    <w:rsid w:val="6FE3C47F"/>
    <w:rsid w:val="7011CD74"/>
    <w:rsid w:val="70293386"/>
    <w:rsid w:val="7039DD60"/>
    <w:rsid w:val="7039DD60"/>
    <w:rsid w:val="705305BD"/>
    <w:rsid w:val="70A0BE18"/>
    <w:rsid w:val="712826D8"/>
    <w:rsid w:val="714CF9C7"/>
    <w:rsid w:val="716A9F24"/>
    <w:rsid w:val="716A9F24"/>
    <w:rsid w:val="71AD9DD5"/>
    <w:rsid w:val="71AD9DD5"/>
    <w:rsid w:val="71D5ADC1"/>
    <w:rsid w:val="71F1922A"/>
    <w:rsid w:val="71F1922A"/>
    <w:rsid w:val="7234271C"/>
    <w:rsid w:val="723DDA0F"/>
    <w:rsid w:val="72B00BE9"/>
    <w:rsid w:val="732A99E9"/>
    <w:rsid w:val="735E11C1"/>
    <w:rsid w:val="73D85EDA"/>
    <w:rsid w:val="73D85EDA"/>
    <w:rsid w:val="7417AC37"/>
    <w:rsid w:val="7446F9A8"/>
    <w:rsid w:val="744BDC4A"/>
    <w:rsid w:val="744BDC4A"/>
    <w:rsid w:val="75742F3B"/>
    <w:rsid w:val="758B8AB5"/>
    <w:rsid w:val="75B892CF"/>
    <w:rsid w:val="75DAAA51"/>
    <w:rsid w:val="76A91EE4"/>
    <w:rsid w:val="76A91EE4"/>
    <w:rsid w:val="76C24741"/>
    <w:rsid w:val="774F4CF9"/>
    <w:rsid w:val="776CE465"/>
    <w:rsid w:val="776CE465"/>
    <w:rsid w:val="778D2984"/>
    <w:rsid w:val="77D9E0A8"/>
    <w:rsid w:val="77D9E0A8"/>
    <w:rsid w:val="781CDF59"/>
    <w:rsid w:val="781CDF59"/>
    <w:rsid w:val="781FD8CE"/>
    <w:rsid w:val="7860D3AE"/>
    <w:rsid w:val="7860D3AE"/>
    <w:rsid w:val="7975B109"/>
    <w:rsid w:val="7A30D63D"/>
    <w:rsid w:val="7A69D228"/>
    <w:rsid w:val="7A82CBD1"/>
    <w:rsid w:val="7AC6962E"/>
    <w:rsid w:val="7B1CABAA"/>
    <w:rsid w:val="7B54801B"/>
    <w:rsid w:val="7BDE5EA5"/>
    <w:rsid w:val="7C05445D"/>
    <w:rsid w:val="7C25CCC1"/>
    <w:rsid w:val="7C2FC1D9"/>
    <w:rsid w:val="7C773CEB"/>
    <w:rsid w:val="7CC39480"/>
    <w:rsid w:val="7D1436A0"/>
    <w:rsid w:val="7D204DEE"/>
    <w:rsid w:val="7D89FBC5"/>
    <w:rsid w:val="7DC5F701"/>
    <w:rsid w:val="7DC5F701"/>
    <w:rsid w:val="7E183EC6"/>
    <w:rsid w:val="7E183EC6"/>
    <w:rsid w:val="7E49222C"/>
    <w:rsid w:val="7E49222C"/>
    <w:rsid w:val="7EDD888A"/>
    <w:rsid w:val="7F5A724F"/>
    <w:rsid w:val="7F5A724F"/>
    <w:rsid w:val="7F67629B"/>
    <w:rsid w:val="7F91876B"/>
    <w:rsid w:val="7F9A0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38258"/>
  <w15:chartTrackingRefBased/>
  <w15:docId w15:val="{940B8911-2532-4A5B-AE16-AFFB308779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447811af4a34e2b" /><Relationship Type="http://schemas.openxmlformats.org/officeDocument/2006/relationships/header" Target="/word/header.xml" Id="R6ce3210227544bdf" /><Relationship Type="http://schemas.openxmlformats.org/officeDocument/2006/relationships/footer" Target="/word/footer.xml" Id="R402a4469c85e44ce" /><Relationship Type="http://schemas.openxmlformats.org/officeDocument/2006/relationships/footnotes" Target="/word/footnotes.xml" Id="R638534b437d040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Wilkinson (2025536)</dc:creator>
  <keywords/>
  <dc:description/>
  <lastModifiedBy>Emily Wilkinson (2025536)</lastModifiedBy>
  <revision>4</revision>
  <dcterms:created xsi:type="dcterms:W3CDTF">2022-05-02T08:06:59.5813268Z</dcterms:created>
  <dcterms:modified xsi:type="dcterms:W3CDTF">2022-07-31T17:29:11.6347946Z</dcterms:modified>
</coreProperties>
</file>